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68" w:rsidRPr="00582868" w:rsidRDefault="00582868" w:rsidP="00582868">
      <w:pPr>
        <w:ind w:right="733"/>
        <w:rPr>
          <w:b/>
          <w:smallCaps/>
          <w:sz w:val="28"/>
          <w:szCs w:val="28"/>
        </w:rPr>
      </w:pPr>
      <w:r w:rsidRPr="00582868">
        <w:rPr>
          <w:b/>
          <w:smallCaps/>
          <w:sz w:val="28"/>
          <w:szCs w:val="28"/>
        </w:rPr>
        <w:t>Regolamento del Comune di (…) concernente l’impiego di lettori di numeri d’immatricolazione di veicoli su strade con segnale di traffico limitato e di divieto d’accesso del (… data)</w:t>
      </w:r>
    </w:p>
    <w:p w:rsidR="00582868" w:rsidRPr="00243F69" w:rsidRDefault="00582868" w:rsidP="00582868">
      <w:pPr>
        <w:ind w:right="733"/>
        <w:jc w:val="center"/>
        <w:rPr>
          <w:i/>
        </w:rPr>
      </w:pPr>
    </w:p>
    <w:p w:rsidR="00582868" w:rsidRPr="00582868" w:rsidRDefault="00582868" w:rsidP="00582868">
      <w:pPr>
        <w:ind w:right="733"/>
      </w:pPr>
      <w:r w:rsidRPr="00582868">
        <w:t xml:space="preserve">Il Consiglio comunale del Comune di (…) </w:t>
      </w:r>
    </w:p>
    <w:p w:rsidR="00582868" w:rsidRPr="00582868" w:rsidRDefault="00582868" w:rsidP="00582868">
      <w:pPr>
        <w:ind w:right="733"/>
      </w:pPr>
      <w:r w:rsidRPr="00582868">
        <w:t xml:space="preserve">richiamati in particolare </w:t>
      </w:r>
    </w:p>
    <w:p w:rsidR="00582868" w:rsidRPr="00582868" w:rsidRDefault="00582868" w:rsidP="00582868">
      <w:pPr>
        <w:pStyle w:val="Paragrafoelenco"/>
        <w:numPr>
          <w:ilvl w:val="0"/>
          <w:numId w:val="22"/>
        </w:numPr>
        <w:ind w:right="733"/>
      </w:pPr>
      <w:r w:rsidRPr="00582868">
        <w:t xml:space="preserve">art. 5 cfr. 1 e art. 8 cpv. 1 lett. b) della Legge di applicazione alla legislazione federale sulla circolazione stradale e la tassa sul traffico pesante del 24 settembre 1985  </w:t>
      </w:r>
    </w:p>
    <w:p w:rsidR="00582868" w:rsidRPr="00582868" w:rsidRDefault="00582868" w:rsidP="00582868">
      <w:pPr>
        <w:pStyle w:val="Paragrafoelenco"/>
        <w:numPr>
          <w:ilvl w:val="0"/>
          <w:numId w:val="22"/>
        </w:numPr>
        <w:ind w:right="733"/>
      </w:pPr>
      <w:r w:rsidRPr="00582868">
        <w:t>art. 6 cpv. 1 lett. a) del Regolamento della legge cantonale di applicazione della legislazione federale sulla circolazione stradale e la tassa sul traffico pesante del 2 marzo 1999</w:t>
      </w:r>
    </w:p>
    <w:p w:rsidR="00582868" w:rsidRPr="00582868" w:rsidRDefault="00582868" w:rsidP="00582868">
      <w:pPr>
        <w:pStyle w:val="Paragrafoelenco"/>
        <w:numPr>
          <w:ilvl w:val="0"/>
          <w:numId w:val="22"/>
        </w:numPr>
        <w:ind w:right="733"/>
      </w:pPr>
      <w:r w:rsidRPr="00582868">
        <w:t>Allegato 2, cfr. 1.1 del Regolamento della legge sulla collaborazione fra la polizia cantonale e le polizie comunali del 27 giugno 2012</w:t>
      </w:r>
    </w:p>
    <w:p w:rsidR="00582868" w:rsidRPr="00582868" w:rsidRDefault="00582868" w:rsidP="00582868">
      <w:pPr>
        <w:pStyle w:val="Paragrafoelenco"/>
        <w:numPr>
          <w:ilvl w:val="0"/>
          <w:numId w:val="22"/>
        </w:numPr>
        <w:ind w:right="733"/>
      </w:pPr>
      <w:r w:rsidRPr="00582868">
        <w:t xml:space="preserve">art. 6 della Legge cantonale sulla protezione dei dati del 9 marzo 1987 (LPDP) </w:t>
      </w:r>
    </w:p>
    <w:p w:rsidR="00582868" w:rsidRPr="00582868" w:rsidRDefault="00582868" w:rsidP="00582868">
      <w:pPr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 xml:space="preserve">Art. 1 Campo di applicazione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1</w:t>
      </w:r>
      <w:r w:rsidRPr="00582868">
        <w:t xml:space="preserve">Il presente Regolamento disciplina la lettura di numeri d’immatricolazione di veicoli in zone a traffico limitato del Comune di (…).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2</w:t>
      </w:r>
      <w:r w:rsidRPr="00582868">
        <w:t>Per aspetti della lettura di numeri d’immatricolazione di veicoli inerenti alla protezione dei dati che non sono disciplinati dal presente regolamento, è applicabile la legge cantonale sulla protezione dei dati personali del 9 marzo 1987 e il relativo regolamento d’applicazione del 6 dicembre 2000.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>Art. 2 Scopo</w:t>
      </w:r>
    </w:p>
    <w:p w:rsidR="00582868" w:rsidRPr="00582868" w:rsidRDefault="00582868" w:rsidP="00582868">
      <w:pPr>
        <w:spacing w:after="60"/>
        <w:ind w:right="733"/>
      </w:pPr>
      <w:r w:rsidRPr="00582868">
        <w:t xml:space="preserve">La lettura di numeri d’immatricolazione di veicoli è finalizzata principalmente alla prevenzione di infrazioni al divieto di accesso e al divieto di circolazione per autoveicoli.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>Art. 3 Informazione</w:t>
      </w:r>
    </w:p>
    <w:p w:rsidR="00582868" w:rsidRPr="00582868" w:rsidRDefault="00582868" w:rsidP="00582868">
      <w:pPr>
        <w:spacing w:after="60"/>
        <w:ind w:right="733"/>
      </w:pPr>
      <w:r w:rsidRPr="00582868">
        <w:t xml:space="preserve">Il Comune informa sulla presenza di strumenti di lettura dei numeri d’immatricolazione di veicoli, sullo scopo preventivo perseguito e sull’organo responsabile, segnatamente tramite cartelli indicatori ben visibili posti in prossimità dei singoli lettori di targhe.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 xml:space="preserve">Art. 4 Finalità </w:t>
      </w:r>
    </w:p>
    <w:p w:rsidR="00582868" w:rsidRPr="00582868" w:rsidRDefault="00582868" w:rsidP="00582868">
      <w:pPr>
        <w:spacing w:after="60"/>
        <w:ind w:right="733"/>
      </w:pPr>
      <w:r w:rsidRPr="00582868">
        <w:t xml:space="preserve">I dati che, malgrado le misure dissuasive di cui all’art. 3, vengono elaborati nell’ambito della lettura di numeri d’immatricolazione di veicoli (art. 6), non possono essere utilizzati o trasmessi per uno scopo che, secondo la buona fede, sarebbe incompatibile con gli scopi previsti dal presente regolamento.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>Art. 5 Sicurezza dei dati</w:t>
      </w:r>
    </w:p>
    <w:p w:rsidR="00582868" w:rsidRPr="00582868" w:rsidRDefault="00582868" w:rsidP="00582868">
      <w:pPr>
        <w:spacing w:after="60"/>
        <w:ind w:right="733"/>
      </w:pPr>
      <w:r w:rsidRPr="00582868">
        <w:t xml:space="preserve">I dati devono essere protetti da adeguate misure tecniche e organizzative di sicurezza a tutela della loro autenticità, confidenzialità, disponibilità e integrità.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ind w:right="733"/>
        <w:rPr>
          <w:b/>
        </w:rPr>
      </w:pPr>
      <w:r w:rsidRPr="00582868">
        <w:rPr>
          <w:b/>
        </w:rPr>
        <w:t xml:space="preserve">Art. 6 Sistema di controllo dei varchi elettronici </w:t>
      </w:r>
    </w:p>
    <w:p w:rsidR="00582868" w:rsidRPr="00582868" w:rsidRDefault="00582868" w:rsidP="00582868">
      <w:pPr>
        <w:ind w:right="733"/>
        <w:rPr>
          <w:b/>
        </w:rPr>
      </w:pP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1</w:t>
      </w:r>
      <w:r w:rsidRPr="00582868">
        <w:t xml:space="preserve">Il Comune allestisce l’elenco dei numeri d’immatricolazione di veicoli a beneficio di autorizzazione di circolazione, comprensivo dei dati riguardanti il nome, il cognome e l’indirizzo dei detentori. </w:t>
      </w:r>
    </w:p>
    <w:p w:rsidR="00582868" w:rsidRPr="00582868" w:rsidRDefault="00582868" w:rsidP="00582868">
      <w:pPr>
        <w:spacing w:after="60"/>
        <w:ind w:right="733"/>
        <w:rPr>
          <w:rFonts w:ascii="Calibri" w:hAnsi="Calibri"/>
        </w:rPr>
      </w:pPr>
      <w:r w:rsidRPr="00582868">
        <w:rPr>
          <w:vertAlign w:val="superscript"/>
        </w:rPr>
        <w:t>2</w:t>
      </w:r>
      <w:r w:rsidRPr="00582868">
        <w:t xml:space="preserve">Il sistema di lettura dei numeri d’immatricolazione dei veicoli è costituito da fotocamere che rilevano automaticamente il transito dei veicoli e i rispettivi numeri d’immatricolazione.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3</w:t>
      </w:r>
      <w:r w:rsidRPr="00582868">
        <w:t xml:space="preserve">Gli operatori autorizzati raffrontano i numeri d’immatricolazione dei veicoli in transito con l’elenco dei numeri di veicoli a beneficio di un’autorizzazione di circolazione e generano una lista di numeri d’immatricolazione senza autorizzazione, comprensiva della fotografia del numero d’immatricolazione e dei dati riguardanti la località, la data e l’ora del passaggio del veicolo.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4</w:t>
      </w:r>
      <w:r w:rsidRPr="00582868">
        <w:t xml:space="preserve">Gli operatori autorizzati identificano i titolari dei numeri d’immatricolazione senza autorizzazione tramite: </w:t>
      </w:r>
    </w:p>
    <w:p w:rsidR="00582868" w:rsidRPr="00582868" w:rsidRDefault="00582868" w:rsidP="00582868">
      <w:pPr>
        <w:pStyle w:val="Paragrafoelenco"/>
        <w:numPr>
          <w:ilvl w:val="0"/>
          <w:numId w:val="20"/>
        </w:numPr>
        <w:spacing w:after="60"/>
        <w:ind w:left="426" w:right="733"/>
      </w:pPr>
      <w:r w:rsidRPr="00582868">
        <w:t>(…: indicare modalità d’identificazione o procedura di assistenza amministrativa, ad esempio, grazie alle banche dati cantonali pubblicate in virtù dell’art. 89g cpv. 5 della legge federale sulla circolazione stradale del 19 dicembre 1958), per i numeri d’immatricolazione ticinesi e di altri Cantoni;</w:t>
      </w:r>
    </w:p>
    <w:p w:rsidR="00582868" w:rsidRPr="00582868" w:rsidRDefault="00582868" w:rsidP="00582868">
      <w:pPr>
        <w:pStyle w:val="Paragrafoelenco"/>
        <w:numPr>
          <w:ilvl w:val="0"/>
          <w:numId w:val="20"/>
        </w:numPr>
        <w:spacing w:after="60"/>
        <w:ind w:left="426" w:right="733"/>
      </w:pPr>
      <w:r w:rsidRPr="00582868">
        <w:t>(…: indicare modalità d’identificazione o procedura di assistenza amministrativa, ad esempio, grazie a pubblici registri automobilistici come quello di ACI Italia), per i numeri d’immatricolazione di altri Stati.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5</w:t>
      </w:r>
      <w:r w:rsidRPr="00582868">
        <w:t xml:space="preserve">L’accesso ai dati personali di cui alla presente norma è limitato agli aventi diritto di accesso.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 xml:space="preserve">Art. 7 Trasmissione di dati a terzi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1</w:t>
      </w:r>
      <w:r w:rsidRPr="00582868">
        <w:t xml:space="preserve">Di principio, i dati personali elaborati nell’ambito della lettura di numeri d’immatricolazione di veicoli non sono trasmessi a terzi.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2</w:t>
      </w:r>
      <w:r w:rsidRPr="00582868">
        <w:t xml:space="preserve">Nel caso di procedimenti civili, penali o amministrativi, i dati possono essere trasmessi alle autorità competenti nella misura in cui ciò sia necessario a titolo di prova.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 xml:space="preserve">Art. 8 Durata di conservazione e distruzione dei dati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5</w:t>
      </w:r>
      <w:r w:rsidRPr="00582868">
        <w:t>I dati personali elaborati nell’ambito della lettura di numeri d’immatricolazione di veicoli devono essere distrutti entro i seguenti termini:</w:t>
      </w:r>
    </w:p>
    <w:p w:rsidR="00582868" w:rsidRPr="00582868" w:rsidRDefault="00582868" w:rsidP="00582868">
      <w:pPr>
        <w:pStyle w:val="Paragrafoelenco"/>
        <w:numPr>
          <w:ilvl w:val="0"/>
          <w:numId w:val="21"/>
        </w:numPr>
        <w:spacing w:after="60"/>
        <w:ind w:left="426" w:right="733"/>
      </w:pPr>
      <w:r w:rsidRPr="00582868">
        <w:t xml:space="preserve">In caso di concordanza con la lista di numeri d’immatricolazione autorizzati, al massimo entro (…: max. 100) giorni;  </w:t>
      </w:r>
    </w:p>
    <w:p w:rsidR="00582868" w:rsidRPr="00582868" w:rsidRDefault="00582868" w:rsidP="00582868">
      <w:pPr>
        <w:pStyle w:val="Paragrafoelenco"/>
        <w:numPr>
          <w:ilvl w:val="0"/>
          <w:numId w:val="21"/>
        </w:numPr>
        <w:spacing w:after="60"/>
        <w:ind w:left="426" w:right="733"/>
      </w:pPr>
      <w:r w:rsidRPr="00582868">
        <w:t>In caso di mancata concordanza con la lista di numeri d’immatricolazione autorizzati, entro la conclusione della procedura applicabile.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 xml:space="preserve">Art. 9 Norme d’esecuzione </w:t>
      </w:r>
    </w:p>
    <w:p w:rsidR="00582868" w:rsidRPr="00582868" w:rsidRDefault="00582868" w:rsidP="00582868">
      <w:pPr>
        <w:spacing w:after="60"/>
        <w:ind w:right="733"/>
      </w:pPr>
      <w:r w:rsidRPr="00582868">
        <w:t xml:space="preserve">Il Municipio emana le disposizioni necessarie all’esecuzione del presente regolamento. Definisce, in particolare, i luoghi soggetti alla lettura dei numeri d’immatricolazione di veicoli, le eventuali ulteriori modalità d’informazione e condizioni dell’elaborazione di dati, tra cui i diritti di accesso ai dati e le concrete misure tecniche e organizzative di sicurezza. </w:t>
      </w:r>
    </w:p>
    <w:p w:rsidR="00582868" w:rsidRPr="00582868" w:rsidRDefault="00582868" w:rsidP="00582868">
      <w:pPr>
        <w:spacing w:after="60"/>
        <w:ind w:right="733"/>
      </w:pPr>
    </w:p>
    <w:p w:rsidR="00582868" w:rsidRPr="00582868" w:rsidRDefault="00582868" w:rsidP="00582868">
      <w:pPr>
        <w:spacing w:after="60"/>
        <w:ind w:right="733"/>
        <w:rPr>
          <w:b/>
        </w:rPr>
      </w:pPr>
      <w:r w:rsidRPr="00582868">
        <w:rPr>
          <w:b/>
        </w:rPr>
        <w:t xml:space="preserve">Art. 10 Approvazione e entrata in vigore </w:t>
      </w:r>
    </w:p>
    <w:p w:rsidR="00582868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1</w:t>
      </w:r>
      <w:r w:rsidRPr="00582868">
        <w:t xml:space="preserve">Il presente regolamento è soggetto ad approvazione da parte dell’Autorità superiore. </w:t>
      </w:r>
    </w:p>
    <w:p w:rsidR="00226482" w:rsidRPr="00582868" w:rsidRDefault="00582868" w:rsidP="00582868">
      <w:pPr>
        <w:spacing w:after="60"/>
        <w:ind w:right="733"/>
      </w:pPr>
      <w:r w:rsidRPr="00582868">
        <w:rPr>
          <w:vertAlign w:val="superscript"/>
        </w:rPr>
        <w:t>2</w:t>
      </w:r>
      <w:r w:rsidRPr="00582868">
        <w:t xml:space="preserve">Il Municipio ne fissa l’entrata in vigore. </w:t>
      </w:r>
      <w:bookmarkStart w:id="0" w:name="_GoBack"/>
      <w:bookmarkEnd w:id="0"/>
    </w:p>
    <w:sdt>
      <w:sdtPr>
        <w:alias w:val="EnclosuresBox"/>
        <w:tag w:val="3560029352"/>
        <w:id w:val="-2107027358"/>
        <w:placeholder>
          <w:docPart w:val="0595FDA4DE6C4D698A4EE024B8208D06"/>
        </w:placeholder>
      </w:sdtPr>
      <w:sdtEndPr/>
      <w:sdtContent>
        <w:p w:rsidR="00226482" w:rsidRPr="00582868" w:rsidRDefault="00D25C21" w:rsidP="00226482"/>
      </w:sdtContent>
    </w:sdt>
    <w:p w:rsidR="0049282C" w:rsidRPr="00582868" w:rsidRDefault="0049282C" w:rsidP="00811B6F">
      <w:pPr>
        <w:ind w:right="27"/>
        <w:jc w:val="left"/>
      </w:pPr>
    </w:p>
    <w:sectPr w:rsidR="0049282C" w:rsidRPr="00582868" w:rsidSect="001C181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400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82" w:rsidRDefault="00226482" w:rsidP="00F657BF">
      <w:r>
        <w:separator/>
      </w:r>
    </w:p>
  </w:endnote>
  <w:endnote w:type="continuationSeparator" w:id="0">
    <w:p w:rsidR="00226482" w:rsidRDefault="00226482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Alt One MT Ligh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:rsidR="001F4157" w:rsidRDefault="00D25C21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D25C21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1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4157" w:rsidRDefault="00D25C21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12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:rsidR="001F4157" w:rsidRDefault="00D25C21" w:rsidP="001F4157">
          <w:pPr>
            <w:tabs>
              <w:tab w:val="center" w:pos="2382"/>
            </w:tabs>
          </w:pPr>
        </w:p>
      </w:tc>
    </w:tr>
  </w:tbl>
  <w:p w:rsidR="00F657BF" w:rsidRDefault="00F657BF" w:rsidP="00F5689F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82" w:rsidRDefault="00226482" w:rsidP="00F657BF">
      <w:r>
        <w:separator/>
      </w:r>
    </w:p>
  </w:footnote>
  <w:footnote w:type="continuationSeparator" w:id="0">
    <w:p w:rsidR="00226482" w:rsidRDefault="00226482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D25C21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2056" type="#_x0000_t75" style="position:absolute;left:0;text-align:left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22870BE1-D52A-4608-B884-C724316CC94F}"/>
            <w:text w:multiLine="1"/>
          </w:sdtPr>
          <w:sdtEndPr/>
          <w:sdtContent>
            <w:p w:rsidR="00346F44" w:rsidRPr="00891E80" w:rsidRDefault="00723218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Incaricato cantonale della protezione dei dati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6501 Bellinzona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46F44" w:rsidRPr="00AE2FCC" w:rsidRDefault="00D25C21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B80945" w:rsidRPr="009E444B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:rsidR="00B80945" w:rsidRPr="00D37A90" w:rsidRDefault="00D25C21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22870BE1-D52A-4608-B884-C724316CC94F}"/>
            <w:text w:multiLine="1"/>
          </w:sdtPr>
          <w:sdtEndPr/>
          <w:sdtContent>
            <w:p w:rsidR="00B80945" w:rsidRPr="00D37A90" w:rsidRDefault="00582868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Regolamento standard dell’ICPD sulla lettura di numeri d’immatricolazione di veicoli su strade comunali con segnale di divieto di circolazione per gli autoveicoli o di divieto d’accesso</w:t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-977135387"/>
            <w:dataBinding w:xpath="//DateTime[@id='DocParam.Date']" w:storeItemID="{22870BE1-D52A-4608-B884-C724316CC94F}"/>
            <w:date w:fullDate="2025-04-02T00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B80945" w:rsidRDefault="00582868" w:rsidP="00B80945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02.04.2025</w:t>
              </w:r>
            </w:p>
          </w:sdtContent>
        </w:sdt>
        <w:p w:rsidR="00B80945" w:rsidRPr="00E043A3" w:rsidRDefault="00D25C21" w:rsidP="00B80945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D25C21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22870BE1-D52A-4608-B884-C724316CC94F}"/>
                            <w:text w:multiLine="1"/>
                          </w:sdtPr>
                          <w:sdtEndPr/>
                          <w:sdtContent>
                            <w:p w:rsidR="008065E8" w:rsidRPr="00411371" w:rsidRDefault="00D25C21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22870BE1-D52A-4608-B884-C724316CC94F}"/>
                      <w:text w:multiLine="1"/>
                    </w:sdtPr>
                    <w:sdtEndPr/>
                    <w:sdtContent>
                      <w:p w:rsidR="008065E8" w:rsidRPr="00411371" w:rsidRDefault="00D25C21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:rsidR="00183BF6" w:rsidRDefault="00D25C21" w:rsidP="000479A0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22870BE1-D52A-4608-B884-C724316CC94F}"/>
              <w:text w:multiLine="1"/>
            </w:sdtPr>
            <w:sdtEndPr/>
            <w:sdtContent>
              <w:r w:rsidR="00723218">
                <w:t>Repubblica e Cantone Ticino</w:t>
              </w:r>
              <w:r w:rsidR="00723218">
                <w:br/>
                <w:t>Cancelleria dello Stato</w:t>
              </w:r>
              <w:r w:rsidR="00723218">
                <w:br/>
                <w:t>Servizi giuridici del Consiglio di Stato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:rsidR="00EC0AA0" w:rsidRPr="00B52476" w:rsidRDefault="00D25C21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:rsidR="00183BF6" w:rsidRPr="003108C0" w:rsidRDefault="00D25C21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:rsidR="00183BF6" w:rsidRDefault="00D25C21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6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:rsidR="00183BF6" w:rsidRPr="002B274F" w:rsidRDefault="00D25C21" w:rsidP="009A4440">
          <w:pPr>
            <w:pStyle w:val="HeaderDecisione"/>
            <w:spacing w:after="60"/>
            <w:jc w:val="right"/>
            <w:rPr>
              <w:rFonts w:asciiTheme="minorHAnsi" w:hAnsiTheme="minorHAnsi" w:cstheme="minorHAnsi"/>
              <w:sz w:val="22"/>
            </w:rPr>
          </w:pP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PAGE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</w:rPr>
            <w:t>1</w:t>
          </w:r>
          <w:r w:rsidRPr="002B274F">
            <w:rPr>
              <w:rFonts w:asciiTheme="minorHAnsi" w:hAnsiTheme="minorHAnsi" w:cstheme="minorHAnsi"/>
              <w:sz w:val="22"/>
            </w:rPr>
            <w:fldChar w:fldCharType="end"/>
          </w:r>
          <w:r w:rsidRPr="002B274F">
            <w:rPr>
              <w:rFonts w:asciiTheme="minorHAnsi" w:hAnsiTheme="minorHAnsi" w:cstheme="minorHAnsi"/>
              <w:sz w:val="22"/>
            </w:rPr>
            <w:t xml:space="preserve"> di </w:t>
          </w: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NUMPAGES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</w:rPr>
            <w:t>2</w:t>
          </w:r>
          <w:r w:rsidRPr="002B274F">
            <w:rPr>
              <w:rFonts w:asciiTheme="minorHAnsi" w:hAnsiTheme="minorHAnsi" w:cstheme="minorHAnsi"/>
              <w:noProof/>
              <w:sz w:val="22"/>
            </w:rPr>
            <w:fldChar w:fldCharType="end"/>
          </w:r>
        </w:p>
      </w:tc>
    </w:tr>
    <w:tr w:rsidR="00183BF6" w:rsidRPr="0004624C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22870BE1-D52A-4608-B884-C724316CC94F}"/>
            <w:text w:multiLine="1"/>
          </w:sdtPr>
          <w:sdtEndPr/>
          <w:sdtContent>
            <w:p w:rsidR="00183BF6" w:rsidRPr="00FB3924" w:rsidRDefault="00723218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Incaricato cantonale della protezione dei dati</w:t>
              </w:r>
            </w:p>
          </w:sdtContent>
        </w:sdt>
        <w:p w:rsidR="00E06C8D" w:rsidRPr="00C73E29" w:rsidRDefault="00D25C21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22870BE1-D52A-4608-B884-C724316CC94F}"/>
              <w:text w:multiLine="1"/>
            </w:sdtPr>
            <w:sdtEndPr/>
            <w:sdtContent>
              <w:r>
                <w:rPr>
                  <w:szCs w:val="16"/>
                </w:rPr>
                <w:t>6501</w:t>
              </w:r>
            </w:sdtContent>
          </w:sdt>
          <w:r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22870BE1-D52A-4608-B884-C724316CC94F}"/>
              <w:text w:multiLine="1"/>
            </w:sdtPr>
            <w:sdtEndPr/>
            <w:sdtContent>
              <w:r>
                <w:rPr>
                  <w:szCs w:val="16"/>
                </w:rPr>
                <w:t>Bellinzona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22870BE1-D52A-4608-B884-C724316CC94F}"/>
            <w:text w:multiLine="1"/>
          </w:sdtPr>
          <w:sdtEndPr/>
          <w:sdtContent>
            <w:p w:rsidR="00C90AE5" w:rsidRPr="00642961" w:rsidRDefault="00723218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www.ti.ch/protezionedati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1904399633"/>
            <w:dataBinding w:xpath="//DateTime[@id='DocParam.Date']" w:storeItemID="{22870BE1-D52A-4608-B884-C724316CC94F}"/>
            <w:date w:fullDate="2025-04-02T00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:rsidR="00183BF6" w:rsidRPr="00183BF6" w:rsidRDefault="00582868" w:rsidP="00084B4C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02.04.2025</w:t>
              </w:r>
            </w:p>
          </w:sdtContent>
        </w:sdt>
        <w:p w:rsidR="00183BF6" w:rsidRPr="00B91567" w:rsidRDefault="00D25C21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:rsidTr="00534C81">
      <w:trPr>
        <w:trHeight w:val="907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sdt>
          <w:sdtPr>
            <w:rPr>
              <w:rFonts w:ascii="Gill Sans Display MT Pro BdCn" w:hAnsi="Gill Sans Display MT Pro BdCn"/>
              <w:sz w:val="36"/>
              <w:szCs w:val="36"/>
            </w:rPr>
            <w:alias w:val="DocParam.Subject"/>
            <w:id w:val="-1548281943"/>
            <w:dataBinding w:xpath="//Text[@id='DocParam.Subject']" w:storeItemID="{22870BE1-D52A-4608-B884-C724316CC94F}"/>
            <w:text w:multiLine="1"/>
          </w:sdtPr>
          <w:sdtContent>
            <w:p w:rsidR="00DE32A2" w:rsidRPr="007366A0" w:rsidRDefault="00582868" w:rsidP="005538BB">
              <w:pPr>
                <w:pStyle w:val="HeaderDecisione"/>
                <w:tabs>
                  <w:tab w:val="left" w:pos="1459"/>
                </w:tabs>
                <w:spacing w:before="60"/>
                <w:rPr>
                  <w:rFonts w:ascii="Gill Sans Display MT Pro BdCn" w:hAnsi="Gill Sans Display MT Pro BdCn"/>
                  <w:sz w:val="36"/>
                  <w:szCs w:val="36"/>
                </w:rPr>
              </w:pPr>
              <w:r w:rsidRPr="00582868">
                <w:rPr>
                  <w:rFonts w:ascii="Gill Sans Display MT Pro BdCn" w:hAnsi="Gill Sans Display MT Pro BdCn"/>
                  <w:sz w:val="36"/>
                  <w:szCs w:val="36"/>
                </w:rPr>
                <w:t>Regolamento standard dell’ICPD sulla lettura di numeri d’immatricolazione di veicoli su strade comunali con segnale di divieto di circolazione per gli autoveicoli o di divieto d’accesso</w:t>
              </w:r>
            </w:p>
          </w:sdtContent>
        </w:sdt>
      </w:tc>
    </w:tr>
    <w:tr w:rsidR="00F13FED" w:rsidRPr="0004624C" w:rsidTr="00534C81">
      <w:trPr>
        <w:trHeight w:hRule="exact" w:val="562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:rsidR="00F13FED" w:rsidRDefault="00D25C21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:rsidR="00F657BF" w:rsidRPr="00DA2879" w:rsidRDefault="00D25C21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7" name="ooImg_21147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22870BE1-D52A-4608-B884-C724316CC94F}"/>
                            <w:text w:multiLine="1"/>
                          </w:sdtPr>
                          <w:sdtEndPr/>
                          <w:sdtContent>
                            <w:p w:rsidR="00E93620" w:rsidRPr="00411371" w:rsidRDefault="00D25C21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22870BE1-D52A-4608-B884-C724316CC94F}"/>
                      <w:text w:multiLine="1"/>
                    </w:sdtPr>
                    <w:sdtEndPr/>
                    <w:sdtContent>
                      <w:p w:rsidR="00E93620" w:rsidRPr="00411371" w:rsidRDefault="00D25C21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A499E"/>
    <w:multiLevelType w:val="multilevel"/>
    <w:tmpl w:val="84726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C8A3A75"/>
    <w:multiLevelType w:val="hybridMultilevel"/>
    <w:tmpl w:val="BF7A25E6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54503829"/>
    <w:multiLevelType w:val="hybridMultilevel"/>
    <w:tmpl w:val="74F6A3D6"/>
    <w:lvl w:ilvl="0" w:tplc="08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D47A3"/>
    <w:multiLevelType w:val="hybridMultilevel"/>
    <w:tmpl w:val="28F6ACBA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02AE2"/>
    <w:multiLevelType w:val="hybridMultilevel"/>
    <w:tmpl w:val="B74A0DD2"/>
    <w:lvl w:ilvl="0" w:tplc="3B7EDC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3"/>
  </w:num>
  <w:num w:numId="20">
    <w:abstractNumId w:val="19"/>
  </w:num>
  <w:num w:numId="21">
    <w:abstractNumId w:val="21"/>
  </w:num>
  <w:num w:numId="2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82"/>
    <w:rsid w:val="00007136"/>
    <w:rsid w:val="00020033"/>
    <w:rsid w:val="00141E20"/>
    <w:rsid w:val="001D0DA8"/>
    <w:rsid w:val="00221086"/>
    <w:rsid w:val="00226482"/>
    <w:rsid w:val="002B5D9F"/>
    <w:rsid w:val="004643C6"/>
    <w:rsid w:val="0049282C"/>
    <w:rsid w:val="00582868"/>
    <w:rsid w:val="005A2EC6"/>
    <w:rsid w:val="005A33AE"/>
    <w:rsid w:val="005A6B7A"/>
    <w:rsid w:val="005F79B4"/>
    <w:rsid w:val="00611F29"/>
    <w:rsid w:val="00644881"/>
    <w:rsid w:val="006B3C2F"/>
    <w:rsid w:val="00723218"/>
    <w:rsid w:val="007B308B"/>
    <w:rsid w:val="007F35D2"/>
    <w:rsid w:val="00806D21"/>
    <w:rsid w:val="00811B6F"/>
    <w:rsid w:val="00873A5A"/>
    <w:rsid w:val="008916D7"/>
    <w:rsid w:val="008C6A42"/>
    <w:rsid w:val="008E0E1A"/>
    <w:rsid w:val="008F52AF"/>
    <w:rsid w:val="00984FD8"/>
    <w:rsid w:val="00A02BC2"/>
    <w:rsid w:val="00B61339"/>
    <w:rsid w:val="00C95EB5"/>
    <w:rsid w:val="00D25C21"/>
    <w:rsid w:val="00D35357"/>
    <w:rsid w:val="00E311A4"/>
    <w:rsid w:val="00EB088A"/>
    <w:rsid w:val="00EE0976"/>
    <w:rsid w:val="00F054C2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4764E857"/>
  <w15:docId w15:val="{0751B274-4844-45B9-9805-F5AB5644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99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42670\AppData\Local\Temp\primedocs\generated\c614b1d9-85d5-49bb-a2b4-d22148cee97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95FDA4DE6C4D698A4EE024B8208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F48C9-BBD6-436E-B78A-C34837D5ADE5}"/>
      </w:docPartPr>
      <w:docPartBody>
        <w:p w:rsidR="00EB548A" w:rsidRDefault="00164C45" w:rsidP="00164C45">
          <w:pPr>
            <w:pStyle w:val="0595FDA4DE6C4D698A4EE024B8208D06"/>
          </w:pPr>
          <w:r w:rsidRPr="00B72383">
            <w:rPr>
              <w:rStyle w:val="Testosegnapos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Alt One MT Ligh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5"/>
    <w:rsid w:val="00164C45"/>
    <w:rsid w:val="00E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64C45"/>
    <w:rPr>
      <w:color w:val="808080"/>
    </w:rPr>
  </w:style>
  <w:style w:type="paragraph" w:customStyle="1" w:styleId="0595FDA4DE6C4D698A4EE024B8208D06">
    <w:name w:val="0595FDA4DE6C4D698A4EE024B8208D06"/>
    <w:rsid w:val="00164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2 c 7 0 d 7 b 8 - 2 9 1 4 - 4 9 f d - b c 9 3 - 1 c 7 8 c 2 e 9 e 0 e a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5 - 0 4 - 0 1 T 1 2 : 3 2 : 2 1 . 5 6 6 7 1 0 5 Z "   m o d i f i e d m a j o r v e r s i o n = " 0 "   m o d i f i e d m i n o r v e r s i o n = " 0 "   m o d i f i e d = " 0 0 0 1 - 0 1 - 0 1 T 0 0 : 0 0 : 0 0 "   p r o f i l e = " b 7 4 a e 7 b e - d a 4 4 - 4 5 8 3 - 9 9 f f - 4 2 9 2 0 a d 9 5 9 1 5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b 7 4 a e 7 b e - d a 4 4 - 4 5 8 3 - 9 9 f f - 4 2 9 2 0 a d 9 5 9 1 5 ] ] > < / T e x t >  
                 < T e x t   i d = " P r o f i l e . O r g a n i z a t i o n U n i t I d "   l a b e l = " P r o f i l e . O r g a n i z a t i o n U n i t I d " > < ! [ C D A T A [ 7 2 1 0 7 8 5 d - 9 2 6 e - 4 0 d 5 - b 9 9 9 - 6 5 b c c 0 a e f 4 1 0 ] ] > < / T e x t >  
                 < T e x t   i d = " P r o f i l e . O r g . E m a i l "   l a b e l = " P r o f i l e . O r g . E m a i l " > < ! [ C D A T A [   ] ] > < / T e x t >  
                 < T e x t   i d = " P r o f i l e . O r g . F a x "   l a b e l = " P r o f i l e . O r g . F a x " > < ! [ C D A T A [  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C a n c e l l e r i a   d e l l o   S t a t o ] ] > < / T e x t >  
                 < T e x t   i d = " P r o f i l e . O r g . L e v e l 3 "   l a b e l = " P r o f i l e . O r g . L e v e l 3 " > < ! [ C D A T A [ S e r v i z i   g i u r i d i c i   d e l   C o n s i g l i o   d i   S t a t o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I n c a r i c a t o   c a n t o n a l e   d e l l a   p r o t e z i o n e   d e i   d a t i ] ] > < / T e x t >  
                 < T e x t   i d = " P r o f i l e . O r g . P h o n e "   l a b e l = " P r o f i l e . O r g . P h o n e " > < ! [ C D A T A [ + 4 1   9 1   8 1 4   4 5   0 1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V i a   C a n o n i c o   G h i r i n g h e l l i   1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w w w . t i . c h / p r o t e z i o n e d a t i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s a r a . c o m b i @ t i . c h ] ] > < / T e x t >  
                 < T e x t   i d = " P r o f i l e . U s e r . F i r s t N a m e "   l a b e l = " P r o f i l e . U s e r . F i r s t N a m e " > < ! [ C D A T A [ S a r a ] ] > < / T e x t >  
                 < T e x t   i d = " P r o f i l e . U s e r . F u n c t i o n "   l a b e l = " P r o f i l e . U s e r . F u n c t i o n " > < ! [ C D A T A [ D F E - D R - C S I ] ] > < / T e x t >  
                 < T e x t   i d = " P r o f i l e . U s e r . L a s t N a m e "   l a b e l = " P r o f i l e . U s e r . L a s t N a m e " > < ! [ C D A T A [ C o m b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1 2 4 5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s a r a . c o m b i @ t i . c h ] ] > < / T e x t >  
                 < T e x t   i d = " A u t h o r . U s e r . F i r s t N a m e "   l a b e l = " A u t h o r . U s e r . F i r s t N a m e " > < ! [ C D A T A [ S a r a ] ] > < / T e x t >  
                 < T e x t   i d = " A u t h o r . U s e r . F u n c t i o n "   l a b e l = " A u t h o r . U s e r . F u n c t i o n " > < ! [ C D A T A [ D F E - D R - C S I ] ] > < / T e x t >  
                 < T e x t   i d = " A u t h o r . U s e r . L a s t N a m e "   l a b e l = " A u t h o r . U s e r . L a s t N a m e " > < ! [ C D A T A [ C o m b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1 2 4 5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 2 0 2 5 - 0 4 - 0 1 T 2 2 : 0 0 : 0 0 Z < / D a t e T i m e >  
                 < T e x t   i d = " D o c P a r a m . S u b j e c t " > R e g o l a m e n t o   s t a n d a r d   d e l l  I C P D   s u l l a   l e t t u r a   d i   n u m e r i   d  i m m a t r i c o l a z i o n e   d i   v e i c o l i   s u   s t r a d e   c o m u n a l i   c o n   s e g n a l e   d i   d i v i e t o   d i   c i r c o l a z i o n e   p e r   g l i   a u t o v e i c o l i   o   d i   d i v i e t o   d  a c c e s s o < / T e x t >  
             < / P a r a m e t e r >  
             < S c r i p t i n g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�  
 �  
 t e l e f o n o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V i a   C a n o n i c o   G h i r i n g h e l l i   1  
 6 5 0 1   B e l l i n z o n a  
 �  
 + 4 1   9 1   8 1 4   4 5   0 1  
 w w w . t i . c h / p r o t e z i o n e d a t i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C a n c e l l e r i a   d e l l o   S t a t o  
 S e r v i z i   g i u r i d i c i   d e l   C o n s i g l i o   d i   S t a t o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S a r a   C o m b i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4   1 2   4 5  
 s a r a . c o m b i @ t i . c h ] ] > < / T e x t >  
                 < T e x t   i d = " C u s t o m E l e m e n t s . C o r r e s p o n d e n c e . L e v e l 6 "   l a b e l = " C u s t o m E l e m e n t s . C o r r e s p o n d e n c e . L e v e l 6 " > < ! [ C D A T A [ I n c a r i c a t o   c a n t o n a l e   d e l l a   p r o t e z i o n e   d e i   d a t i  
 6 5 0 1   B e l l i n z o n a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1 1   m a r z o   2 0 2 5 ] ] > < / T e x t >  
                 < T e x t   i d = " C u s t o m E l e m e n t s . C o r r e s p o n d e n c e . C i t y "   l a b e l = " C u s t o m E l e m e n t s . C o r r e s p o n d e n c e . C i t y " > < ! [ C D A T A [ B e l l i n z o n a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S a r a   C o m b i ,   t e l .   + 4 1   9 1   8 1 4   1 2   4 5 ] ] > < / T e x t >  
                 < T e x t   i d = " C u s t o m E l e m e n t s . C o r r e s p o n d e n c e . F i r m a U T "   l a b e l = " C u s t o m E l e m e n t s . C o r r e s p o n d e n c e . F i r m a U T " > < ! [ C D A T A [ I n c a r i c a t o   c a n t o n a l e   d e l l a   p r o t e z i o  
 e   d e i   d a t i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C a n c e l l e r i a   d e l l o   S t a t o  
 S e r v i z i   g i u r i d i c i   d e l   C o n s i g l i o   d i   S t a t o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< ! [ C D A T A [ I n c a r i c a t o   c a n t o n a l e   d e l l a   p r o t e z i o n e   d e i   d a t i ] ] >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I n c a r i c a t o   c a n t o n a l e   d e l l a   p r o t e z i o n e   d e i   d a t i  
 6 5 0 1   B e l l i n z o n a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2114745057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22870BE1-D52A-4608-B884-C724316CC94F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64FB90EE-BA29-4284-BC0B-47A444A276EE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c614b1d9-85d5-49bb-a2b4-d22148cee97a.dotx</Template>
  <TotalTime>5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Combi Sara</cp:lastModifiedBy>
  <cp:revision>4</cp:revision>
  <dcterms:created xsi:type="dcterms:W3CDTF">2025-04-01T12:32:00Z</dcterms:created>
  <dcterms:modified xsi:type="dcterms:W3CDTF">2025-04-02T15:32:00Z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