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084" w:rsidRPr="00920084" w:rsidRDefault="00920084" w:rsidP="00920084">
      <w:pPr>
        <w:tabs>
          <w:tab w:val="left" w:pos="425"/>
        </w:tabs>
        <w:spacing w:after="120"/>
        <w:jc w:val="both"/>
        <w:outlineLvl w:val="0"/>
        <w:rPr>
          <w:rFonts w:cs="Arial"/>
          <w:b/>
          <w:szCs w:val="24"/>
        </w:rPr>
      </w:pPr>
      <w:r w:rsidRPr="00920084">
        <w:rPr>
          <w:rFonts w:cs="Arial"/>
          <w:b/>
          <w:szCs w:val="24"/>
        </w:rPr>
        <w:t>INTERPELLANZA</w:t>
      </w:r>
    </w:p>
    <w:p w:rsidR="00920084" w:rsidRPr="00920084" w:rsidRDefault="00920084" w:rsidP="00920084">
      <w:pPr>
        <w:rPr>
          <w:rFonts w:cs="Arial"/>
          <w:szCs w:val="24"/>
        </w:rPr>
      </w:pPr>
    </w:p>
    <w:p w:rsidR="00920084" w:rsidRPr="00920084" w:rsidRDefault="00920084" w:rsidP="00920084">
      <w:pPr>
        <w:tabs>
          <w:tab w:val="left" w:pos="425"/>
        </w:tabs>
        <w:spacing w:after="120"/>
        <w:jc w:val="both"/>
        <w:outlineLvl w:val="0"/>
        <w:rPr>
          <w:rFonts w:cs="Arial"/>
          <w:b/>
          <w:szCs w:val="24"/>
          <w:u w:val="single"/>
        </w:rPr>
      </w:pPr>
      <w:r w:rsidRPr="00920084">
        <w:rPr>
          <w:rFonts w:cs="Arial"/>
          <w:b/>
          <w:szCs w:val="24"/>
          <w:u w:val="single"/>
        </w:rPr>
        <w:t>Appalti pubblici</w:t>
      </w:r>
    </w:p>
    <w:p w:rsidR="00920084" w:rsidRPr="00920084" w:rsidRDefault="00920084" w:rsidP="00920084">
      <w:pPr>
        <w:jc w:val="both"/>
        <w:rPr>
          <w:rFonts w:cs="Arial"/>
          <w:szCs w:val="24"/>
        </w:rPr>
      </w:pPr>
    </w:p>
    <w:p w:rsidR="00920084" w:rsidRPr="00920084" w:rsidRDefault="00920084" w:rsidP="00920084">
      <w:pPr>
        <w:spacing w:after="120"/>
        <w:jc w:val="both"/>
        <w:rPr>
          <w:rFonts w:cs="Arial"/>
          <w:szCs w:val="24"/>
        </w:rPr>
      </w:pPr>
      <w:r w:rsidRPr="00920084">
        <w:rPr>
          <w:rFonts w:cs="Arial"/>
          <w:szCs w:val="24"/>
        </w:rPr>
        <w:t>del 20 ottobre 2008</w:t>
      </w:r>
    </w:p>
    <w:p w:rsidR="00920084" w:rsidRPr="00920084" w:rsidRDefault="00920084" w:rsidP="00920084">
      <w:pPr>
        <w:jc w:val="both"/>
        <w:rPr>
          <w:rFonts w:cs="Arial"/>
          <w:szCs w:val="24"/>
        </w:rPr>
      </w:pPr>
    </w:p>
    <w:p w:rsidR="00920084" w:rsidRPr="00920084" w:rsidRDefault="00920084" w:rsidP="00920084">
      <w:pPr>
        <w:jc w:val="both"/>
        <w:rPr>
          <w:rFonts w:cs="Arial"/>
          <w:szCs w:val="24"/>
        </w:rPr>
      </w:pPr>
      <w:r w:rsidRPr="00920084">
        <w:rPr>
          <w:rFonts w:cs="Arial"/>
          <w:szCs w:val="24"/>
        </w:rPr>
        <w:t xml:space="preserve">Nonostante gli innumerevoli richiami al rispetto della puntuale applicazione della Legge sulle commesse pubbliche, questa sembra venire sistematicamente aggirata anche dagli Enti cantonali. In ordine di tempo, l’ultima segnalazione riguarda situazioni di subappalto, a dir poco preoccupanti, avvenute meno di un mese fa ad opera dell’EOC (Ente ospedaliero cantonale). </w:t>
      </w:r>
    </w:p>
    <w:p w:rsidR="00920084" w:rsidRPr="00920084" w:rsidRDefault="00920084" w:rsidP="00920084">
      <w:pPr>
        <w:jc w:val="both"/>
        <w:rPr>
          <w:rFonts w:cs="Arial"/>
          <w:szCs w:val="24"/>
        </w:rPr>
      </w:pPr>
    </w:p>
    <w:p w:rsidR="00920084" w:rsidRPr="00920084" w:rsidRDefault="00920084" w:rsidP="00920084">
      <w:pPr>
        <w:spacing w:after="120"/>
        <w:jc w:val="both"/>
        <w:rPr>
          <w:rFonts w:cs="Arial"/>
          <w:szCs w:val="24"/>
          <w:u w:val="single"/>
        </w:rPr>
      </w:pPr>
      <w:r w:rsidRPr="00920084">
        <w:rPr>
          <w:rFonts w:cs="Arial"/>
          <w:szCs w:val="24"/>
          <w:u w:val="single"/>
        </w:rPr>
        <w:t>I fatti</w:t>
      </w:r>
    </w:p>
    <w:p w:rsidR="00920084" w:rsidRPr="00920084" w:rsidRDefault="00920084" w:rsidP="00920084">
      <w:pPr>
        <w:jc w:val="both"/>
        <w:rPr>
          <w:rFonts w:cs="Arial"/>
          <w:szCs w:val="24"/>
        </w:rPr>
      </w:pPr>
      <w:r w:rsidRPr="00920084">
        <w:rPr>
          <w:rFonts w:cs="Arial"/>
          <w:szCs w:val="24"/>
        </w:rPr>
        <w:t>Il 25 settembre scorso, presso l’Ospedale S. Giovanni di Bellinzona, in un’ala dello stabile in fase di riattazione, è stata verificata la presenza di due ditte italiane che stavano effettuando, in subappalto, lavori che potrebbero essere normalmente eseguiti anche da ditte artigiane locali.</w:t>
      </w:r>
    </w:p>
    <w:p w:rsidR="00920084" w:rsidRPr="00920084" w:rsidRDefault="00920084" w:rsidP="00920084">
      <w:pPr>
        <w:jc w:val="both"/>
        <w:rPr>
          <w:rFonts w:cs="Arial"/>
          <w:szCs w:val="24"/>
        </w:rPr>
      </w:pPr>
      <w:r w:rsidRPr="00920084">
        <w:rPr>
          <w:rFonts w:cs="Arial"/>
          <w:szCs w:val="24"/>
        </w:rPr>
        <w:t>La prima, Italgips Srvice Srl di Treviolo BG, stava effettuando, in subappalto, con due operai di origine rumena, lavori di gessatura con materiale della ditta Eurogips Service Srl di Madone BG che sembrerebbe essere la ditta che ha ricevuto l’appalto.</w:t>
      </w:r>
    </w:p>
    <w:p w:rsidR="00920084" w:rsidRPr="00920084" w:rsidRDefault="00920084" w:rsidP="00920084">
      <w:pPr>
        <w:jc w:val="both"/>
        <w:rPr>
          <w:rFonts w:cs="Arial"/>
          <w:szCs w:val="24"/>
        </w:rPr>
      </w:pPr>
      <w:r w:rsidRPr="00920084">
        <w:rPr>
          <w:rFonts w:cs="Arial"/>
          <w:szCs w:val="24"/>
        </w:rPr>
        <w:t xml:space="preserve">La seconda, Tecnopose Srl di Milano, stava eseguendo la posa di un pavimento galleggiante (pavimento tecnico), con due lavoratori ed un responsabile (due italiani ed un rumeno), in subappalto per conto della ditta Newfloor Srl, la quale ha ricevuto mandato dalla ditta Deko Collezioni di Medesano PR che sembrerebbe essere la ditta che ha ricevuto l’appalto. </w:t>
      </w:r>
    </w:p>
    <w:p w:rsidR="00920084" w:rsidRPr="00920084" w:rsidRDefault="00920084" w:rsidP="00920084">
      <w:pPr>
        <w:jc w:val="both"/>
        <w:rPr>
          <w:rFonts w:cs="Arial"/>
          <w:szCs w:val="24"/>
        </w:rPr>
      </w:pPr>
      <w:r w:rsidRPr="00920084">
        <w:rPr>
          <w:rFonts w:cs="Arial"/>
          <w:szCs w:val="24"/>
        </w:rPr>
        <w:t>Come si può facilmente arguire, si tratta di violazioni gravissime della legislazione vigente, la quale esclude di principio il subappalto e non tollera assolutamente il subappalto del subappalto.</w:t>
      </w:r>
    </w:p>
    <w:p w:rsidR="00920084" w:rsidRPr="00920084" w:rsidRDefault="00920084" w:rsidP="00920084">
      <w:pPr>
        <w:jc w:val="both"/>
        <w:rPr>
          <w:rFonts w:cs="Arial"/>
          <w:szCs w:val="24"/>
        </w:rPr>
      </w:pPr>
      <w:r w:rsidRPr="00920084">
        <w:rPr>
          <w:rFonts w:cs="Arial"/>
          <w:szCs w:val="24"/>
        </w:rPr>
        <w:t xml:space="preserve">Ma, al di la di quanto prevede la legislazione in materia, ci sembra estremamente grave che gli organi </w:t>
      </w:r>
      <w:smartTag w:uri="urn:schemas-microsoft-com:office:smarttags" w:element="PersonName">
        <w:r w:rsidRPr="00920084">
          <w:rPr>
            <w:rFonts w:cs="Arial"/>
            <w:szCs w:val="24"/>
          </w:rPr>
          <w:t>can</w:t>
        </w:r>
      </w:smartTag>
      <w:r w:rsidRPr="00920084">
        <w:rPr>
          <w:rFonts w:cs="Arial"/>
          <w:szCs w:val="24"/>
        </w:rPr>
        <w:t xml:space="preserve">tonali preposti alla sorveglianza dell’applicazione di tali leggi permettano, da parte di un Ente </w:t>
      </w:r>
      <w:smartTag w:uri="urn:schemas-microsoft-com:office:smarttags" w:element="PersonName">
        <w:r w:rsidRPr="00920084">
          <w:rPr>
            <w:rFonts w:cs="Arial"/>
            <w:szCs w:val="24"/>
          </w:rPr>
          <w:t>can</w:t>
        </w:r>
      </w:smartTag>
      <w:r w:rsidRPr="00920084">
        <w:rPr>
          <w:rFonts w:cs="Arial"/>
          <w:szCs w:val="24"/>
        </w:rPr>
        <w:t xml:space="preserve">tonale, la sistematica violazione delle più elementari normative in materia di applicazione dei testi di legge e delle relative ordinanze. </w:t>
      </w:r>
    </w:p>
    <w:p w:rsidR="00920084" w:rsidRPr="00920084" w:rsidRDefault="00920084" w:rsidP="00920084">
      <w:pPr>
        <w:jc w:val="both"/>
        <w:rPr>
          <w:rFonts w:cs="Arial"/>
          <w:szCs w:val="24"/>
        </w:rPr>
      </w:pPr>
      <w:r w:rsidRPr="00920084">
        <w:rPr>
          <w:rFonts w:cs="Arial"/>
          <w:szCs w:val="24"/>
        </w:rPr>
        <w:t>Inoltre, data la chiara situazione di disagio riscontrata nel nostro Cantone, la palese man</w:t>
      </w:r>
      <w:smartTag w:uri="urn:schemas-microsoft-com:office:smarttags" w:element="PersonName">
        <w:r w:rsidRPr="00920084">
          <w:rPr>
            <w:rFonts w:cs="Arial"/>
            <w:szCs w:val="24"/>
          </w:rPr>
          <w:t>can</w:t>
        </w:r>
      </w:smartTag>
      <w:r w:rsidRPr="00920084">
        <w:rPr>
          <w:rFonts w:cs="Arial"/>
          <w:szCs w:val="24"/>
        </w:rPr>
        <w:t xml:space="preserve">za di reciprocità per le nostre aziende e la natura semplice degli interventi da effettuare, v’è da chiedersi quale sia stata la DL che ha, se così fosse, deciso l’appalto di un lavoro finanziato dai soldi del contribuente ticinese a ditte estere. </w:t>
      </w:r>
    </w:p>
    <w:p w:rsidR="00920084" w:rsidRPr="00920084" w:rsidRDefault="00920084" w:rsidP="00920084">
      <w:pPr>
        <w:spacing w:after="120"/>
        <w:jc w:val="both"/>
        <w:rPr>
          <w:rFonts w:cs="Arial"/>
          <w:szCs w:val="24"/>
        </w:rPr>
      </w:pPr>
      <w:r w:rsidRPr="00920084">
        <w:rPr>
          <w:rFonts w:cs="Arial"/>
          <w:szCs w:val="24"/>
        </w:rPr>
        <w:t xml:space="preserve">Pertanto, considerato che la Legge sulle commesse pubbliche del 20 febbraio 2001 all’art. 44 prevede espressamente il divieto di cessione della commessa, e che l’applicazione della stessa compete al Governo (art. 46) chiedo al Consiglio di Stato: </w:t>
      </w:r>
    </w:p>
    <w:p w:rsidR="00920084" w:rsidRPr="00920084" w:rsidRDefault="00920084" w:rsidP="00920084">
      <w:pPr>
        <w:numPr>
          <w:ilvl w:val="0"/>
          <w:numId w:val="16"/>
        </w:numPr>
        <w:tabs>
          <w:tab w:val="clear" w:pos="720"/>
          <w:tab w:val="num" w:pos="360"/>
        </w:tabs>
        <w:ind w:left="0" w:firstLine="0"/>
        <w:jc w:val="both"/>
        <w:rPr>
          <w:rFonts w:cs="Arial"/>
          <w:szCs w:val="24"/>
        </w:rPr>
      </w:pPr>
      <w:r w:rsidRPr="00920084">
        <w:rPr>
          <w:rFonts w:cs="Arial"/>
          <w:szCs w:val="24"/>
        </w:rPr>
        <w:t>a chi sono stati effettivamente assegnati gli appalti in questione;</w:t>
      </w:r>
    </w:p>
    <w:p w:rsidR="00920084" w:rsidRPr="00920084" w:rsidRDefault="00920084" w:rsidP="00920084">
      <w:pPr>
        <w:numPr>
          <w:ilvl w:val="0"/>
          <w:numId w:val="16"/>
        </w:numPr>
        <w:tabs>
          <w:tab w:val="clear" w:pos="720"/>
          <w:tab w:val="num" w:pos="360"/>
        </w:tabs>
        <w:ind w:left="357" w:hanging="357"/>
        <w:jc w:val="both"/>
        <w:rPr>
          <w:rFonts w:cs="Arial"/>
          <w:szCs w:val="24"/>
        </w:rPr>
      </w:pPr>
      <w:r w:rsidRPr="00920084">
        <w:rPr>
          <w:rFonts w:cs="Arial"/>
          <w:szCs w:val="24"/>
        </w:rPr>
        <w:t>come si è svolta la procedura di aggiudicazione, e quali sono stati i motivi per cui questi lavori sono stati assegnati a ditte che neanche sono conosciute;</w:t>
      </w:r>
    </w:p>
    <w:p w:rsidR="00920084" w:rsidRPr="00920084" w:rsidRDefault="00920084" w:rsidP="00920084">
      <w:pPr>
        <w:numPr>
          <w:ilvl w:val="0"/>
          <w:numId w:val="16"/>
        </w:numPr>
        <w:tabs>
          <w:tab w:val="clear" w:pos="720"/>
          <w:tab w:val="num" w:pos="360"/>
        </w:tabs>
        <w:ind w:left="357" w:hanging="357"/>
        <w:jc w:val="both"/>
        <w:rPr>
          <w:rFonts w:cs="Arial"/>
          <w:szCs w:val="24"/>
        </w:rPr>
      </w:pPr>
      <w:r w:rsidRPr="00920084">
        <w:rPr>
          <w:rFonts w:cs="Arial"/>
          <w:szCs w:val="24"/>
        </w:rPr>
        <w:t>chi ha materialmente gestito l’appalto e chi si è occupato della Direzione lavori;</w:t>
      </w:r>
    </w:p>
    <w:p w:rsidR="00920084" w:rsidRPr="00920084" w:rsidRDefault="00920084" w:rsidP="00920084">
      <w:pPr>
        <w:numPr>
          <w:ilvl w:val="0"/>
          <w:numId w:val="16"/>
        </w:numPr>
        <w:tabs>
          <w:tab w:val="clear" w:pos="720"/>
          <w:tab w:val="num" w:pos="360"/>
        </w:tabs>
        <w:ind w:left="357" w:hanging="357"/>
        <w:jc w:val="both"/>
        <w:rPr>
          <w:rFonts w:cs="Arial"/>
          <w:szCs w:val="24"/>
        </w:rPr>
      </w:pPr>
      <w:r w:rsidRPr="00920084">
        <w:rPr>
          <w:rFonts w:cs="Arial"/>
          <w:szCs w:val="24"/>
        </w:rPr>
        <w:t xml:space="preserve">quali garanzie sono state ottenute sull’esecuzione, considerato che gli esecutori non sono, si presume, gli assegnatari dell’appalto; </w:t>
      </w:r>
    </w:p>
    <w:p w:rsidR="00920084" w:rsidRPr="00920084" w:rsidRDefault="00920084" w:rsidP="00920084">
      <w:pPr>
        <w:numPr>
          <w:ilvl w:val="0"/>
          <w:numId w:val="16"/>
        </w:numPr>
        <w:tabs>
          <w:tab w:val="clear" w:pos="720"/>
          <w:tab w:val="num" w:pos="360"/>
        </w:tabs>
        <w:ind w:left="357" w:hanging="357"/>
        <w:jc w:val="both"/>
        <w:rPr>
          <w:rFonts w:cs="Arial"/>
          <w:szCs w:val="24"/>
        </w:rPr>
      </w:pPr>
      <w:r w:rsidRPr="00920084">
        <w:rPr>
          <w:rFonts w:cs="Arial"/>
          <w:szCs w:val="24"/>
        </w:rPr>
        <w:t>come intende procedere nei due casi in oggetto;</w:t>
      </w:r>
    </w:p>
    <w:p w:rsidR="00920084" w:rsidRPr="00920084" w:rsidRDefault="00920084" w:rsidP="00920084">
      <w:pPr>
        <w:numPr>
          <w:ilvl w:val="0"/>
          <w:numId w:val="16"/>
        </w:numPr>
        <w:tabs>
          <w:tab w:val="clear" w:pos="720"/>
          <w:tab w:val="num" w:pos="360"/>
        </w:tabs>
        <w:ind w:left="357" w:hanging="357"/>
        <w:jc w:val="both"/>
        <w:rPr>
          <w:rFonts w:cs="Arial"/>
          <w:szCs w:val="24"/>
        </w:rPr>
      </w:pPr>
      <w:r w:rsidRPr="00920084">
        <w:rPr>
          <w:rFonts w:cs="Arial"/>
          <w:szCs w:val="24"/>
        </w:rPr>
        <w:t xml:space="preserve">cosa intende mettere in atto per evitare il ripetersi di simili situazioni già denunciate a più riprese; </w:t>
      </w:r>
    </w:p>
    <w:p w:rsidR="00920084" w:rsidRPr="00920084" w:rsidRDefault="00920084" w:rsidP="00920084">
      <w:pPr>
        <w:numPr>
          <w:ilvl w:val="0"/>
          <w:numId w:val="16"/>
        </w:numPr>
        <w:tabs>
          <w:tab w:val="clear" w:pos="720"/>
          <w:tab w:val="num" w:pos="360"/>
        </w:tabs>
        <w:ind w:left="357" w:hanging="357"/>
        <w:jc w:val="both"/>
        <w:rPr>
          <w:rFonts w:cs="Arial"/>
          <w:szCs w:val="24"/>
        </w:rPr>
      </w:pPr>
      <w:r w:rsidRPr="00920084">
        <w:rPr>
          <w:rFonts w:cs="Arial"/>
          <w:szCs w:val="24"/>
        </w:rPr>
        <w:t>come intende agire nei confronti dell’EOC e della divisione della logistica, cui compete l’obbligo della verifica delle disposizioni di legge;</w:t>
      </w:r>
    </w:p>
    <w:p w:rsidR="00920084" w:rsidRPr="00920084" w:rsidRDefault="00920084" w:rsidP="00920084">
      <w:pPr>
        <w:numPr>
          <w:ilvl w:val="0"/>
          <w:numId w:val="16"/>
        </w:numPr>
        <w:tabs>
          <w:tab w:val="clear" w:pos="720"/>
          <w:tab w:val="num" w:pos="360"/>
        </w:tabs>
        <w:ind w:left="357" w:hanging="357"/>
        <w:jc w:val="both"/>
        <w:rPr>
          <w:rFonts w:cs="Arial"/>
          <w:szCs w:val="24"/>
        </w:rPr>
      </w:pPr>
      <w:r w:rsidRPr="00920084">
        <w:rPr>
          <w:rFonts w:cs="Arial"/>
          <w:szCs w:val="24"/>
        </w:rPr>
        <w:t>cosa intende mettere in atto per sensibilizzare, richiamare alle proprie responsabilità ed eventualmente sanzionare i diversi Uffici cantonali e gli Enti pubblici e para pubblici, in caso di inadempienze o di palesi omissioni;</w:t>
      </w:r>
    </w:p>
    <w:p w:rsidR="00920084" w:rsidRPr="00920084" w:rsidRDefault="00920084" w:rsidP="00920084">
      <w:pPr>
        <w:numPr>
          <w:ilvl w:val="0"/>
          <w:numId w:val="16"/>
        </w:numPr>
        <w:tabs>
          <w:tab w:val="clear" w:pos="720"/>
          <w:tab w:val="num" w:pos="360"/>
        </w:tabs>
        <w:ind w:left="357" w:hanging="357"/>
        <w:jc w:val="both"/>
        <w:rPr>
          <w:rFonts w:cs="Arial"/>
          <w:szCs w:val="24"/>
        </w:rPr>
      </w:pPr>
      <w:r w:rsidRPr="00920084">
        <w:rPr>
          <w:rFonts w:cs="Arial"/>
          <w:szCs w:val="24"/>
        </w:rPr>
        <w:t>se, in applicazione dell’art. 45 della legge in questione, intende procedere all’esclusione dagli appalti pubblici (per un periodo massimo di cinque anni) delle ditte che in dispregio delle normative in vigore, e operando in regime di concorrenza sleale, hanno tranquillamente disatteso gli impegni assunti con la firma del contratto d’appalto;</w:t>
      </w:r>
    </w:p>
    <w:p w:rsidR="00920084" w:rsidRPr="00920084" w:rsidRDefault="00920084" w:rsidP="00920084">
      <w:pPr>
        <w:numPr>
          <w:ilvl w:val="0"/>
          <w:numId w:val="16"/>
        </w:numPr>
        <w:tabs>
          <w:tab w:val="clear" w:pos="720"/>
          <w:tab w:val="num" w:pos="360"/>
        </w:tabs>
        <w:ind w:left="357" w:hanging="357"/>
        <w:jc w:val="both"/>
        <w:rPr>
          <w:rFonts w:cs="Arial"/>
          <w:szCs w:val="24"/>
        </w:rPr>
      </w:pPr>
      <w:r w:rsidRPr="00920084">
        <w:rPr>
          <w:rFonts w:cs="Arial"/>
          <w:szCs w:val="24"/>
        </w:rPr>
        <w:t xml:space="preserve">infine, se dispone l’Amministrazione pubblica del personale necessario e competente per esigere una corretta applicazione della legge, a tutela degli offerenti onesti e della serietà delle imprese che onorano gli impegni assunti escludendo furbate di ogni tipo. </w:t>
      </w:r>
    </w:p>
    <w:p w:rsidR="00920084" w:rsidRPr="00920084" w:rsidRDefault="00920084" w:rsidP="00920084">
      <w:pPr>
        <w:jc w:val="both"/>
        <w:rPr>
          <w:rFonts w:cs="Arial"/>
          <w:szCs w:val="24"/>
        </w:rPr>
      </w:pPr>
    </w:p>
    <w:p w:rsidR="00920084" w:rsidRPr="00920084" w:rsidRDefault="00920084" w:rsidP="00920084">
      <w:pPr>
        <w:spacing w:after="120"/>
        <w:jc w:val="both"/>
        <w:rPr>
          <w:rFonts w:cs="Arial"/>
          <w:szCs w:val="24"/>
          <w:u w:val="single"/>
        </w:rPr>
      </w:pPr>
      <w:r w:rsidRPr="00920084">
        <w:rPr>
          <w:rFonts w:cs="Arial"/>
          <w:szCs w:val="24"/>
          <w:u w:val="single"/>
        </w:rPr>
        <w:t>Estratto dalla Legge sulle commesse pubbliche (LCPubb) del 20 febbraio 2001</w:t>
      </w:r>
    </w:p>
    <w:p w:rsidR="00920084" w:rsidRPr="00920084" w:rsidRDefault="00920084" w:rsidP="00920084">
      <w:pPr>
        <w:tabs>
          <w:tab w:val="left" w:pos="540"/>
          <w:tab w:val="left" w:pos="1701"/>
        </w:tabs>
        <w:spacing w:after="120"/>
        <w:ind w:right="4309"/>
        <w:jc w:val="both"/>
        <w:rPr>
          <w:rFonts w:cs="Arial"/>
          <w:noProof/>
          <w:szCs w:val="24"/>
          <w:lang w:eastAsia="it-CH"/>
        </w:rPr>
      </w:pPr>
      <w:r w:rsidRPr="00920084">
        <w:rPr>
          <w:rFonts w:cs="Arial"/>
          <w:noProof/>
          <w:szCs w:val="24"/>
          <w:lang w:val="it-CH" w:eastAsia="it-CH"/>
        </w:rPr>
        <w:t xml:space="preserve">Art. 44 - </w:t>
      </w:r>
      <w:r w:rsidRPr="00920084">
        <w:rPr>
          <w:rFonts w:cs="Arial"/>
          <w:noProof/>
          <w:szCs w:val="24"/>
          <w:lang w:eastAsia="it-CH"/>
        </w:rPr>
        <w:t xml:space="preserve">Divieto di cessione </w:t>
      </w:r>
    </w:p>
    <w:p w:rsidR="00920084" w:rsidRPr="00920084" w:rsidRDefault="00920084" w:rsidP="00920084">
      <w:pPr>
        <w:tabs>
          <w:tab w:val="left" w:pos="540"/>
          <w:tab w:val="left" w:pos="1701"/>
        </w:tabs>
        <w:spacing w:after="40"/>
        <w:ind w:right="187"/>
        <w:jc w:val="both"/>
        <w:rPr>
          <w:rFonts w:cs="Arial"/>
          <w:i/>
          <w:szCs w:val="24"/>
        </w:rPr>
      </w:pPr>
      <w:r w:rsidRPr="00920084">
        <w:rPr>
          <w:rFonts w:ascii="Times" w:hAnsi="Times" w:cs="Arial"/>
          <w:i/>
          <w:position w:val="4"/>
          <w:szCs w:val="24"/>
          <w:vertAlign w:val="superscript"/>
        </w:rPr>
        <w:t>1</w:t>
      </w:r>
      <w:r w:rsidRPr="00920084">
        <w:rPr>
          <w:rFonts w:cs="Arial"/>
          <w:i/>
          <w:szCs w:val="24"/>
        </w:rPr>
        <w:t xml:space="preserve">L’assuntore deve assicurare in proprio la commessa aggiudicata. </w:t>
      </w:r>
    </w:p>
    <w:p w:rsidR="00920084" w:rsidRPr="00920084" w:rsidRDefault="00920084" w:rsidP="00920084">
      <w:pPr>
        <w:tabs>
          <w:tab w:val="left" w:pos="540"/>
          <w:tab w:val="left" w:pos="1701"/>
        </w:tabs>
        <w:spacing w:after="40"/>
        <w:ind w:right="187"/>
        <w:jc w:val="both"/>
        <w:rPr>
          <w:rFonts w:cs="Arial"/>
          <w:i/>
          <w:szCs w:val="24"/>
        </w:rPr>
      </w:pPr>
      <w:r w:rsidRPr="00920084">
        <w:rPr>
          <w:rFonts w:ascii="Times" w:hAnsi="Times" w:cs="Arial"/>
          <w:i/>
          <w:position w:val="4"/>
          <w:szCs w:val="24"/>
          <w:vertAlign w:val="superscript"/>
        </w:rPr>
        <w:t>2</w:t>
      </w:r>
      <w:r w:rsidRPr="00920084">
        <w:rPr>
          <w:rFonts w:cs="Arial"/>
          <w:i/>
          <w:szCs w:val="24"/>
        </w:rPr>
        <w:t xml:space="preserve">Il committente ha il diritto di rescindere il contratto in caso di cessione totale o parziale non autorizzata a terzi e di chiedere il risarcimento dei danni. </w:t>
      </w:r>
    </w:p>
    <w:p w:rsidR="00920084" w:rsidRPr="00920084" w:rsidRDefault="00920084" w:rsidP="00920084">
      <w:pPr>
        <w:tabs>
          <w:tab w:val="left" w:pos="540"/>
          <w:tab w:val="left" w:pos="1701"/>
        </w:tabs>
        <w:ind w:right="187"/>
        <w:jc w:val="both"/>
        <w:rPr>
          <w:rFonts w:cs="Arial"/>
          <w:i/>
          <w:szCs w:val="24"/>
        </w:rPr>
      </w:pPr>
      <w:r w:rsidRPr="00920084">
        <w:rPr>
          <w:rFonts w:ascii="Times" w:hAnsi="Times" w:cs="Arial"/>
          <w:i/>
          <w:position w:val="4"/>
          <w:szCs w:val="24"/>
          <w:vertAlign w:val="superscript"/>
        </w:rPr>
        <w:t>3</w:t>
      </w:r>
      <w:r w:rsidRPr="00920084">
        <w:rPr>
          <w:rFonts w:cs="Arial"/>
          <w:i/>
          <w:szCs w:val="24"/>
        </w:rPr>
        <w:t xml:space="preserve">Solo in casi eccezionali e per motivi gravi, con il preventivo consenso scritto del committente, il contratto può essere ceduto, in tutto o in parte, a terzi, oppure è consentito associarsi con altre ditte, sempre che queste adempiano tutti i requisiti prescritti dalla presente legge. </w:t>
      </w:r>
    </w:p>
    <w:p w:rsidR="00920084" w:rsidRPr="00920084" w:rsidRDefault="00920084" w:rsidP="00920084">
      <w:pPr>
        <w:tabs>
          <w:tab w:val="left" w:pos="540"/>
          <w:tab w:val="left" w:pos="1701"/>
        </w:tabs>
        <w:ind w:right="4309"/>
        <w:jc w:val="both"/>
        <w:rPr>
          <w:rFonts w:cs="Arial"/>
          <w:i/>
          <w:noProof/>
          <w:szCs w:val="24"/>
          <w:lang w:eastAsia="it-CH"/>
        </w:rPr>
      </w:pPr>
    </w:p>
    <w:p w:rsidR="00920084" w:rsidRPr="00920084" w:rsidRDefault="00920084" w:rsidP="00920084">
      <w:pPr>
        <w:tabs>
          <w:tab w:val="left" w:pos="540"/>
          <w:tab w:val="left" w:pos="1701"/>
        </w:tabs>
        <w:spacing w:after="120"/>
        <w:ind w:right="4309"/>
        <w:jc w:val="both"/>
        <w:rPr>
          <w:rFonts w:cs="Arial"/>
          <w:noProof/>
          <w:szCs w:val="24"/>
          <w:lang w:eastAsia="it-CH"/>
        </w:rPr>
      </w:pPr>
      <w:r w:rsidRPr="00920084">
        <w:rPr>
          <w:rFonts w:cs="Arial"/>
          <w:noProof/>
          <w:szCs w:val="24"/>
          <w:lang w:val="it-CH" w:eastAsia="it-CH"/>
        </w:rPr>
        <w:t xml:space="preserve">Art. 45 - </w:t>
      </w:r>
      <w:r w:rsidRPr="00920084">
        <w:rPr>
          <w:rFonts w:cs="Arial"/>
          <w:noProof/>
          <w:szCs w:val="24"/>
          <w:lang w:eastAsia="it-CH"/>
        </w:rPr>
        <w:t xml:space="preserve">Sanzioni amministrative </w:t>
      </w:r>
    </w:p>
    <w:p w:rsidR="00920084" w:rsidRPr="00920084" w:rsidRDefault="00920084" w:rsidP="00920084">
      <w:pPr>
        <w:tabs>
          <w:tab w:val="left" w:pos="540"/>
          <w:tab w:val="left" w:pos="1701"/>
        </w:tabs>
        <w:spacing w:after="40"/>
        <w:ind w:right="187"/>
        <w:jc w:val="both"/>
        <w:rPr>
          <w:rFonts w:cs="Arial"/>
          <w:i/>
          <w:szCs w:val="24"/>
        </w:rPr>
      </w:pPr>
      <w:r w:rsidRPr="00920084">
        <w:rPr>
          <w:rFonts w:ascii="Times" w:hAnsi="Times" w:cs="Arial"/>
          <w:i/>
          <w:position w:val="4"/>
          <w:szCs w:val="24"/>
          <w:vertAlign w:val="superscript"/>
        </w:rPr>
        <w:t>1</w:t>
      </w:r>
      <w:r w:rsidRPr="00920084">
        <w:rPr>
          <w:rFonts w:cs="Arial"/>
          <w:i/>
          <w:szCs w:val="24"/>
        </w:rPr>
        <w:t xml:space="preserve">In caso di gravi violazioni della presente legge, il Consiglio di Stato può escludere il contravventore da ogni aggiudicazione per un periodo massimo di 5 anni. </w:t>
      </w:r>
    </w:p>
    <w:p w:rsidR="00920084" w:rsidRPr="00920084" w:rsidRDefault="00920084" w:rsidP="00920084">
      <w:pPr>
        <w:tabs>
          <w:tab w:val="left" w:pos="540"/>
          <w:tab w:val="left" w:pos="1701"/>
        </w:tabs>
        <w:ind w:right="187"/>
        <w:jc w:val="both"/>
        <w:rPr>
          <w:rFonts w:cs="Arial"/>
          <w:i/>
          <w:szCs w:val="24"/>
        </w:rPr>
      </w:pPr>
      <w:r w:rsidRPr="00920084">
        <w:rPr>
          <w:rFonts w:ascii="Times" w:hAnsi="Times" w:cs="Arial"/>
          <w:i/>
          <w:position w:val="4"/>
          <w:szCs w:val="24"/>
          <w:vertAlign w:val="superscript"/>
        </w:rPr>
        <w:t>2</w:t>
      </w:r>
      <w:r w:rsidRPr="00920084">
        <w:rPr>
          <w:rFonts w:cs="Arial"/>
          <w:i/>
          <w:szCs w:val="24"/>
        </w:rPr>
        <w:t xml:space="preserve">Sono considerate gravi violazioni: </w:t>
      </w:r>
    </w:p>
    <w:p w:rsidR="00920084" w:rsidRPr="00920084" w:rsidRDefault="00920084" w:rsidP="00920084">
      <w:pPr>
        <w:tabs>
          <w:tab w:val="left" w:pos="360"/>
          <w:tab w:val="left" w:pos="1134"/>
          <w:tab w:val="left" w:pos="1701"/>
        </w:tabs>
        <w:ind w:left="360" w:right="187" w:hanging="360"/>
        <w:jc w:val="both"/>
        <w:rPr>
          <w:rFonts w:cs="Arial"/>
          <w:i/>
          <w:noProof/>
          <w:szCs w:val="24"/>
        </w:rPr>
      </w:pPr>
      <w:r w:rsidRPr="00920084">
        <w:rPr>
          <w:rFonts w:cs="Arial"/>
          <w:i/>
          <w:noProof/>
          <w:szCs w:val="24"/>
        </w:rPr>
        <w:t>a)</w:t>
      </w:r>
      <w:r w:rsidRPr="00920084">
        <w:rPr>
          <w:rFonts w:cs="Arial"/>
          <w:i/>
          <w:noProof/>
          <w:szCs w:val="24"/>
        </w:rPr>
        <w:tab/>
        <w:t xml:space="preserve">la cessione parziale o totale del contratto senza l’accordo del committente; </w:t>
      </w:r>
    </w:p>
    <w:p w:rsidR="00920084" w:rsidRPr="00920084" w:rsidRDefault="00920084" w:rsidP="00920084">
      <w:pPr>
        <w:tabs>
          <w:tab w:val="left" w:pos="360"/>
          <w:tab w:val="left" w:pos="1134"/>
          <w:tab w:val="left" w:pos="1701"/>
        </w:tabs>
        <w:ind w:left="360" w:right="187" w:hanging="360"/>
        <w:jc w:val="both"/>
        <w:rPr>
          <w:rFonts w:cs="Arial"/>
          <w:i/>
          <w:noProof/>
          <w:szCs w:val="24"/>
        </w:rPr>
      </w:pPr>
      <w:r w:rsidRPr="00920084">
        <w:rPr>
          <w:rFonts w:cs="Arial"/>
          <w:i/>
          <w:noProof/>
          <w:szCs w:val="24"/>
        </w:rPr>
        <w:t>b)</w:t>
      </w:r>
      <w:r w:rsidRPr="00920084">
        <w:rPr>
          <w:rFonts w:cs="Arial"/>
          <w:i/>
          <w:noProof/>
          <w:szCs w:val="24"/>
        </w:rPr>
        <w:tab/>
        <w:t xml:space="preserve">il subappalto senza l'accordo del committente; </w:t>
      </w:r>
    </w:p>
    <w:p w:rsidR="00920084" w:rsidRPr="00920084" w:rsidRDefault="00920084" w:rsidP="00920084">
      <w:pPr>
        <w:tabs>
          <w:tab w:val="left" w:pos="360"/>
          <w:tab w:val="left" w:pos="1134"/>
          <w:tab w:val="left" w:pos="1701"/>
        </w:tabs>
        <w:ind w:left="360" w:right="187" w:hanging="360"/>
        <w:jc w:val="both"/>
        <w:rPr>
          <w:rFonts w:cs="Arial"/>
          <w:i/>
          <w:noProof/>
          <w:szCs w:val="24"/>
        </w:rPr>
      </w:pPr>
      <w:r w:rsidRPr="00920084">
        <w:rPr>
          <w:rFonts w:cs="Arial"/>
          <w:i/>
          <w:noProof/>
          <w:szCs w:val="24"/>
        </w:rPr>
        <w:t>c)</w:t>
      </w:r>
      <w:r w:rsidRPr="00920084">
        <w:rPr>
          <w:rFonts w:cs="Arial"/>
          <w:i/>
          <w:noProof/>
          <w:szCs w:val="24"/>
        </w:rPr>
        <w:tab/>
        <w:t xml:space="preserve">l’ottenimento dell’aggiudicazione sulla scorta di false indicazioni; </w:t>
      </w:r>
    </w:p>
    <w:p w:rsidR="00920084" w:rsidRPr="00920084" w:rsidRDefault="00920084" w:rsidP="00920084">
      <w:pPr>
        <w:tabs>
          <w:tab w:val="left" w:pos="360"/>
          <w:tab w:val="left" w:pos="1134"/>
          <w:tab w:val="left" w:pos="1701"/>
        </w:tabs>
        <w:ind w:left="360" w:right="187" w:hanging="360"/>
        <w:jc w:val="both"/>
        <w:rPr>
          <w:rFonts w:cs="Arial"/>
          <w:i/>
          <w:noProof/>
          <w:szCs w:val="24"/>
        </w:rPr>
      </w:pPr>
      <w:r w:rsidRPr="00920084">
        <w:rPr>
          <w:rFonts w:cs="Arial"/>
          <w:i/>
          <w:noProof/>
          <w:szCs w:val="24"/>
        </w:rPr>
        <w:t>d)</w:t>
      </w:r>
      <w:r w:rsidRPr="00920084">
        <w:rPr>
          <w:rFonts w:cs="Arial"/>
          <w:i/>
          <w:noProof/>
          <w:szCs w:val="24"/>
        </w:rPr>
        <w:tab/>
        <w:t xml:space="preserve">condanne giudiziarie per cattiva condotta dei lavori o per infrazioni alle disposizioni legislative sulla protezione dei lavoratori o sui contratti collettivi di lavoro nei cinque anni precedenti l’aggiudicazione; </w:t>
      </w:r>
    </w:p>
    <w:p w:rsidR="00920084" w:rsidRPr="00920084" w:rsidRDefault="00920084" w:rsidP="00920084">
      <w:pPr>
        <w:tabs>
          <w:tab w:val="left" w:pos="360"/>
          <w:tab w:val="left" w:pos="1134"/>
          <w:tab w:val="left" w:pos="1701"/>
        </w:tabs>
        <w:ind w:left="360" w:right="187" w:hanging="360"/>
        <w:jc w:val="both"/>
        <w:rPr>
          <w:rFonts w:cs="Arial"/>
          <w:i/>
          <w:noProof/>
          <w:szCs w:val="24"/>
        </w:rPr>
      </w:pPr>
      <w:r w:rsidRPr="00920084">
        <w:rPr>
          <w:rFonts w:cs="Arial"/>
          <w:i/>
          <w:noProof/>
          <w:szCs w:val="24"/>
        </w:rPr>
        <w:t>e)</w:t>
      </w:r>
      <w:r w:rsidRPr="00920084">
        <w:rPr>
          <w:rFonts w:cs="Arial"/>
          <w:i/>
          <w:noProof/>
          <w:szCs w:val="24"/>
        </w:rPr>
        <w:tab/>
        <w:t xml:space="preserve">comportamenti tali da impedire un’effettiva e libera concorrenza o da ostacolarla in modo rilevante; </w:t>
      </w:r>
    </w:p>
    <w:p w:rsidR="00920084" w:rsidRPr="00920084" w:rsidRDefault="00920084" w:rsidP="00920084">
      <w:pPr>
        <w:tabs>
          <w:tab w:val="left" w:pos="360"/>
          <w:tab w:val="left" w:pos="1134"/>
          <w:tab w:val="left" w:pos="1701"/>
        </w:tabs>
        <w:ind w:left="357" w:right="187" w:hanging="357"/>
        <w:jc w:val="both"/>
        <w:rPr>
          <w:rFonts w:cs="Arial"/>
          <w:i/>
          <w:noProof/>
          <w:szCs w:val="24"/>
        </w:rPr>
      </w:pPr>
      <w:r w:rsidRPr="00920084">
        <w:rPr>
          <w:rFonts w:cs="Arial"/>
          <w:i/>
          <w:noProof/>
          <w:szCs w:val="24"/>
        </w:rPr>
        <w:t>f)</w:t>
      </w:r>
      <w:r w:rsidRPr="00920084">
        <w:rPr>
          <w:rFonts w:cs="Arial"/>
          <w:i/>
          <w:noProof/>
          <w:szCs w:val="24"/>
        </w:rPr>
        <w:tab/>
        <w:t xml:space="preserve">la corruzione attiva o passiva ai sensi del Codice penale svizzero. </w:t>
      </w:r>
    </w:p>
    <w:p w:rsidR="00920084" w:rsidRPr="00920084" w:rsidRDefault="00920084" w:rsidP="00920084">
      <w:pPr>
        <w:tabs>
          <w:tab w:val="left" w:pos="1701"/>
        </w:tabs>
        <w:ind w:right="187"/>
        <w:jc w:val="both"/>
        <w:rPr>
          <w:szCs w:val="24"/>
        </w:rPr>
      </w:pPr>
    </w:p>
    <w:p w:rsidR="00920084" w:rsidRPr="00920084" w:rsidRDefault="00920084" w:rsidP="00920084">
      <w:pPr>
        <w:tabs>
          <w:tab w:val="left" w:pos="540"/>
          <w:tab w:val="left" w:pos="1701"/>
        </w:tabs>
        <w:spacing w:after="120"/>
        <w:ind w:right="4309"/>
        <w:jc w:val="both"/>
        <w:rPr>
          <w:rFonts w:cs="Arial"/>
          <w:noProof/>
          <w:szCs w:val="24"/>
          <w:lang w:eastAsia="it-CH"/>
        </w:rPr>
      </w:pPr>
      <w:r w:rsidRPr="00920084">
        <w:rPr>
          <w:rFonts w:cs="Arial"/>
          <w:noProof/>
          <w:szCs w:val="24"/>
          <w:lang w:val="it-CH" w:eastAsia="it-CH"/>
        </w:rPr>
        <w:t xml:space="preserve">Art. 46 - </w:t>
      </w:r>
      <w:r w:rsidRPr="00920084">
        <w:rPr>
          <w:rFonts w:cs="Arial"/>
          <w:noProof/>
          <w:szCs w:val="24"/>
          <w:lang w:eastAsia="it-CH"/>
        </w:rPr>
        <w:t xml:space="preserve">Vigilanza </w:t>
      </w:r>
    </w:p>
    <w:p w:rsidR="00920084" w:rsidRPr="00920084" w:rsidRDefault="00920084" w:rsidP="00920084">
      <w:pPr>
        <w:tabs>
          <w:tab w:val="left" w:pos="540"/>
          <w:tab w:val="left" w:pos="1701"/>
        </w:tabs>
        <w:ind w:right="187"/>
        <w:jc w:val="both"/>
        <w:rPr>
          <w:rFonts w:cs="Arial"/>
          <w:i/>
          <w:szCs w:val="24"/>
        </w:rPr>
      </w:pPr>
      <w:r w:rsidRPr="00920084">
        <w:rPr>
          <w:rFonts w:cs="Arial"/>
          <w:i/>
          <w:szCs w:val="24"/>
        </w:rPr>
        <w:t xml:space="preserve">Il Consiglio di Stato vigila sulla corretta applicazione della legge. </w:t>
      </w:r>
    </w:p>
    <w:p w:rsidR="00920084" w:rsidRPr="00920084" w:rsidRDefault="00920084" w:rsidP="00920084">
      <w:pPr>
        <w:tabs>
          <w:tab w:val="left" w:pos="540"/>
        </w:tabs>
        <w:jc w:val="both"/>
        <w:rPr>
          <w:rFonts w:cs="Arial"/>
          <w:szCs w:val="24"/>
        </w:rPr>
      </w:pPr>
    </w:p>
    <w:p w:rsidR="00920084" w:rsidRPr="00920084" w:rsidRDefault="00920084" w:rsidP="00920084">
      <w:pPr>
        <w:tabs>
          <w:tab w:val="left" w:pos="540"/>
        </w:tabs>
        <w:spacing w:after="120"/>
        <w:jc w:val="both"/>
        <w:rPr>
          <w:rFonts w:cs="Arial"/>
          <w:szCs w:val="24"/>
          <w:u w:val="single"/>
        </w:rPr>
      </w:pPr>
      <w:r w:rsidRPr="00920084">
        <w:rPr>
          <w:rFonts w:cs="Arial"/>
          <w:szCs w:val="24"/>
          <w:u w:val="single"/>
        </w:rPr>
        <w:t>Estratto del Regolamento di applicazione della Legge sulle commesse pubbliche (LCPubb) del 20 febbraio 2001 e del Concordato intercantonale sugli appalti pubblici (CIAP) del 15 marzo 2001</w:t>
      </w:r>
    </w:p>
    <w:p w:rsidR="00920084" w:rsidRPr="00920084" w:rsidRDefault="00920084" w:rsidP="00920084">
      <w:pPr>
        <w:tabs>
          <w:tab w:val="left" w:pos="540"/>
          <w:tab w:val="left" w:pos="1701"/>
        </w:tabs>
        <w:spacing w:after="120"/>
        <w:ind w:right="4309"/>
        <w:jc w:val="both"/>
        <w:rPr>
          <w:rFonts w:cs="Arial"/>
          <w:noProof/>
          <w:szCs w:val="24"/>
          <w:lang w:eastAsia="it-CH"/>
        </w:rPr>
      </w:pPr>
      <w:r w:rsidRPr="00920084">
        <w:rPr>
          <w:rFonts w:cs="Arial"/>
          <w:noProof/>
          <w:szCs w:val="24"/>
          <w:lang w:val="it-CH" w:eastAsia="it-CH"/>
        </w:rPr>
        <w:t xml:space="preserve">Art. 2 - </w:t>
      </w:r>
      <w:r w:rsidRPr="00920084">
        <w:rPr>
          <w:rFonts w:cs="Arial"/>
          <w:noProof/>
          <w:szCs w:val="24"/>
          <w:lang w:eastAsia="it-CH"/>
        </w:rPr>
        <w:t>Committenti assoggettati alla LCPubb</w:t>
      </w:r>
    </w:p>
    <w:p w:rsidR="00920084" w:rsidRPr="00920084" w:rsidRDefault="00920084" w:rsidP="00920084">
      <w:pPr>
        <w:tabs>
          <w:tab w:val="left" w:pos="540"/>
          <w:tab w:val="left" w:pos="1701"/>
        </w:tabs>
        <w:ind w:right="187"/>
        <w:jc w:val="both"/>
        <w:rPr>
          <w:rFonts w:cs="Arial"/>
          <w:i/>
          <w:szCs w:val="24"/>
        </w:rPr>
      </w:pPr>
      <w:r w:rsidRPr="00920084">
        <w:rPr>
          <w:rFonts w:cs="Arial"/>
          <w:i/>
          <w:szCs w:val="24"/>
        </w:rPr>
        <w:t xml:space="preserve">Quali enti preposti a compiti </w:t>
      </w:r>
      <w:smartTag w:uri="urn:schemas-microsoft-com:office:smarttags" w:element="PersonName">
        <w:r w:rsidRPr="00920084">
          <w:rPr>
            <w:rFonts w:cs="Arial"/>
            <w:i/>
            <w:szCs w:val="24"/>
          </w:rPr>
          <w:t>can</w:t>
        </w:r>
      </w:smartTag>
      <w:r w:rsidRPr="00920084">
        <w:rPr>
          <w:rFonts w:cs="Arial"/>
          <w:i/>
          <w:szCs w:val="24"/>
        </w:rPr>
        <w:t>tonali o comunali secondo l’art. 2 della legge si intendono in particolare:</w:t>
      </w:r>
    </w:p>
    <w:p w:rsidR="00920084" w:rsidRPr="00920084" w:rsidRDefault="00920084" w:rsidP="00920084">
      <w:pPr>
        <w:tabs>
          <w:tab w:val="left" w:pos="360"/>
          <w:tab w:val="left" w:pos="1134"/>
          <w:tab w:val="left" w:pos="1701"/>
        </w:tabs>
        <w:ind w:left="360" w:right="187" w:hanging="360"/>
        <w:jc w:val="both"/>
        <w:rPr>
          <w:rFonts w:cs="Arial"/>
          <w:i/>
          <w:noProof/>
          <w:szCs w:val="24"/>
        </w:rPr>
      </w:pPr>
      <w:r w:rsidRPr="00920084">
        <w:rPr>
          <w:rFonts w:cs="Arial"/>
          <w:i/>
          <w:noProof/>
          <w:szCs w:val="24"/>
        </w:rPr>
        <w:t>a)</w:t>
      </w:r>
      <w:r w:rsidRPr="00920084">
        <w:rPr>
          <w:rFonts w:cs="Arial"/>
          <w:i/>
          <w:noProof/>
          <w:szCs w:val="24"/>
        </w:rPr>
        <w:tab/>
        <w:t>i Patriziati</w:t>
      </w:r>
    </w:p>
    <w:p w:rsidR="00920084" w:rsidRPr="00920084" w:rsidRDefault="00920084" w:rsidP="00920084">
      <w:pPr>
        <w:tabs>
          <w:tab w:val="left" w:pos="360"/>
          <w:tab w:val="left" w:pos="1134"/>
          <w:tab w:val="left" w:pos="1701"/>
        </w:tabs>
        <w:ind w:left="360" w:right="187" w:hanging="360"/>
        <w:jc w:val="both"/>
        <w:rPr>
          <w:rFonts w:cs="Arial"/>
          <w:i/>
          <w:noProof/>
          <w:szCs w:val="24"/>
        </w:rPr>
      </w:pPr>
      <w:r w:rsidRPr="00920084">
        <w:rPr>
          <w:rFonts w:cs="Arial"/>
          <w:i/>
          <w:noProof/>
          <w:szCs w:val="24"/>
        </w:rPr>
        <w:t>b)</w:t>
      </w:r>
      <w:r w:rsidRPr="00920084">
        <w:rPr>
          <w:rFonts w:cs="Arial"/>
          <w:i/>
          <w:noProof/>
          <w:szCs w:val="24"/>
        </w:rPr>
        <w:tab/>
        <w:t>le Parrocchie</w:t>
      </w:r>
    </w:p>
    <w:p w:rsidR="00920084" w:rsidRPr="00920084" w:rsidRDefault="00920084" w:rsidP="00920084">
      <w:pPr>
        <w:tabs>
          <w:tab w:val="left" w:pos="360"/>
          <w:tab w:val="left" w:pos="1134"/>
          <w:tab w:val="left" w:pos="1701"/>
        </w:tabs>
        <w:ind w:left="360" w:right="187" w:hanging="360"/>
        <w:jc w:val="both"/>
        <w:rPr>
          <w:rFonts w:cs="Arial"/>
          <w:i/>
          <w:noProof/>
          <w:szCs w:val="24"/>
        </w:rPr>
      </w:pPr>
      <w:r w:rsidRPr="00920084">
        <w:rPr>
          <w:rFonts w:cs="Arial"/>
          <w:i/>
          <w:noProof/>
          <w:szCs w:val="24"/>
        </w:rPr>
        <w:t>c)</w:t>
      </w:r>
      <w:r w:rsidRPr="00920084">
        <w:rPr>
          <w:rFonts w:cs="Arial"/>
          <w:i/>
          <w:noProof/>
          <w:szCs w:val="24"/>
        </w:rPr>
        <w:tab/>
        <w:t xml:space="preserve">i Consorzi istituiti secondo la legge </w:t>
      </w:r>
      <w:smartTag w:uri="urn:schemas-microsoft-com:office:smarttags" w:element="PersonName">
        <w:r w:rsidRPr="00920084">
          <w:rPr>
            <w:rFonts w:cs="Arial"/>
            <w:i/>
            <w:noProof/>
            <w:szCs w:val="24"/>
          </w:rPr>
          <w:t>can</w:t>
        </w:r>
      </w:smartTag>
      <w:r w:rsidRPr="00920084">
        <w:rPr>
          <w:rFonts w:cs="Arial"/>
          <w:i/>
          <w:noProof/>
          <w:szCs w:val="24"/>
        </w:rPr>
        <w:t>tonale sui consorzi, come pure i consorzi di Comuni</w:t>
      </w:r>
    </w:p>
    <w:p w:rsidR="00920084" w:rsidRPr="00920084" w:rsidRDefault="00920084" w:rsidP="00920084">
      <w:pPr>
        <w:tabs>
          <w:tab w:val="left" w:pos="360"/>
          <w:tab w:val="left" w:pos="1134"/>
          <w:tab w:val="left" w:pos="1701"/>
        </w:tabs>
        <w:ind w:left="360" w:right="187" w:hanging="360"/>
        <w:jc w:val="both"/>
        <w:rPr>
          <w:rFonts w:cs="Arial"/>
          <w:i/>
          <w:noProof/>
          <w:szCs w:val="24"/>
        </w:rPr>
      </w:pPr>
      <w:r w:rsidRPr="00920084">
        <w:rPr>
          <w:rFonts w:cs="Arial"/>
          <w:i/>
          <w:noProof/>
          <w:szCs w:val="24"/>
        </w:rPr>
        <w:t>d)</w:t>
      </w:r>
      <w:r w:rsidRPr="00920084">
        <w:rPr>
          <w:rFonts w:cs="Arial"/>
          <w:i/>
          <w:noProof/>
          <w:szCs w:val="24"/>
        </w:rPr>
        <w:tab/>
        <w:t>l’Ente ospedaliero cantonale</w:t>
      </w:r>
    </w:p>
    <w:p w:rsidR="00920084" w:rsidRPr="00920084" w:rsidRDefault="00920084" w:rsidP="00920084">
      <w:pPr>
        <w:tabs>
          <w:tab w:val="left" w:pos="360"/>
          <w:tab w:val="left" w:pos="1134"/>
          <w:tab w:val="left" w:pos="1701"/>
        </w:tabs>
        <w:ind w:left="360" w:right="187" w:hanging="360"/>
        <w:jc w:val="both"/>
        <w:rPr>
          <w:rFonts w:cs="Arial"/>
          <w:i/>
          <w:noProof/>
          <w:szCs w:val="24"/>
        </w:rPr>
      </w:pPr>
      <w:r w:rsidRPr="00920084">
        <w:rPr>
          <w:rFonts w:cs="Arial"/>
          <w:i/>
          <w:noProof/>
          <w:szCs w:val="24"/>
        </w:rPr>
        <w:t>e)</w:t>
      </w:r>
      <w:r w:rsidRPr="00920084">
        <w:rPr>
          <w:rFonts w:cs="Arial"/>
          <w:i/>
          <w:noProof/>
          <w:szCs w:val="24"/>
        </w:rPr>
        <w:tab/>
        <w:t>l’Azienda cantonale smaltimento dei rifiuti</w:t>
      </w:r>
    </w:p>
    <w:p w:rsidR="00920084" w:rsidRPr="00920084" w:rsidRDefault="00920084" w:rsidP="00920084">
      <w:pPr>
        <w:tabs>
          <w:tab w:val="left" w:pos="360"/>
          <w:tab w:val="left" w:pos="1134"/>
          <w:tab w:val="left" w:pos="1701"/>
        </w:tabs>
        <w:ind w:left="360" w:right="187" w:hanging="360"/>
        <w:jc w:val="both"/>
        <w:rPr>
          <w:rFonts w:cs="Arial"/>
          <w:i/>
          <w:noProof/>
          <w:szCs w:val="24"/>
        </w:rPr>
      </w:pPr>
      <w:r w:rsidRPr="00920084">
        <w:rPr>
          <w:rFonts w:cs="Arial"/>
          <w:i/>
          <w:noProof/>
          <w:szCs w:val="24"/>
        </w:rPr>
        <w:t>f)</w:t>
      </w:r>
      <w:r w:rsidRPr="00920084">
        <w:rPr>
          <w:rFonts w:cs="Arial"/>
          <w:i/>
          <w:noProof/>
          <w:szCs w:val="24"/>
        </w:rPr>
        <w:tab/>
        <w:t>l’Università della Svizzera italiana e la Scuola universitaria professionale della Svizzera italiana</w:t>
      </w:r>
    </w:p>
    <w:p w:rsidR="00920084" w:rsidRPr="00920084" w:rsidRDefault="00920084" w:rsidP="00920084">
      <w:pPr>
        <w:tabs>
          <w:tab w:val="left" w:pos="360"/>
          <w:tab w:val="left" w:pos="1134"/>
          <w:tab w:val="left" w:pos="1701"/>
        </w:tabs>
        <w:ind w:left="360" w:right="187" w:hanging="360"/>
        <w:jc w:val="both"/>
        <w:rPr>
          <w:rFonts w:cs="Arial"/>
          <w:i/>
          <w:noProof/>
          <w:szCs w:val="24"/>
        </w:rPr>
      </w:pPr>
      <w:r w:rsidRPr="00920084">
        <w:rPr>
          <w:rFonts w:cs="Arial"/>
          <w:i/>
          <w:noProof/>
          <w:szCs w:val="24"/>
        </w:rPr>
        <w:t>g)</w:t>
      </w:r>
      <w:r w:rsidRPr="00920084">
        <w:rPr>
          <w:rFonts w:cs="Arial"/>
          <w:i/>
          <w:noProof/>
          <w:szCs w:val="24"/>
        </w:rPr>
        <w:tab/>
        <w:t>gli Enti turistici (</w:t>
      </w:r>
      <w:smartTag w:uri="urn:schemas-microsoft-com:office:smarttags" w:element="PersonName">
        <w:r w:rsidRPr="00920084">
          <w:rPr>
            <w:rFonts w:cs="Arial"/>
            <w:i/>
            <w:noProof/>
            <w:szCs w:val="24"/>
          </w:rPr>
          <w:t>can</w:t>
        </w:r>
      </w:smartTag>
      <w:r w:rsidRPr="00920084">
        <w:rPr>
          <w:rFonts w:cs="Arial"/>
          <w:i/>
          <w:noProof/>
          <w:szCs w:val="24"/>
        </w:rPr>
        <w:t>tonale e regionali).</w:t>
      </w:r>
    </w:p>
    <w:p w:rsidR="00920084" w:rsidRPr="00920084" w:rsidRDefault="00920084" w:rsidP="00920084">
      <w:pPr>
        <w:jc w:val="both"/>
        <w:rPr>
          <w:rFonts w:cs="Arial"/>
          <w:szCs w:val="24"/>
        </w:rPr>
      </w:pPr>
    </w:p>
    <w:p w:rsidR="00920084" w:rsidRPr="00920084" w:rsidRDefault="00920084" w:rsidP="00920084">
      <w:pPr>
        <w:jc w:val="both"/>
        <w:rPr>
          <w:rFonts w:cs="Arial"/>
          <w:szCs w:val="24"/>
        </w:rPr>
      </w:pPr>
    </w:p>
    <w:p w:rsidR="00920084" w:rsidRPr="00920084" w:rsidRDefault="00920084" w:rsidP="00920084">
      <w:pPr>
        <w:jc w:val="both"/>
        <w:rPr>
          <w:rFonts w:cs="Arial"/>
          <w:szCs w:val="24"/>
        </w:rPr>
      </w:pPr>
      <w:r w:rsidRPr="00920084">
        <w:rPr>
          <w:rFonts w:cs="Arial"/>
          <w:szCs w:val="24"/>
        </w:rPr>
        <w:t>Saverio Lurati</w:t>
      </w:r>
    </w:p>
    <w:p w:rsidR="000C2946" w:rsidRPr="000C2946" w:rsidRDefault="000C2946" w:rsidP="00920084">
      <w:bookmarkStart w:id="0" w:name="_GoBack"/>
      <w:bookmarkEnd w:id="0"/>
    </w:p>
    <w:sectPr w:rsidR="000C2946" w:rsidRPr="000C294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BFC" w:rsidRDefault="007E6BFC" w:rsidP="007E6BFC">
      <w:r>
        <w:separator/>
      </w:r>
    </w:p>
  </w:endnote>
  <w:endnote w:type="continuationSeparator" w:id="0">
    <w:p w:rsidR="007E6BFC" w:rsidRDefault="007E6BFC" w:rsidP="007E6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BFC" w:rsidRDefault="007E6BFC" w:rsidP="007E6BFC">
      <w:r>
        <w:separator/>
      </w:r>
    </w:p>
  </w:footnote>
  <w:footnote w:type="continuationSeparator" w:id="0">
    <w:p w:rsidR="007E6BFC" w:rsidRDefault="007E6BFC" w:rsidP="007E6B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0"/>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04A00AF8"/>
    <w:multiLevelType w:val="hybridMultilevel"/>
    <w:tmpl w:val="1CDEAF7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06C440CE"/>
    <w:multiLevelType w:val="hybridMultilevel"/>
    <w:tmpl w:val="50EA9928"/>
    <w:lvl w:ilvl="0" w:tplc="04100017">
      <w:start w:val="1"/>
      <w:numFmt w:val="lowerLetter"/>
      <w:lvlText w:val="%1)"/>
      <w:lvlJc w:val="left"/>
      <w:pPr>
        <w:tabs>
          <w:tab w:val="num" w:pos="720"/>
        </w:tabs>
        <w:ind w:left="720" w:hanging="360"/>
      </w:pPr>
      <w:rPr>
        <w:rFonts w:hint="default"/>
      </w:rPr>
    </w:lvl>
    <w:lvl w:ilvl="1" w:tplc="6D909948">
      <w:start w:val="1"/>
      <w:numFmt w:val="decimal"/>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13090031"/>
    <w:multiLevelType w:val="hybridMultilevel"/>
    <w:tmpl w:val="1D34C7FC"/>
    <w:lvl w:ilvl="0" w:tplc="57A6CDD6">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9D7AFE"/>
    <w:multiLevelType w:val="hybridMultilevel"/>
    <w:tmpl w:val="64E8B28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9E641A"/>
    <w:multiLevelType w:val="hybridMultilevel"/>
    <w:tmpl w:val="B47EE2E0"/>
    <w:lvl w:ilvl="0" w:tplc="08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2C9C14C7"/>
    <w:multiLevelType w:val="hybridMultilevel"/>
    <w:tmpl w:val="0A4A3C60"/>
    <w:lvl w:ilvl="0" w:tplc="B1963E58">
      <w:start w:val="2"/>
      <w:numFmt w:val="bullet"/>
      <w:lvlText w:val="-"/>
      <w:lvlJc w:val="left"/>
      <w:pPr>
        <w:tabs>
          <w:tab w:val="num" w:pos="720"/>
        </w:tabs>
        <w:ind w:left="720" w:hanging="360"/>
      </w:pPr>
      <w:rPr>
        <w:rFonts w:ascii="Arial" w:eastAsia="Times New Roman" w:hAnsi="Arial" w:cs="Arial" w:hint="default"/>
        <w:color w:val="0F0F0F"/>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E20A16"/>
    <w:multiLevelType w:val="hybridMultilevel"/>
    <w:tmpl w:val="2486B254"/>
    <w:lvl w:ilvl="0" w:tplc="08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34A67C19"/>
    <w:multiLevelType w:val="hybridMultilevel"/>
    <w:tmpl w:val="5256113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35194DA6"/>
    <w:multiLevelType w:val="hybridMultilevel"/>
    <w:tmpl w:val="4F9A3E6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8D87CA0"/>
    <w:multiLevelType w:val="hybridMultilevel"/>
    <w:tmpl w:val="D3ECA5F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69B635E6"/>
    <w:multiLevelType w:val="hybridMultilevel"/>
    <w:tmpl w:val="EF148140"/>
    <w:lvl w:ilvl="0" w:tplc="04100001">
      <w:start w:val="1"/>
      <w:numFmt w:val="bullet"/>
      <w:lvlText w:val=""/>
      <w:lvlJc w:val="left"/>
      <w:pPr>
        <w:tabs>
          <w:tab w:val="num" w:pos="720"/>
        </w:tabs>
        <w:ind w:left="720" w:hanging="360"/>
      </w:pPr>
      <w:rPr>
        <w:rFonts w:ascii="Symbol" w:hAnsi="Symbol"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D5E786D"/>
    <w:multiLevelType w:val="hybridMultilevel"/>
    <w:tmpl w:val="863ADC6C"/>
    <w:lvl w:ilvl="0" w:tplc="0409000F">
      <w:start w:val="1"/>
      <w:numFmt w:val="decimal"/>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DC5A54"/>
    <w:multiLevelType w:val="hybridMultilevel"/>
    <w:tmpl w:val="F538F826"/>
    <w:lvl w:ilvl="0" w:tplc="04100001">
      <w:start w:val="1"/>
      <w:numFmt w:val="bullet"/>
      <w:lvlText w:val=""/>
      <w:lvlJc w:val="left"/>
      <w:pPr>
        <w:tabs>
          <w:tab w:val="num" w:pos="720"/>
        </w:tabs>
        <w:ind w:left="720" w:hanging="360"/>
      </w:pPr>
      <w:rPr>
        <w:rFonts w:ascii="Symbol" w:hAnsi="Symbol" w:hint="default"/>
      </w:rPr>
    </w:lvl>
    <w:lvl w:ilvl="1" w:tplc="6ECE68DE">
      <w:start w:val="1"/>
      <w:numFmt w:val="decimal"/>
      <w:lvlText w:val="%2."/>
      <w:lvlJc w:val="left"/>
      <w:pPr>
        <w:tabs>
          <w:tab w:val="num" w:pos="1440"/>
        </w:tabs>
        <w:ind w:left="1440" w:hanging="360"/>
      </w:pPr>
      <w:rPr>
        <w:rFonts w:ascii="Arial" w:hAnsi="Arial" w:hint="default"/>
        <w:b w:val="0"/>
        <w:i w:val="0"/>
        <w:sz w:val="22"/>
        <w:szCs w:val="22"/>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9841FCC"/>
    <w:multiLevelType w:val="hybridMultilevel"/>
    <w:tmpl w:val="2666977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BD3245B"/>
    <w:multiLevelType w:val="hybridMultilevel"/>
    <w:tmpl w:val="C5FE59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0"/>
  </w:num>
  <w:num w:numId="4">
    <w:abstractNumId w:val="8"/>
  </w:num>
  <w:num w:numId="5">
    <w:abstractNumId w:val="13"/>
  </w:num>
  <w:num w:numId="6">
    <w:abstractNumId w:val="4"/>
  </w:num>
  <w:num w:numId="7">
    <w:abstractNumId w:val="11"/>
  </w:num>
  <w:num w:numId="8">
    <w:abstractNumId w:val="15"/>
  </w:num>
  <w:num w:numId="9">
    <w:abstractNumId w:val="5"/>
  </w:num>
  <w:num w:numId="10">
    <w:abstractNumId w:val="12"/>
  </w:num>
  <w:num w:numId="11">
    <w:abstractNumId w:val="1"/>
  </w:num>
  <w:num w:numId="12">
    <w:abstractNumId w:val="2"/>
  </w:num>
  <w:num w:numId="13">
    <w:abstractNumId w:val="6"/>
  </w:num>
  <w:num w:numId="14">
    <w:abstractNumId w:val="7"/>
  </w:num>
  <w:num w:numId="15">
    <w:abstractNumId w:val="9"/>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104"/>
    <w:rsid w:val="000631A5"/>
    <w:rsid w:val="000C2946"/>
    <w:rsid w:val="001D41DF"/>
    <w:rsid w:val="002F25A1"/>
    <w:rsid w:val="00397EF6"/>
    <w:rsid w:val="003D4340"/>
    <w:rsid w:val="00451D15"/>
    <w:rsid w:val="004B2C1D"/>
    <w:rsid w:val="004E4104"/>
    <w:rsid w:val="005C2B97"/>
    <w:rsid w:val="00684E13"/>
    <w:rsid w:val="006B6342"/>
    <w:rsid w:val="006F0A92"/>
    <w:rsid w:val="007E6BFC"/>
    <w:rsid w:val="00920084"/>
    <w:rsid w:val="00A713E5"/>
    <w:rsid w:val="00B142E8"/>
    <w:rsid w:val="00BE3FF8"/>
    <w:rsid w:val="00C40042"/>
    <w:rsid w:val="00E40B09"/>
    <w:rsid w:val="00F851CA"/>
    <w:rsid w:val="00FC1D01"/>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CD59657"/>
  <w15:chartTrackingRefBased/>
  <w15:docId w15:val="{2C39D0A8-F85F-4E5B-AE95-3064A2161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E4104"/>
    <w:pPr>
      <w:spacing w:after="0" w:line="240" w:lineRule="auto"/>
    </w:pPr>
    <w:rPr>
      <w:rFonts w:ascii="Arial" w:eastAsia="Times New Roman" w:hAnsi="Arial" w:cs="Times New Roman"/>
      <w:sz w:val="24"/>
      <w:szCs w:val="20"/>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4E4104"/>
    <w:pPr>
      <w:jc w:val="both"/>
    </w:pPr>
    <w:rPr>
      <w:i/>
      <w:lang w:val="it-CH"/>
    </w:rPr>
  </w:style>
  <w:style w:type="character" w:customStyle="1" w:styleId="CorpotestoCarattere">
    <w:name w:val="Corpo testo Carattere"/>
    <w:basedOn w:val="Carpredefinitoparagrafo"/>
    <w:link w:val="Corpotesto"/>
    <w:rsid w:val="004E4104"/>
    <w:rPr>
      <w:rFonts w:ascii="Arial" w:eastAsia="Times New Roman" w:hAnsi="Arial" w:cs="Times New Roman"/>
      <w:i/>
      <w:sz w:val="24"/>
      <w:szCs w:val="20"/>
      <w:lang w:eastAsia="it-IT"/>
    </w:rPr>
  </w:style>
  <w:style w:type="paragraph" w:styleId="Testofumetto">
    <w:name w:val="Balloon Text"/>
    <w:basedOn w:val="Normale"/>
    <w:link w:val="TestofumettoCarattere"/>
    <w:uiPriority w:val="99"/>
    <w:semiHidden/>
    <w:unhideWhenUsed/>
    <w:rsid w:val="00BE3FF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E3FF8"/>
    <w:rPr>
      <w:rFonts w:ascii="Segoe UI" w:eastAsia="Times New Roman" w:hAnsi="Segoe UI" w:cs="Segoe UI"/>
      <w:sz w:val="18"/>
      <w:szCs w:val="18"/>
      <w:lang w:val="it-IT" w:eastAsia="it-IT"/>
    </w:rPr>
  </w:style>
  <w:style w:type="paragraph" w:styleId="Testonotaapidipagina">
    <w:name w:val="footnote text"/>
    <w:basedOn w:val="Normale"/>
    <w:link w:val="TestonotaapidipaginaCarattere"/>
    <w:semiHidden/>
    <w:rsid w:val="007E6BFC"/>
    <w:rPr>
      <w:rFonts w:ascii="Times New Roman" w:hAnsi="Times New Roman"/>
      <w:sz w:val="20"/>
      <w:lang w:val="it-CH"/>
    </w:rPr>
  </w:style>
  <w:style w:type="character" w:customStyle="1" w:styleId="TestonotaapidipaginaCarattere">
    <w:name w:val="Testo nota a piè di pagina Carattere"/>
    <w:basedOn w:val="Carpredefinitoparagrafo"/>
    <w:link w:val="Testonotaapidipagina"/>
    <w:semiHidden/>
    <w:rsid w:val="007E6BFC"/>
    <w:rPr>
      <w:rFonts w:ascii="Times New Roman" w:eastAsia="Times New Roman" w:hAnsi="Times New Roman" w:cs="Times New Roman"/>
      <w:sz w:val="20"/>
      <w:szCs w:val="20"/>
      <w:lang w:eastAsia="it-IT"/>
    </w:rPr>
  </w:style>
  <w:style w:type="character" w:styleId="Rimandonotaapidipagina">
    <w:name w:val="footnote reference"/>
    <w:basedOn w:val="Carpredefinitoparagrafo"/>
    <w:semiHidden/>
    <w:rsid w:val="007E6BFC"/>
    <w:rPr>
      <w:vertAlign w:val="superscript"/>
    </w:rPr>
  </w:style>
  <w:style w:type="paragraph" w:styleId="Corpodeltesto2">
    <w:name w:val="Body Text 2"/>
    <w:basedOn w:val="Normale"/>
    <w:link w:val="Corpodeltesto2Carattere"/>
    <w:uiPriority w:val="99"/>
    <w:semiHidden/>
    <w:unhideWhenUsed/>
    <w:rsid w:val="00451D15"/>
    <w:pPr>
      <w:spacing w:after="120" w:line="480" w:lineRule="auto"/>
    </w:pPr>
  </w:style>
  <w:style w:type="character" w:customStyle="1" w:styleId="Corpodeltesto2Carattere">
    <w:name w:val="Corpo del testo 2 Carattere"/>
    <w:basedOn w:val="Carpredefinitoparagrafo"/>
    <w:link w:val="Corpodeltesto2"/>
    <w:uiPriority w:val="99"/>
    <w:semiHidden/>
    <w:rsid w:val="00451D15"/>
    <w:rPr>
      <w:rFonts w:ascii="Arial" w:eastAsia="Times New Roman" w:hAnsi="Arial" w:cs="Times New Roman"/>
      <w:sz w:val="24"/>
      <w:szCs w:val="20"/>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724C93-F411-4F04-9C32-430D2070D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943</Words>
  <Characters>5378</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Righetti Paolo</dc:creator>
  <cp:keywords/>
  <dc:description/>
  <cp:lastModifiedBy>Righetti Paolo</cp:lastModifiedBy>
  <cp:revision>2</cp:revision>
  <cp:lastPrinted>2019-11-25T15:48:00Z</cp:lastPrinted>
  <dcterms:created xsi:type="dcterms:W3CDTF">2019-11-25T15:48:00Z</dcterms:created>
  <dcterms:modified xsi:type="dcterms:W3CDTF">2019-11-25T15:48:00Z</dcterms:modified>
</cp:coreProperties>
</file>