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FC25D0"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w:t>
      </w:r>
      <w:r w:rsidR="00F242E5" w:rsidRPr="005C669B">
        <w:rPr>
          <w:rFonts w:ascii="Gill Sans MT" w:hAnsi="Gill Sans MT"/>
          <w:b/>
          <w:sz w:val="56"/>
          <w:szCs w:val="56"/>
        </w:rPr>
        <w:t xml:space="preserve">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5B6428" w:rsidP="00F242E5">
      <w:pPr>
        <w:tabs>
          <w:tab w:val="left" w:pos="2098"/>
          <w:tab w:val="left" w:pos="4962"/>
        </w:tabs>
        <w:rPr>
          <w:position w:val="4"/>
        </w:rPr>
      </w:pPr>
      <w:r>
        <w:rPr>
          <w:b/>
          <w:position w:val="4"/>
          <w:sz w:val="32"/>
          <w:szCs w:val="32"/>
        </w:rPr>
        <w:t>7195</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10 gennaio 2017</w:t>
      </w:r>
      <w:r w:rsidR="00F242E5">
        <w:rPr>
          <w:position w:val="4"/>
          <w:sz w:val="28"/>
        </w:rPr>
        <w:tab/>
      </w:r>
      <w:r w:rsidRPr="001A3146">
        <w:rPr>
          <w:rFonts w:cs="Arial"/>
          <w:position w:val="4"/>
          <w:sz w:val="28"/>
          <w:szCs w:val="28"/>
        </w:rPr>
        <w:t>FINANZE E ECONOMIA</w:t>
      </w:r>
    </w:p>
    <w:p w:rsidR="00F242E5" w:rsidRPr="002E3D8B" w:rsidRDefault="00F242E5" w:rsidP="00F242E5">
      <w:pPr>
        <w:rPr>
          <w:sz w:val="20"/>
          <w:szCs w:val="20"/>
        </w:rPr>
      </w:pPr>
    </w:p>
    <w:p w:rsidR="00F242E5" w:rsidRPr="002E3D8B" w:rsidRDefault="00F242E5" w:rsidP="00F242E5">
      <w:pPr>
        <w:rPr>
          <w:sz w:val="20"/>
          <w:szCs w:val="20"/>
        </w:rPr>
      </w:pPr>
    </w:p>
    <w:p w:rsidR="00F242E5" w:rsidRPr="002E3D8B" w:rsidRDefault="00F242E5" w:rsidP="00F242E5">
      <w:pPr>
        <w:rPr>
          <w:sz w:val="20"/>
          <w:szCs w:val="20"/>
        </w:rPr>
      </w:pPr>
    </w:p>
    <w:p w:rsidR="005B6428" w:rsidRPr="001A3146" w:rsidRDefault="005B6428" w:rsidP="005B6428">
      <w:pPr>
        <w:rPr>
          <w:rFonts w:cs="Arial"/>
          <w:b/>
          <w:sz w:val="28"/>
          <w:szCs w:val="28"/>
        </w:rPr>
      </w:pPr>
      <w:r w:rsidRPr="001A3146">
        <w:rPr>
          <w:rFonts w:cs="Arial"/>
          <w:b/>
          <w:sz w:val="28"/>
          <w:szCs w:val="28"/>
        </w:rPr>
        <w:t>della Commissione speciale energia</w:t>
      </w:r>
    </w:p>
    <w:p w:rsidR="005B6428" w:rsidRPr="001A3146" w:rsidRDefault="005B6428" w:rsidP="005B6428">
      <w:pPr>
        <w:rPr>
          <w:rFonts w:cs="Arial"/>
          <w:b/>
          <w:sz w:val="28"/>
          <w:szCs w:val="28"/>
        </w:rPr>
      </w:pPr>
      <w:r w:rsidRPr="001A3146">
        <w:rPr>
          <w:rFonts w:cs="Arial"/>
          <w:b/>
          <w:sz w:val="28"/>
          <w:szCs w:val="28"/>
        </w:rPr>
        <w:t>sul messaggio 22 giugno 2016 concernente l'approvazione del rapporto di gestione e del conto annuale per l’esercizio 2015 dell'Azienda Elettrica Ticinese</w:t>
      </w:r>
    </w:p>
    <w:p w:rsidR="005B6428" w:rsidRPr="001A3146" w:rsidRDefault="005B6428" w:rsidP="005B6428">
      <w:pPr>
        <w:rPr>
          <w:rFonts w:cs="Arial"/>
          <w:szCs w:val="24"/>
        </w:rPr>
      </w:pPr>
    </w:p>
    <w:p w:rsidR="005B6428" w:rsidRPr="001A3146" w:rsidRDefault="005B6428" w:rsidP="005B6428">
      <w:pPr>
        <w:rPr>
          <w:rFonts w:cs="Arial"/>
          <w:szCs w:val="24"/>
        </w:rPr>
      </w:pPr>
    </w:p>
    <w:p w:rsidR="005B6428" w:rsidRPr="001A3146" w:rsidRDefault="005B6428" w:rsidP="005B6428">
      <w:pPr>
        <w:rPr>
          <w:rFonts w:cs="Arial"/>
          <w:szCs w:val="24"/>
        </w:rPr>
      </w:pPr>
    </w:p>
    <w:p w:rsidR="005B6428" w:rsidRPr="001A3146" w:rsidRDefault="005B6428" w:rsidP="005B6428">
      <w:pPr>
        <w:rPr>
          <w:rFonts w:cs="Arial"/>
          <w:b/>
        </w:rPr>
      </w:pPr>
      <w:r w:rsidRPr="001A3146">
        <w:rPr>
          <w:rFonts w:cs="Arial"/>
          <w:b/>
        </w:rPr>
        <w:t>SOMMARIO</w:t>
      </w:r>
    </w:p>
    <w:p w:rsidR="00D253D3" w:rsidRPr="00D253D3" w:rsidRDefault="00D253D3" w:rsidP="00D253D3">
      <w:pPr>
        <w:pStyle w:val="Sommario1"/>
        <w:tabs>
          <w:tab w:val="left" w:pos="660"/>
          <w:tab w:val="right" w:leader="dot" w:pos="9628"/>
        </w:tabs>
        <w:spacing w:before="200"/>
        <w:rPr>
          <w:rFonts w:eastAsiaTheme="minorEastAsia" w:cs="Arial"/>
          <w:caps w:val="0"/>
          <w:noProof/>
          <w:sz w:val="22"/>
          <w:szCs w:val="22"/>
          <w:lang w:val="it-CH" w:eastAsia="it-CH"/>
        </w:rPr>
      </w:pPr>
      <w:r w:rsidRPr="00D253D3">
        <w:rPr>
          <w:rFonts w:cs="Arial"/>
          <w:caps w:val="0"/>
          <w:sz w:val="22"/>
          <w:szCs w:val="22"/>
        </w:rPr>
        <w:fldChar w:fldCharType="begin"/>
      </w:r>
      <w:r w:rsidRPr="00D253D3">
        <w:rPr>
          <w:rFonts w:cs="Arial"/>
          <w:caps w:val="0"/>
          <w:sz w:val="22"/>
          <w:szCs w:val="22"/>
        </w:rPr>
        <w:instrText xml:space="preserve"> TOC \o "1-1" \h \z \u </w:instrText>
      </w:r>
      <w:r w:rsidRPr="00D253D3">
        <w:rPr>
          <w:rFonts w:cs="Arial"/>
          <w:caps w:val="0"/>
          <w:sz w:val="22"/>
          <w:szCs w:val="22"/>
        </w:rPr>
        <w:fldChar w:fldCharType="separate"/>
      </w:r>
      <w:hyperlink w:anchor="_Toc471834932" w:history="1">
        <w:r w:rsidRPr="00D253D3">
          <w:rPr>
            <w:rStyle w:val="Collegamentoipertestuale"/>
            <w:rFonts w:ascii="Arial" w:hAnsi="Arial" w:cs="Arial"/>
            <w:noProof/>
            <w:sz w:val="22"/>
            <w:szCs w:val="22"/>
          </w:rPr>
          <w:t>1.</w:t>
        </w:r>
        <w:r w:rsidRPr="00D253D3">
          <w:rPr>
            <w:rFonts w:eastAsiaTheme="minorEastAsia" w:cs="Arial"/>
            <w:caps w:val="0"/>
            <w:noProof/>
            <w:sz w:val="22"/>
            <w:szCs w:val="22"/>
            <w:lang w:val="it-CH" w:eastAsia="it-CH"/>
          </w:rPr>
          <w:tab/>
        </w:r>
        <w:r w:rsidRPr="00D253D3">
          <w:rPr>
            <w:rStyle w:val="Collegamentoipertestuale"/>
            <w:rFonts w:ascii="Arial" w:hAnsi="Arial" w:cs="Arial"/>
            <w:noProof/>
            <w:sz w:val="22"/>
            <w:szCs w:val="22"/>
          </w:rPr>
          <w:t>Premessa</w:t>
        </w:r>
        <w:r w:rsidRPr="00D253D3">
          <w:rPr>
            <w:rFonts w:cs="Arial"/>
            <w:noProof/>
            <w:webHidden/>
            <w:sz w:val="22"/>
            <w:szCs w:val="22"/>
          </w:rPr>
          <w:tab/>
        </w:r>
        <w:r w:rsidRPr="00D253D3">
          <w:rPr>
            <w:rFonts w:cs="Arial"/>
            <w:noProof/>
            <w:webHidden/>
            <w:sz w:val="22"/>
            <w:szCs w:val="22"/>
          </w:rPr>
          <w:fldChar w:fldCharType="begin"/>
        </w:r>
        <w:r w:rsidRPr="00D253D3">
          <w:rPr>
            <w:rFonts w:cs="Arial"/>
            <w:noProof/>
            <w:webHidden/>
            <w:sz w:val="22"/>
            <w:szCs w:val="22"/>
          </w:rPr>
          <w:instrText xml:space="preserve"> PAGEREF _Toc471834932 \h </w:instrText>
        </w:r>
        <w:r w:rsidRPr="00D253D3">
          <w:rPr>
            <w:rFonts w:cs="Arial"/>
            <w:noProof/>
            <w:webHidden/>
            <w:sz w:val="22"/>
            <w:szCs w:val="22"/>
          </w:rPr>
        </w:r>
        <w:r w:rsidRPr="00D253D3">
          <w:rPr>
            <w:rFonts w:cs="Arial"/>
            <w:noProof/>
            <w:webHidden/>
            <w:sz w:val="22"/>
            <w:szCs w:val="22"/>
          </w:rPr>
          <w:fldChar w:fldCharType="separate"/>
        </w:r>
        <w:r w:rsidR="003444D3">
          <w:rPr>
            <w:rFonts w:cs="Arial"/>
            <w:noProof/>
            <w:webHidden/>
            <w:sz w:val="22"/>
            <w:szCs w:val="22"/>
          </w:rPr>
          <w:t>1</w:t>
        </w:r>
        <w:r w:rsidRPr="00D253D3">
          <w:rPr>
            <w:rFonts w:cs="Arial"/>
            <w:noProof/>
            <w:webHidden/>
            <w:sz w:val="22"/>
            <w:szCs w:val="22"/>
          </w:rPr>
          <w:fldChar w:fldCharType="end"/>
        </w:r>
      </w:hyperlink>
    </w:p>
    <w:p w:rsidR="00D253D3" w:rsidRPr="00D253D3" w:rsidRDefault="008C4D28" w:rsidP="00D253D3">
      <w:pPr>
        <w:pStyle w:val="Sommario1"/>
        <w:tabs>
          <w:tab w:val="left" w:pos="660"/>
          <w:tab w:val="right" w:leader="dot" w:pos="9628"/>
        </w:tabs>
        <w:spacing w:before="200"/>
        <w:rPr>
          <w:rFonts w:eastAsiaTheme="minorEastAsia" w:cs="Arial"/>
          <w:caps w:val="0"/>
          <w:noProof/>
          <w:sz w:val="22"/>
          <w:szCs w:val="22"/>
          <w:lang w:val="it-CH" w:eastAsia="it-CH"/>
        </w:rPr>
      </w:pPr>
      <w:hyperlink w:anchor="_Toc471834933" w:history="1">
        <w:r w:rsidR="00D253D3" w:rsidRPr="00D253D3">
          <w:rPr>
            <w:rStyle w:val="Collegamentoipertestuale"/>
            <w:rFonts w:ascii="Arial" w:hAnsi="Arial" w:cs="Arial"/>
            <w:noProof/>
            <w:sz w:val="22"/>
            <w:szCs w:val="22"/>
          </w:rPr>
          <w:t>2.</w:t>
        </w:r>
        <w:r w:rsidR="00D253D3" w:rsidRPr="00D253D3">
          <w:rPr>
            <w:rFonts w:eastAsiaTheme="minorEastAsia" w:cs="Arial"/>
            <w:caps w:val="0"/>
            <w:noProof/>
            <w:sz w:val="22"/>
            <w:szCs w:val="22"/>
            <w:lang w:val="it-CH" w:eastAsia="it-CH"/>
          </w:rPr>
          <w:tab/>
        </w:r>
        <w:r w:rsidR="00D253D3" w:rsidRPr="00D253D3">
          <w:rPr>
            <w:rStyle w:val="Collegamentoipertestuale"/>
            <w:rFonts w:ascii="Arial" w:hAnsi="Arial" w:cs="Arial"/>
            <w:noProof/>
            <w:sz w:val="22"/>
            <w:szCs w:val="22"/>
          </w:rPr>
          <w:t>Considerazioni generali</w:t>
        </w:r>
        <w:r w:rsidR="00D253D3" w:rsidRPr="00D253D3">
          <w:rPr>
            <w:rFonts w:cs="Arial"/>
            <w:noProof/>
            <w:webHidden/>
            <w:sz w:val="22"/>
            <w:szCs w:val="22"/>
          </w:rPr>
          <w:tab/>
        </w:r>
        <w:r w:rsidR="00D253D3" w:rsidRPr="00D253D3">
          <w:rPr>
            <w:rFonts w:cs="Arial"/>
            <w:noProof/>
            <w:webHidden/>
            <w:sz w:val="22"/>
            <w:szCs w:val="22"/>
          </w:rPr>
          <w:fldChar w:fldCharType="begin"/>
        </w:r>
        <w:r w:rsidR="00D253D3" w:rsidRPr="00D253D3">
          <w:rPr>
            <w:rFonts w:cs="Arial"/>
            <w:noProof/>
            <w:webHidden/>
            <w:sz w:val="22"/>
            <w:szCs w:val="22"/>
          </w:rPr>
          <w:instrText xml:space="preserve"> PAGEREF _Toc471834933 \h </w:instrText>
        </w:r>
        <w:r w:rsidR="00D253D3" w:rsidRPr="00D253D3">
          <w:rPr>
            <w:rFonts w:cs="Arial"/>
            <w:noProof/>
            <w:webHidden/>
            <w:sz w:val="22"/>
            <w:szCs w:val="22"/>
          </w:rPr>
        </w:r>
        <w:r w:rsidR="00D253D3" w:rsidRPr="00D253D3">
          <w:rPr>
            <w:rFonts w:cs="Arial"/>
            <w:noProof/>
            <w:webHidden/>
            <w:sz w:val="22"/>
            <w:szCs w:val="22"/>
          </w:rPr>
          <w:fldChar w:fldCharType="separate"/>
        </w:r>
        <w:r w:rsidR="003444D3">
          <w:rPr>
            <w:rFonts w:cs="Arial"/>
            <w:noProof/>
            <w:webHidden/>
            <w:sz w:val="22"/>
            <w:szCs w:val="22"/>
          </w:rPr>
          <w:t>2</w:t>
        </w:r>
        <w:r w:rsidR="00D253D3" w:rsidRPr="00D253D3">
          <w:rPr>
            <w:rFonts w:cs="Arial"/>
            <w:noProof/>
            <w:webHidden/>
            <w:sz w:val="22"/>
            <w:szCs w:val="22"/>
          </w:rPr>
          <w:fldChar w:fldCharType="end"/>
        </w:r>
      </w:hyperlink>
    </w:p>
    <w:p w:rsidR="00D253D3" w:rsidRPr="00D253D3" w:rsidRDefault="008C4D28" w:rsidP="00D253D3">
      <w:pPr>
        <w:pStyle w:val="Sommario1"/>
        <w:tabs>
          <w:tab w:val="left" w:pos="660"/>
          <w:tab w:val="right" w:leader="dot" w:pos="9628"/>
        </w:tabs>
        <w:spacing w:before="200"/>
        <w:rPr>
          <w:rFonts w:eastAsiaTheme="minorEastAsia" w:cs="Arial"/>
          <w:caps w:val="0"/>
          <w:noProof/>
          <w:sz w:val="22"/>
          <w:szCs w:val="22"/>
          <w:lang w:val="it-CH" w:eastAsia="it-CH"/>
        </w:rPr>
      </w:pPr>
      <w:hyperlink w:anchor="_Toc471834934" w:history="1">
        <w:r w:rsidR="00D253D3" w:rsidRPr="00D253D3">
          <w:rPr>
            <w:rStyle w:val="Collegamentoipertestuale"/>
            <w:rFonts w:ascii="Arial" w:hAnsi="Arial" w:cs="Arial"/>
            <w:noProof/>
            <w:sz w:val="22"/>
            <w:szCs w:val="22"/>
          </w:rPr>
          <w:t>3.</w:t>
        </w:r>
        <w:r w:rsidR="00D253D3" w:rsidRPr="00D253D3">
          <w:rPr>
            <w:rFonts w:eastAsiaTheme="minorEastAsia" w:cs="Arial"/>
            <w:caps w:val="0"/>
            <w:noProof/>
            <w:sz w:val="22"/>
            <w:szCs w:val="22"/>
            <w:lang w:val="it-CH" w:eastAsia="it-CH"/>
          </w:rPr>
          <w:tab/>
        </w:r>
        <w:r w:rsidR="00D253D3" w:rsidRPr="00D253D3">
          <w:rPr>
            <w:rStyle w:val="Collegamentoipertestuale"/>
            <w:rFonts w:ascii="Arial" w:eastAsia="Arial" w:hAnsi="Arial" w:cs="Arial"/>
            <w:noProof/>
            <w:sz w:val="22"/>
            <w:szCs w:val="22"/>
          </w:rPr>
          <w:t>I Conti 2015</w:t>
        </w:r>
        <w:r w:rsidR="00D253D3" w:rsidRPr="00D253D3">
          <w:rPr>
            <w:rFonts w:cs="Arial"/>
            <w:noProof/>
            <w:webHidden/>
            <w:sz w:val="22"/>
            <w:szCs w:val="22"/>
          </w:rPr>
          <w:tab/>
        </w:r>
        <w:r w:rsidR="00D253D3" w:rsidRPr="00D253D3">
          <w:rPr>
            <w:rFonts w:cs="Arial"/>
            <w:noProof/>
            <w:webHidden/>
            <w:sz w:val="22"/>
            <w:szCs w:val="22"/>
          </w:rPr>
          <w:fldChar w:fldCharType="begin"/>
        </w:r>
        <w:r w:rsidR="00D253D3" w:rsidRPr="00D253D3">
          <w:rPr>
            <w:rFonts w:cs="Arial"/>
            <w:noProof/>
            <w:webHidden/>
            <w:sz w:val="22"/>
            <w:szCs w:val="22"/>
          </w:rPr>
          <w:instrText xml:space="preserve"> PAGEREF _Toc471834934 \h </w:instrText>
        </w:r>
        <w:r w:rsidR="00D253D3" w:rsidRPr="00D253D3">
          <w:rPr>
            <w:rFonts w:cs="Arial"/>
            <w:noProof/>
            <w:webHidden/>
            <w:sz w:val="22"/>
            <w:szCs w:val="22"/>
          </w:rPr>
        </w:r>
        <w:r w:rsidR="00D253D3" w:rsidRPr="00D253D3">
          <w:rPr>
            <w:rFonts w:cs="Arial"/>
            <w:noProof/>
            <w:webHidden/>
            <w:sz w:val="22"/>
            <w:szCs w:val="22"/>
          </w:rPr>
          <w:fldChar w:fldCharType="separate"/>
        </w:r>
        <w:r w:rsidR="003444D3">
          <w:rPr>
            <w:rFonts w:cs="Arial"/>
            <w:noProof/>
            <w:webHidden/>
            <w:sz w:val="22"/>
            <w:szCs w:val="22"/>
          </w:rPr>
          <w:t>3</w:t>
        </w:r>
        <w:r w:rsidR="00D253D3" w:rsidRPr="00D253D3">
          <w:rPr>
            <w:rFonts w:cs="Arial"/>
            <w:noProof/>
            <w:webHidden/>
            <w:sz w:val="22"/>
            <w:szCs w:val="22"/>
          </w:rPr>
          <w:fldChar w:fldCharType="end"/>
        </w:r>
      </w:hyperlink>
    </w:p>
    <w:p w:rsidR="00D253D3" w:rsidRPr="00D253D3" w:rsidRDefault="008C4D28" w:rsidP="00D253D3">
      <w:pPr>
        <w:pStyle w:val="Sommario1"/>
        <w:tabs>
          <w:tab w:val="left" w:pos="660"/>
          <w:tab w:val="right" w:leader="dot" w:pos="9628"/>
        </w:tabs>
        <w:spacing w:before="200"/>
        <w:rPr>
          <w:rFonts w:eastAsiaTheme="minorEastAsia" w:cs="Arial"/>
          <w:caps w:val="0"/>
          <w:noProof/>
          <w:sz w:val="22"/>
          <w:szCs w:val="22"/>
          <w:lang w:val="it-CH" w:eastAsia="it-CH"/>
        </w:rPr>
      </w:pPr>
      <w:hyperlink w:anchor="_Toc471834935" w:history="1">
        <w:r w:rsidR="00D253D3" w:rsidRPr="00D253D3">
          <w:rPr>
            <w:rStyle w:val="Collegamentoipertestuale"/>
            <w:rFonts w:ascii="Arial" w:hAnsi="Arial" w:cs="Arial"/>
            <w:noProof/>
            <w:sz w:val="22"/>
            <w:szCs w:val="22"/>
          </w:rPr>
          <w:t>4.</w:t>
        </w:r>
        <w:r w:rsidR="00D253D3" w:rsidRPr="00D253D3">
          <w:rPr>
            <w:rFonts w:eastAsiaTheme="minorEastAsia" w:cs="Arial"/>
            <w:caps w:val="0"/>
            <w:noProof/>
            <w:sz w:val="22"/>
            <w:szCs w:val="22"/>
            <w:lang w:val="it-CH" w:eastAsia="it-CH"/>
          </w:rPr>
          <w:tab/>
        </w:r>
        <w:r w:rsidR="00D253D3" w:rsidRPr="00D253D3">
          <w:rPr>
            <w:rStyle w:val="Collegamentoipertestuale"/>
            <w:rFonts w:ascii="Arial" w:hAnsi="Arial" w:cs="Arial"/>
            <w:noProof/>
            <w:sz w:val="22"/>
            <w:szCs w:val="22"/>
          </w:rPr>
          <w:t>CIFRE DEL RENDICONTO 2015</w:t>
        </w:r>
        <w:r w:rsidR="00D253D3" w:rsidRPr="00D253D3">
          <w:rPr>
            <w:rFonts w:cs="Arial"/>
            <w:noProof/>
            <w:webHidden/>
            <w:sz w:val="22"/>
            <w:szCs w:val="22"/>
          </w:rPr>
          <w:tab/>
        </w:r>
        <w:r w:rsidR="00D253D3" w:rsidRPr="00D253D3">
          <w:rPr>
            <w:rFonts w:cs="Arial"/>
            <w:noProof/>
            <w:webHidden/>
            <w:sz w:val="22"/>
            <w:szCs w:val="22"/>
          </w:rPr>
          <w:fldChar w:fldCharType="begin"/>
        </w:r>
        <w:r w:rsidR="00D253D3" w:rsidRPr="00D253D3">
          <w:rPr>
            <w:rFonts w:cs="Arial"/>
            <w:noProof/>
            <w:webHidden/>
            <w:sz w:val="22"/>
            <w:szCs w:val="22"/>
          </w:rPr>
          <w:instrText xml:space="preserve"> PAGEREF _Toc471834935 \h </w:instrText>
        </w:r>
        <w:r w:rsidR="00D253D3" w:rsidRPr="00D253D3">
          <w:rPr>
            <w:rFonts w:cs="Arial"/>
            <w:noProof/>
            <w:webHidden/>
            <w:sz w:val="22"/>
            <w:szCs w:val="22"/>
          </w:rPr>
        </w:r>
        <w:r w:rsidR="00D253D3" w:rsidRPr="00D253D3">
          <w:rPr>
            <w:rFonts w:cs="Arial"/>
            <w:noProof/>
            <w:webHidden/>
            <w:sz w:val="22"/>
            <w:szCs w:val="22"/>
          </w:rPr>
          <w:fldChar w:fldCharType="separate"/>
        </w:r>
        <w:r w:rsidR="003444D3">
          <w:rPr>
            <w:rFonts w:cs="Arial"/>
            <w:noProof/>
            <w:webHidden/>
            <w:sz w:val="22"/>
            <w:szCs w:val="22"/>
          </w:rPr>
          <w:t>4</w:t>
        </w:r>
        <w:r w:rsidR="00D253D3" w:rsidRPr="00D253D3">
          <w:rPr>
            <w:rFonts w:cs="Arial"/>
            <w:noProof/>
            <w:webHidden/>
            <w:sz w:val="22"/>
            <w:szCs w:val="22"/>
          </w:rPr>
          <w:fldChar w:fldCharType="end"/>
        </w:r>
      </w:hyperlink>
    </w:p>
    <w:p w:rsidR="00D253D3" w:rsidRPr="00D253D3" w:rsidRDefault="008C4D28" w:rsidP="00D253D3">
      <w:pPr>
        <w:pStyle w:val="Sommario1"/>
        <w:tabs>
          <w:tab w:val="left" w:pos="660"/>
          <w:tab w:val="right" w:leader="dot" w:pos="9628"/>
        </w:tabs>
        <w:spacing w:before="200"/>
        <w:rPr>
          <w:rFonts w:eastAsiaTheme="minorEastAsia" w:cs="Arial"/>
          <w:caps w:val="0"/>
          <w:noProof/>
          <w:sz w:val="22"/>
          <w:szCs w:val="22"/>
          <w:lang w:val="it-CH" w:eastAsia="it-CH"/>
        </w:rPr>
      </w:pPr>
      <w:hyperlink w:anchor="_Toc471834936" w:history="1">
        <w:r w:rsidR="00D253D3" w:rsidRPr="00D253D3">
          <w:rPr>
            <w:rStyle w:val="Collegamentoipertestuale"/>
            <w:rFonts w:ascii="Arial" w:hAnsi="Arial" w:cs="Arial"/>
            <w:noProof/>
            <w:sz w:val="22"/>
            <w:szCs w:val="22"/>
          </w:rPr>
          <w:t>5.</w:t>
        </w:r>
        <w:r w:rsidR="00D253D3" w:rsidRPr="00D253D3">
          <w:rPr>
            <w:rFonts w:eastAsiaTheme="minorEastAsia" w:cs="Arial"/>
            <w:caps w:val="0"/>
            <w:noProof/>
            <w:sz w:val="22"/>
            <w:szCs w:val="22"/>
            <w:lang w:val="it-CH" w:eastAsia="it-CH"/>
          </w:rPr>
          <w:tab/>
        </w:r>
        <w:r w:rsidR="00D253D3" w:rsidRPr="00D253D3">
          <w:rPr>
            <w:rStyle w:val="Collegamentoipertestuale"/>
            <w:rFonts w:ascii="Arial" w:hAnsi="Arial" w:cs="Arial"/>
            <w:noProof/>
            <w:sz w:val="22"/>
            <w:szCs w:val="22"/>
          </w:rPr>
          <w:t>SVILUPPI FUTURI</w:t>
        </w:r>
        <w:r w:rsidR="00D253D3" w:rsidRPr="00D253D3">
          <w:rPr>
            <w:rFonts w:cs="Arial"/>
            <w:noProof/>
            <w:webHidden/>
            <w:sz w:val="22"/>
            <w:szCs w:val="22"/>
          </w:rPr>
          <w:tab/>
        </w:r>
        <w:r w:rsidR="00D253D3" w:rsidRPr="00D253D3">
          <w:rPr>
            <w:rFonts w:cs="Arial"/>
            <w:noProof/>
            <w:webHidden/>
            <w:sz w:val="22"/>
            <w:szCs w:val="22"/>
          </w:rPr>
          <w:fldChar w:fldCharType="begin"/>
        </w:r>
        <w:r w:rsidR="00D253D3" w:rsidRPr="00D253D3">
          <w:rPr>
            <w:rFonts w:cs="Arial"/>
            <w:noProof/>
            <w:webHidden/>
            <w:sz w:val="22"/>
            <w:szCs w:val="22"/>
          </w:rPr>
          <w:instrText xml:space="preserve"> PAGEREF _Toc471834936 \h </w:instrText>
        </w:r>
        <w:r w:rsidR="00D253D3" w:rsidRPr="00D253D3">
          <w:rPr>
            <w:rFonts w:cs="Arial"/>
            <w:noProof/>
            <w:webHidden/>
            <w:sz w:val="22"/>
            <w:szCs w:val="22"/>
          </w:rPr>
        </w:r>
        <w:r w:rsidR="00D253D3" w:rsidRPr="00D253D3">
          <w:rPr>
            <w:rFonts w:cs="Arial"/>
            <w:noProof/>
            <w:webHidden/>
            <w:sz w:val="22"/>
            <w:szCs w:val="22"/>
          </w:rPr>
          <w:fldChar w:fldCharType="separate"/>
        </w:r>
        <w:r w:rsidR="003444D3">
          <w:rPr>
            <w:rFonts w:cs="Arial"/>
            <w:noProof/>
            <w:webHidden/>
            <w:sz w:val="22"/>
            <w:szCs w:val="22"/>
          </w:rPr>
          <w:t>5</w:t>
        </w:r>
        <w:r w:rsidR="00D253D3" w:rsidRPr="00D253D3">
          <w:rPr>
            <w:rFonts w:cs="Arial"/>
            <w:noProof/>
            <w:webHidden/>
            <w:sz w:val="22"/>
            <w:szCs w:val="22"/>
          </w:rPr>
          <w:fldChar w:fldCharType="end"/>
        </w:r>
      </w:hyperlink>
    </w:p>
    <w:p w:rsidR="00D253D3" w:rsidRPr="00D253D3" w:rsidRDefault="008C4D28" w:rsidP="00D253D3">
      <w:pPr>
        <w:pStyle w:val="Sommario1"/>
        <w:tabs>
          <w:tab w:val="left" w:pos="660"/>
          <w:tab w:val="right" w:leader="dot" w:pos="9628"/>
        </w:tabs>
        <w:spacing w:before="200"/>
        <w:rPr>
          <w:rFonts w:eastAsiaTheme="minorEastAsia" w:cs="Arial"/>
          <w:caps w:val="0"/>
          <w:noProof/>
          <w:sz w:val="22"/>
          <w:szCs w:val="22"/>
          <w:lang w:val="it-CH" w:eastAsia="it-CH"/>
        </w:rPr>
      </w:pPr>
      <w:hyperlink w:anchor="_Toc471834937" w:history="1">
        <w:r w:rsidR="00D253D3" w:rsidRPr="00D253D3">
          <w:rPr>
            <w:rStyle w:val="Collegamentoipertestuale"/>
            <w:rFonts w:ascii="Arial" w:hAnsi="Arial" w:cs="Arial"/>
            <w:noProof/>
            <w:sz w:val="22"/>
            <w:szCs w:val="22"/>
          </w:rPr>
          <w:t>6.</w:t>
        </w:r>
        <w:r w:rsidR="00D253D3" w:rsidRPr="00D253D3">
          <w:rPr>
            <w:rFonts w:eastAsiaTheme="minorEastAsia" w:cs="Arial"/>
            <w:caps w:val="0"/>
            <w:noProof/>
            <w:sz w:val="22"/>
            <w:szCs w:val="22"/>
            <w:lang w:val="it-CH" w:eastAsia="it-CH"/>
          </w:rPr>
          <w:tab/>
        </w:r>
        <w:r w:rsidR="00D253D3" w:rsidRPr="00D253D3">
          <w:rPr>
            <w:rStyle w:val="Collegamentoipertestuale"/>
            <w:rFonts w:ascii="Arial" w:hAnsi="Arial" w:cs="Arial"/>
            <w:noProof/>
            <w:sz w:val="22"/>
            <w:szCs w:val="22"/>
          </w:rPr>
          <w:t>CONCLUSIONI</w:t>
        </w:r>
        <w:r w:rsidR="00D253D3" w:rsidRPr="00D253D3">
          <w:rPr>
            <w:rFonts w:cs="Arial"/>
            <w:noProof/>
            <w:webHidden/>
            <w:sz w:val="22"/>
            <w:szCs w:val="22"/>
          </w:rPr>
          <w:tab/>
        </w:r>
        <w:r w:rsidR="00D253D3" w:rsidRPr="00D253D3">
          <w:rPr>
            <w:rFonts w:cs="Arial"/>
            <w:noProof/>
            <w:webHidden/>
            <w:sz w:val="22"/>
            <w:szCs w:val="22"/>
          </w:rPr>
          <w:fldChar w:fldCharType="begin"/>
        </w:r>
        <w:r w:rsidR="00D253D3" w:rsidRPr="00D253D3">
          <w:rPr>
            <w:rFonts w:cs="Arial"/>
            <w:noProof/>
            <w:webHidden/>
            <w:sz w:val="22"/>
            <w:szCs w:val="22"/>
          </w:rPr>
          <w:instrText xml:space="preserve"> PAGEREF _Toc471834937 \h </w:instrText>
        </w:r>
        <w:r w:rsidR="00D253D3" w:rsidRPr="00D253D3">
          <w:rPr>
            <w:rFonts w:cs="Arial"/>
            <w:noProof/>
            <w:webHidden/>
            <w:sz w:val="22"/>
            <w:szCs w:val="22"/>
          </w:rPr>
        </w:r>
        <w:r w:rsidR="00D253D3" w:rsidRPr="00D253D3">
          <w:rPr>
            <w:rFonts w:cs="Arial"/>
            <w:noProof/>
            <w:webHidden/>
            <w:sz w:val="22"/>
            <w:szCs w:val="22"/>
          </w:rPr>
          <w:fldChar w:fldCharType="separate"/>
        </w:r>
        <w:r w:rsidR="003444D3">
          <w:rPr>
            <w:rFonts w:cs="Arial"/>
            <w:noProof/>
            <w:webHidden/>
            <w:sz w:val="22"/>
            <w:szCs w:val="22"/>
          </w:rPr>
          <w:t>7</w:t>
        </w:r>
        <w:r w:rsidR="00D253D3" w:rsidRPr="00D253D3">
          <w:rPr>
            <w:rFonts w:cs="Arial"/>
            <w:noProof/>
            <w:webHidden/>
            <w:sz w:val="22"/>
            <w:szCs w:val="22"/>
          </w:rPr>
          <w:fldChar w:fldCharType="end"/>
        </w:r>
      </w:hyperlink>
    </w:p>
    <w:p w:rsidR="005B6428" w:rsidRPr="005B6428" w:rsidRDefault="00D253D3" w:rsidP="00D253D3">
      <w:pPr>
        <w:tabs>
          <w:tab w:val="left" w:pos="426"/>
        </w:tabs>
        <w:spacing w:before="200"/>
        <w:rPr>
          <w:rFonts w:cs="Arial"/>
          <w:bCs/>
          <w:szCs w:val="24"/>
        </w:rPr>
      </w:pPr>
      <w:r w:rsidRPr="00D253D3">
        <w:rPr>
          <w:rFonts w:eastAsia="Calibri" w:cs="Arial"/>
          <w:caps/>
          <w:sz w:val="22"/>
          <w:lang w:val="it-IT"/>
        </w:rPr>
        <w:fldChar w:fldCharType="end"/>
      </w:r>
    </w:p>
    <w:p w:rsidR="005B6428" w:rsidRPr="001A3146" w:rsidRDefault="005B6428" w:rsidP="005B6428">
      <w:pPr>
        <w:tabs>
          <w:tab w:val="left" w:pos="426"/>
        </w:tabs>
        <w:rPr>
          <w:rFonts w:cs="Arial"/>
        </w:rPr>
      </w:pPr>
    </w:p>
    <w:p w:rsidR="005B6428" w:rsidRPr="005B6428" w:rsidRDefault="005B6428" w:rsidP="005B6428">
      <w:pPr>
        <w:jc w:val="center"/>
        <w:rPr>
          <w:rFonts w:cs="Arial"/>
          <w:sz w:val="28"/>
          <w:szCs w:val="28"/>
        </w:rPr>
      </w:pPr>
      <w:r w:rsidRPr="005B6428">
        <w:rPr>
          <w:rFonts w:cs="Arial"/>
          <w:sz w:val="28"/>
          <w:szCs w:val="28"/>
        </w:rPr>
        <w:fldChar w:fldCharType="begin"/>
      </w:r>
      <w:r w:rsidRPr="005B6428">
        <w:rPr>
          <w:rFonts w:cs="Arial"/>
          <w:sz w:val="28"/>
          <w:szCs w:val="28"/>
        </w:rPr>
        <w:instrText>SYMBOL 175 \f "Wingdings"</w:instrText>
      </w:r>
      <w:r w:rsidRPr="005B6428">
        <w:rPr>
          <w:rFonts w:cs="Arial"/>
          <w:sz w:val="28"/>
          <w:szCs w:val="28"/>
        </w:rPr>
        <w:fldChar w:fldCharType="end"/>
      </w:r>
      <w:r w:rsidRPr="005B6428">
        <w:rPr>
          <w:rFonts w:cs="Arial"/>
          <w:sz w:val="28"/>
          <w:szCs w:val="28"/>
        </w:rPr>
        <w:t xml:space="preserve"> </w:t>
      </w:r>
      <w:r w:rsidRPr="005B6428">
        <w:rPr>
          <w:rFonts w:cs="Arial"/>
          <w:sz w:val="28"/>
          <w:szCs w:val="28"/>
        </w:rPr>
        <w:fldChar w:fldCharType="begin"/>
      </w:r>
      <w:r w:rsidRPr="005B6428">
        <w:rPr>
          <w:rFonts w:cs="Arial"/>
          <w:sz w:val="28"/>
          <w:szCs w:val="28"/>
        </w:rPr>
        <w:instrText>SYMBOL 175 \f "Wingdings"</w:instrText>
      </w:r>
      <w:r w:rsidRPr="005B6428">
        <w:rPr>
          <w:rFonts w:cs="Arial"/>
          <w:sz w:val="28"/>
          <w:szCs w:val="28"/>
        </w:rPr>
        <w:fldChar w:fldCharType="end"/>
      </w:r>
      <w:r w:rsidRPr="005B6428">
        <w:rPr>
          <w:rFonts w:cs="Arial"/>
          <w:sz w:val="28"/>
          <w:szCs w:val="28"/>
        </w:rPr>
        <w:t xml:space="preserve"> </w:t>
      </w:r>
      <w:r w:rsidRPr="005B6428">
        <w:rPr>
          <w:rFonts w:cs="Arial"/>
          <w:sz w:val="28"/>
          <w:szCs w:val="28"/>
        </w:rPr>
        <w:fldChar w:fldCharType="begin"/>
      </w:r>
      <w:r w:rsidRPr="005B6428">
        <w:rPr>
          <w:rFonts w:cs="Arial"/>
          <w:sz w:val="28"/>
          <w:szCs w:val="28"/>
        </w:rPr>
        <w:instrText>SYMBOL 175 \f "Wingdings"</w:instrText>
      </w:r>
      <w:r w:rsidRPr="005B6428">
        <w:rPr>
          <w:rFonts w:cs="Arial"/>
          <w:sz w:val="28"/>
          <w:szCs w:val="28"/>
        </w:rPr>
        <w:fldChar w:fldCharType="end"/>
      </w:r>
      <w:r w:rsidRPr="005B6428">
        <w:rPr>
          <w:rFonts w:cs="Arial"/>
          <w:sz w:val="28"/>
          <w:szCs w:val="28"/>
        </w:rPr>
        <w:t xml:space="preserve"> </w:t>
      </w:r>
      <w:r w:rsidRPr="005B6428">
        <w:rPr>
          <w:rFonts w:cs="Arial"/>
          <w:sz w:val="28"/>
          <w:szCs w:val="28"/>
        </w:rPr>
        <w:fldChar w:fldCharType="begin"/>
      </w:r>
      <w:r w:rsidRPr="005B6428">
        <w:rPr>
          <w:rFonts w:cs="Arial"/>
          <w:sz w:val="28"/>
          <w:szCs w:val="28"/>
        </w:rPr>
        <w:instrText>SYMBOL 175 \f "Wingdings"</w:instrText>
      </w:r>
      <w:r w:rsidRPr="005B6428">
        <w:rPr>
          <w:rFonts w:cs="Arial"/>
          <w:sz w:val="28"/>
          <w:szCs w:val="28"/>
        </w:rPr>
        <w:fldChar w:fldCharType="end"/>
      </w:r>
      <w:r w:rsidRPr="005B6428">
        <w:rPr>
          <w:rFonts w:cs="Arial"/>
          <w:sz w:val="28"/>
          <w:szCs w:val="28"/>
        </w:rPr>
        <w:t xml:space="preserve"> </w:t>
      </w:r>
      <w:r w:rsidRPr="005B6428">
        <w:rPr>
          <w:rFonts w:cs="Arial"/>
          <w:sz w:val="28"/>
          <w:szCs w:val="28"/>
        </w:rPr>
        <w:fldChar w:fldCharType="begin"/>
      </w:r>
      <w:r w:rsidRPr="005B6428">
        <w:rPr>
          <w:rFonts w:cs="Arial"/>
          <w:sz w:val="28"/>
          <w:szCs w:val="28"/>
        </w:rPr>
        <w:instrText>SYMBOL 175 \f "Wingdings"</w:instrText>
      </w:r>
      <w:r w:rsidRPr="005B6428">
        <w:rPr>
          <w:rFonts w:cs="Arial"/>
          <w:sz w:val="28"/>
          <w:szCs w:val="28"/>
        </w:rPr>
        <w:fldChar w:fldCharType="end"/>
      </w:r>
    </w:p>
    <w:p w:rsidR="005B6428" w:rsidRDefault="005B6428" w:rsidP="005B6428">
      <w:pPr>
        <w:rPr>
          <w:rFonts w:cs="Arial"/>
          <w:szCs w:val="24"/>
        </w:rPr>
      </w:pPr>
    </w:p>
    <w:p w:rsidR="005B6428" w:rsidRPr="001A3146" w:rsidRDefault="005B6428" w:rsidP="005B6428">
      <w:pPr>
        <w:rPr>
          <w:rFonts w:cs="Arial"/>
          <w:szCs w:val="24"/>
        </w:rPr>
      </w:pPr>
    </w:p>
    <w:p w:rsidR="005B6428" w:rsidRPr="001A3146" w:rsidRDefault="005B6428" w:rsidP="005B6428">
      <w:pPr>
        <w:pStyle w:val="Titolo1"/>
        <w:rPr>
          <w:rFonts w:cs="Arial"/>
        </w:rPr>
      </w:pPr>
      <w:bookmarkStart w:id="1" w:name="_Toc390264053"/>
      <w:bookmarkStart w:id="2" w:name="_Toc353800479"/>
      <w:bookmarkStart w:id="3" w:name="_Toc471834932"/>
      <w:r w:rsidRPr="001A3146">
        <w:rPr>
          <w:rFonts w:cs="Arial"/>
        </w:rPr>
        <w:t>Premessa</w:t>
      </w:r>
      <w:bookmarkEnd w:id="1"/>
      <w:bookmarkEnd w:id="2"/>
      <w:bookmarkEnd w:id="3"/>
    </w:p>
    <w:p w:rsidR="005B6428" w:rsidRPr="001A3146" w:rsidRDefault="005B6428" w:rsidP="005B6428">
      <w:pPr>
        <w:rPr>
          <w:rFonts w:cs="Arial"/>
          <w:szCs w:val="24"/>
        </w:rPr>
      </w:pPr>
      <w:r w:rsidRPr="001A3146">
        <w:rPr>
          <w:rFonts w:cs="Arial"/>
          <w:szCs w:val="24"/>
        </w:rPr>
        <w:t>Anche per il 2015 l’azienda è stata confrontata con le difficili e problematiche condizioni del mercato dell’energia elettrica in Europa, dove le politiche di sostegno alla transizione verso un mondo “eco-sostenibile”</w:t>
      </w:r>
      <w:r>
        <w:rPr>
          <w:rFonts w:cs="Arial"/>
          <w:szCs w:val="24"/>
        </w:rPr>
        <w:t>,</w:t>
      </w:r>
      <w:r w:rsidRPr="001A3146">
        <w:rPr>
          <w:rFonts w:cs="Arial"/>
          <w:szCs w:val="24"/>
        </w:rPr>
        <w:t xml:space="preserve"> sommate all’apertura del mercato elettrico</w:t>
      </w:r>
      <w:r>
        <w:rPr>
          <w:rFonts w:cs="Arial"/>
          <w:szCs w:val="24"/>
        </w:rPr>
        <w:t>,</w:t>
      </w:r>
      <w:r w:rsidRPr="001A3146">
        <w:rPr>
          <w:rFonts w:cs="Arial"/>
          <w:szCs w:val="24"/>
        </w:rPr>
        <w:t xml:space="preserve"> fanno registrare da ormai sette anni un costante calo dei prezzi dell’energia.</w:t>
      </w:r>
    </w:p>
    <w:p w:rsidR="005B6428" w:rsidRPr="002E3D8B" w:rsidRDefault="005B6428" w:rsidP="005B6428">
      <w:pPr>
        <w:rPr>
          <w:rFonts w:cs="Arial"/>
          <w:sz w:val="20"/>
          <w:szCs w:val="20"/>
        </w:rPr>
      </w:pPr>
    </w:p>
    <w:p w:rsidR="005B6428" w:rsidRPr="001A3146" w:rsidRDefault="005B6428" w:rsidP="005B6428">
      <w:pPr>
        <w:rPr>
          <w:rFonts w:cs="Arial"/>
          <w:szCs w:val="24"/>
        </w:rPr>
      </w:pPr>
      <w:r w:rsidRPr="001A3146">
        <w:rPr>
          <w:rFonts w:cs="Arial"/>
          <w:szCs w:val="24"/>
        </w:rPr>
        <w:t xml:space="preserve">Il crollo dei prezzi dell’energia elettrica in Europa è anche riconducibile alla massiccia incentivazione statale, segnatamente in Germania e Italia, che nel 2015 ha riversato nel mercato oltre 40 mia di EUR, producendo di riflesso un eccesso di offerta. Inoltre il basso costo per i certificati per l’emissione di CO2 con il crollo delle quotazioni delle materie prime (petrolio, gas e carbone) favorisce la sopravvivenza delle centrali termoelettriche di vecchia generazione che producono energia </w:t>
      </w:r>
      <w:r w:rsidRPr="005B6428">
        <w:rPr>
          <w:rFonts w:cs="Arial"/>
          <w:szCs w:val="24"/>
        </w:rPr>
        <w:t>con costi finanziari inferiori</w:t>
      </w:r>
      <w:r w:rsidRPr="001A3146">
        <w:rPr>
          <w:rFonts w:cs="Arial"/>
          <w:szCs w:val="24"/>
        </w:rPr>
        <w:t>.</w:t>
      </w:r>
    </w:p>
    <w:p w:rsidR="005B6428" w:rsidRPr="002E3D8B" w:rsidRDefault="005B6428" w:rsidP="005B6428">
      <w:pPr>
        <w:rPr>
          <w:rFonts w:cs="Arial"/>
          <w:sz w:val="20"/>
          <w:szCs w:val="20"/>
        </w:rPr>
      </w:pPr>
    </w:p>
    <w:p w:rsidR="00D253D3" w:rsidRDefault="005B6428" w:rsidP="005B6428">
      <w:pPr>
        <w:rPr>
          <w:rFonts w:cs="Arial"/>
          <w:szCs w:val="24"/>
        </w:rPr>
      </w:pPr>
      <w:r w:rsidRPr="001A3146">
        <w:rPr>
          <w:rFonts w:cs="Arial"/>
          <w:szCs w:val="24"/>
        </w:rPr>
        <w:t xml:space="preserve">Queste condizioni quadro sfavorevoli si sono ulteriormente degradate nel 2015 e rimarranno tali per diversi anni, quando presumibilmente con la dismissione delle centrali nucleari e degli impianti ad energia fossile si assisterà ad una stabilizzazione dei prezzi dell’energia entro limiti in cui anche l’idroelettrico riuscirà a produrre energia </w:t>
      </w:r>
      <w:r w:rsidRPr="005B6428">
        <w:rPr>
          <w:rFonts w:cs="Arial"/>
          <w:szCs w:val="24"/>
        </w:rPr>
        <w:t>a prezzi inferiori a quelli del mercato.</w:t>
      </w:r>
    </w:p>
    <w:p w:rsidR="005B6428" w:rsidRPr="001A3146" w:rsidRDefault="005B6428" w:rsidP="005B6428">
      <w:r w:rsidRPr="001A3146">
        <w:rPr>
          <w:rFonts w:cs="Arial"/>
          <w:szCs w:val="24"/>
        </w:rPr>
        <w:br w:type="page"/>
      </w:r>
      <w:bookmarkStart w:id="4" w:name="_Toc390264054"/>
      <w:bookmarkStart w:id="5" w:name="_Toc353800480"/>
    </w:p>
    <w:p w:rsidR="005B6428" w:rsidRPr="001A3146" w:rsidRDefault="005B6428" w:rsidP="005B6428">
      <w:pPr>
        <w:pStyle w:val="Titolo1"/>
        <w:rPr>
          <w:rFonts w:cs="Arial"/>
        </w:rPr>
      </w:pPr>
      <w:bookmarkStart w:id="6" w:name="_Toc471834933"/>
      <w:r w:rsidRPr="001A3146">
        <w:rPr>
          <w:rFonts w:cs="Arial"/>
        </w:rPr>
        <w:lastRenderedPageBreak/>
        <w:t>Considerazioni generali</w:t>
      </w:r>
      <w:bookmarkEnd w:id="4"/>
      <w:bookmarkEnd w:id="5"/>
      <w:bookmarkEnd w:id="6"/>
    </w:p>
    <w:p w:rsidR="005B6428" w:rsidRPr="001A3146" w:rsidRDefault="005B6428" w:rsidP="005B6428">
      <w:pPr>
        <w:rPr>
          <w:rFonts w:cs="Arial"/>
          <w:szCs w:val="24"/>
        </w:rPr>
      </w:pPr>
      <w:r w:rsidRPr="001A3146">
        <w:rPr>
          <w:rFonts w:cs="Arial"/>
          <w:szCs w:val="24"/>
        </w:rPr>
        <w:t xml:space="preserve">Come accennato nelle premesse, il maggior problema di AET è determinato dall’importante riduzione dei prezzi di mercato, dovuto sia all’esubero d’energia ma </w:t>
      </w:r>
      <w:r w:rsidRPr="001A3146">
        <w:rPr>
          <w:rFonts w:cs="Arial"/>
        </w:rPr>
        <w:t>anche all’aumento della concorrenza dopo la liberalizzazione del mercato.</w:t>
      </w:r>
      <w:r w:rsidRPr="001A3146">
        <w:rPr>
          <w:rFonts w:cs="Arial"/>
          <w:szCs w:val="24"/>
        </w:rPr>
        <w:t xml:space="preserve"> </w:t>
      </w:r>
    </w:p>
    <w:p w:rsidR="005B6428" w:rsidRPr="001A3146" w:rsidRDefault="005B6428" w:rsidP="005B6428">
      <w:pPr>
        <w:rPr>
          <w:rFonts w:cs="Arial"/>
          <w:szCs w:val="24"/>
        </w:rPr>
      </w:pPr>
      <w:r w:rsidRPr="001A3146">
        <w:rPr>
          <w:rFonts w:cs="Arial"/>
          <w:szCs w:val="24"/>
        </w:rPr>
        <w:t xml:space="preserve">Sui conti AET pesa anche il risultato negativo dei costi di produzione della partecipazione nella centrale di </w:t>
      </w:r>
      <w:proofErr w:type="spellStart"/>
      <w:r w:rsidRPr="001A3146">
        <w:rPr>
          <w:rFonts w:cs="Arial"/>
          <w:szCs w:val="24"/>
        </w:rPr>
        <w:t>Lünen</w:t>
      </w:r>
      <w:proofErr w:type="spellEnd"/>
      <w:r w:rsidRPr="001A3146">
        <w:rPr>
          <w:rFonts w:cs="Arial"/>
          <w:szCs w:val="24"/>
        </w:rPr>
        <w:t xml:space="preserve"> ed in particolare la riduzione del valore del contratto di fornitura d’energia a lungo termine con EDF (</w:t>
      </w:r>
      <w:proofErr w:type="spellStart"/>
      <w:r w:rsidRPr="001A3146">
        <w:rPr>
          <w:rFonts w:cs="Arial"/>
          <w:szCs w:val="24"/>
        </w:rPr>
        <w:t>Électricité</w:t>
      </w:r>
      <w:proofErr w:type="spellEnd"/>
      <w:r w:rsidRPr="001A3146">
        <w:rPr>
          <w:rFonts w:cs="Arial"/>
          <w:szCs w:val="24"/>
        </w:rPr>
        <w:t xml:space="preserve"> de France), firmato nel 2007 (prima dell’apertura dei mercati), che allo stato attuale è oggetto di una causa promossa da AET per ottenere un adeguamento delle condizioni contrattuali.</w:t>
      </w:r>
    </w:p>
    <w:p w:rsidR="005B6428" w:rsidRPr="001A3146" w:rsidRDefault="005B6428" w:rsidP="005B6428">
      <w:pPr>
        <w:rPr>
          <w:rFonts w:cs="Arial"/>
          <w:szCs w:val="24"/>
        </w:rPr>
      </w:pPr>
    </w:p>
    <w:p w:rsidR="005B6428" w:rsidRPr="001A3146" w:rsidRDefault="005B6428" w:rsidP="005B6428">
      <w:pPr>
        <w:rPr>
          <w:rFonts w:cs="Arial"/>
          <w:szCs w:val="24"/>
        </w:rPr>
      </w:pPr>
      <w:r w:rsidRPr="001A3146">
        <w:rPr>
          <w:rFonts w:cs="Arial"/>
          <w:szCs w:val="24"/>
        </w:rPr>
        <w:t>L’Azienda Elettrica Ticinese, per la prima volta dagli anni ’90</w:t>
      </w:r>
      <w:r>
        <w:rPr>
          <w:rFonts w:cs="Arial"/>
          <w:szCs w:val="24"/>
        </w:rPr>
        <w:t>,</w:t>
      </w:r>
      <w:r w:rsidRPr="001A3146">
        <w:rPr>
          <w:rFonts w:cs="Arial"/>
          <w:szCs w:val="24"/>
        </w:rPr>
        <w:t xml:space="preserve"> si trova confrontata con una perdita di esercizio. All’orizzonte non si intravvedono miglioramenti, per cui saremo confrontati per alcuni anni ancora con risultati negativi.</w:t>
      </w:r>
    </w:p>
    <w:p w:rsidR="005B6428" w:rsidRPr="001A3146" w:rsidRDefault="005B6428" w:rsidP="005B6428">
      <w:pPr>
        <w:widowControl w:val="0"/>
        <w:autoSpaceDE w:val="0"/>
        <w:autoSpaceDN w:val="0"/>
        <w:adjustRightInd w:val="0"/>
      </w:pPr>
      <w:r w:rsidRPr="001A3146">
        <w:rPr>
          <w:rFonts w:cs="Arial"/>
          <w:szCs w:val="24"/>
        </w:rPr>
        <w:t xml:space="preserve">Di fatto AET chiude l’esercizio 2015 con una perdita netta di CHF 46 mio, dove si registra un utile operativo di CHF 15 mio, in calo rispetto ai CHF 23 mio dell’anno precedente a causa delle sopracitate condizioni di mercato e da una lieve contrazione della produzione idroelettrica. Sulla perdita netta pesano importanti rettifiche di valore provocate dal </w:t>
      </w:r>
      <w:r w:rsidRPr="001A3146">
        <w:t>continuo deterioramento delle condizioni di mercato.</w:t>
      </w:r>
    </w:p>
    <w:p w:rsidR="005B6428" w:rsidRPr="001A3146" w:rsidRDefault="005B6428" w:rsidP="005B6428"/>
    <w:p w:rsidR="005B6428" w:rsidRPr="001A3146" w:rsidRDefault="005B6428" w:rsidP="005B6428">
      <w:r w:rsidRPr="001A3146">
        <w:rPr>
          <w:rFonts w:cs="Arial"/>
          <w:szCs w:val="24"/>
        </w:rPr>
        <w:t>La produzione di energia elettrica nel 2015 è da ritenersi soddisfacente, benché non abbia registrato il risultato idrologico particolarmente favorevole del 2014.</w:t>
      </w:r>
    </w:p>
    <w:p w:rsidR="005B6428" w:rsidRPr="001A3146" w:rsidRDefault="005B6428" w:rsidP="006600DA">
      <w:pPr>
        <w:spacing w:before="120" w:line="360" w:lineRule="auto"/>
        <w:rPr>
          <w:rFonts w:eastAsia="Arial"/>
        </w:rPr>
      </w:pPr>
    </w:p>
    <w:p w:rsidR="005B6428" w:rsidRPr="002E3D8B" w:rsidRDefault="005B6428" w:rsidP="002E3D8B">
      <w:pPr>
        <w:pStyle w:val="Titolo2"/>
      </w:pPr>
      <w:bookmarkStart w:id="7" w:name="_Toc466708531"/>
      <w:bookmarkStart w:id="8" w:name="_Toc466875515"/>
      <w:bookmarkStart w:id="9" w:name="_Toc353800481"/>
      <w:bookmarkStart w:id="10" w:name="_Toc390264055"/>
      <w:r w:rsidRPr="002E3D8B">
        <w:t>Partecipate</w:t>
      </w:r>
      <w:bookmarkEnd w:id="7"/>
      <w:bookmarkEnd w:id="8"/>
    </w:p>
    <w:p w:rsidR="005B6428" w:rsidRDefault="005B6428" w:rsidP="005B6428">
      <w:pPr>
        <w:rPr>
          <w:rFonts w:cs="Arial"/>
          <w:szCs w:val="24"/>
        </w:rPr>
      </w:pPr>
      <w:r w:rsidRPr="001A3146">
        <w:t xml:space="preserve">A titolo di ricapitolazione generale riportiamo le perdite milionarie accumulate a fine 2015, </w:t>
      </w:r>
      <w:r w:rsidRPr="001A3146">
        <w:rPr>
          <w:rFonts w:cs="Arial"/>
          <w:szCs w:val="24"/>
        </w:rPr>
        <w:t>di cui la stragrande maggioranza (oltre il 95.6%) concretizzatesi all’estero:</w:t>
      </w:r>
      <w:r w:rsidRPr="001A3146">
        <w:rPr>
          <w:rStyle w:val="Rimandonotaapidipagina"/>
          <w:rFonts w:cs="Arial"/>
        </w:rPr>
        <w:footnoteReference w:id="1"/>
      </w:r>
    </w:p>
    <w:p w:rsidR="005B6428" w:rsidRPr="001A3146" w:rsidRDefault="005B6428" w:rsidP="005B6428">
      <w:pPr>
        <w:rPr>
          <w:rFonts w:cs="Arial"/>
          <w:szCs w:val="24"/>
        </w:rPr>
      </w:pPr>
    </w:p>
    <w:tbl>
      <w:tblPr>
        <w:tblpPr w:leftFromText="141" w:rightFromText="141" w:vertAnchor="text" w:horzAnchor="margin" w:tblpXSpec="center" w:tblpY="76"/>
        <w:tblW w:w="8363" w:type="dxa"/>
        <w:tblCellMar>
          <w:left w:w="70" w:type="dxa"/>
          <w:right w:w="70" w:type="dxa"/>
        </w:tblCellMar>
        <w:tblLook w:val="0000" w:firstRow="0" w:lastRow="0" w:firstColumn="0" w:lastColumn="0" w:noHBand="0" w:noVBand="0"/>
      </w:tblPr>
      <w:tblGrid>
        <w:gridCol w:w="2251"/>
        <w:gridCol w:w="1435"/>
        <w:gridCol w:w="1435"/>
        <w:gridCol w:w="1541"/>
        <w:gridCol w:w="1701"/>
      </w:tblGrid>
      <w:tr w:rsidR="005B6428" w:rsidRPr="001A3146" w:rsidTr="00BA291D">
        <w:trPr>
          <w:trHeight w:val="303"/>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6428" w:rsidRPr="006600DA" w:rsidRDefault="005B6428" w:rsidP="00BA291D">
            <w:pPr>
              <w:rPr>
                <w:rFonts w:cs="Arial"/>
                <w:b/>
                <w:bCs/>
                <w:sz w:val="22"/>
              </w:rPr>
            </w:pPr>
            <w:r w:rsidRPr="006600DA">
              <w:rPr>
                <w:rFonts w:cs="Arial"/>
                <w:b/>
                <w:bCs/>
                <w:sz w:val="22"/>
              </w:rPr>
              <w:t>Paese</w:t>
            </w:r>
          </w:p>
        </w:tc>
        <w:tc>
          <w:tcPr>
            <w:tcW w:w="1435" w:type="dxa"/>
            <w:tcBorders>
              <w:top w:val="single" w:sz="4" w:space="0" w:color="auto"/>
              <w:left w:val="nil"/>
              <w:bottom w:val="single" w:sz="4" w:space="0" w:color="auto"/>
              <w:right w:val="single" w:sz="4" w:space="0" w:color="auto"/>
            </w:tcBorders>
            <w:vAlign w:val="bottom"/>
          </w:tcPr>
          <w:p w:rsidR="005B6428" w:rsidRPr="006600DA" w:rsidRDefault="005B6428" w:rsidP="00BA291D">
            <w:pPr>
              <w:jc w:val="center"/>
              <w:rPr>
                <w:rFonts w:cs="Arial"/>
                <w:b/>
                <w:bCs/>
                <w:sz w:val="22"/>
              </w:rPr>
            </w:pPr>
            <w:r w:rsidRPr="006600DA">
              <w:rPr>
                <w:rFonts w:cs="Arial"/>
                <w:b/>
                <w:bCs/>
                <w:sz w:val="22"/>
              </w:rPr>
              <w:t>Perdite Mio</w:t>
            </w:r>
          </w:p>
          <w:p w:rsidR="005B6428" w:rsidRPr="006600DA" w:rsidRDefault="005B6428" w:rsidP="00BA291D">
            <w:pPr>
              <w:jc w:val="center"/>
              <w:rPr>
                <w:rFonts w:cs="Arial"/>
                <w:b/>
                <w:bCs/>
                <w:sz w:val="22"/>
              </w:rPr>
            </w:pPr>
            <w:r w:rsidRPr="006600DA">
              <w:rPr>
                <w:rFonts w:cs="Arial"/>
                <w:b/>
                <w:bCs/>
                <w:sz w:val="22"/>
              </w:rPr>
              <w:t>2015</w:t>
            </w:r>
          </w:p>
        </w:tc>
        <w:tc>
          <w:tcPr>
            <w:tcW w:w="1435" w:type="dxa"/>
            <w:tcBorders>
              <w:top w:val="single" w:sz="4" w:space="0" w:color="auto"/>
              <w:left w:val="single" w:sz="4" w:space="0" w:color="auto"/>
              <w:bottom w:val="single" w:sz="4" w:space="0" w:color="auto"/>
              <w:right w:val="single" w:sz="4" w:space="0" w:color="auto"/>
            </w:tcBorders>
            <w:vAlign w:val="bottom"/>
          </w:tcPr>
          <w:p w:rsidR="005B6428" w:rsidRPr="006600DA" w:rsidRDefault="005B6428" w:rsidP="00BA291D">
            <w:pPr>
              <w:jc w:val="center"/>
              <w:rPr>
                <w:rFonts w:cs="Arial"/>
                <w:b/>
                <w:bCs/>
                <w:sz w:val="22"/>
              </w:rPr>
            </w:pPr>
            <w:r w:rsidRPr="006600DA">
              <w:rPr>
                <w:rFonts w:cs="Arial"/>
                <w:b/>
                <w:bCs/>
                <w:sz w:val="22"/>
              </w:rPr>
              <w:t xml:space="preserve">Perdite % </w:t>
            </w:r>
          </w:p>
          <w:p w:rsidR="005B6428" w:rsidRPr="006600DA" w:rsidRDefault="005B6428" w:rsidP="00BA291D">
            <w:pPr>
              <w:jc w:val="center"/>
              <w:rPr>
                <w:rFonts w:cs="Arial"/>
                <w:b/>
                <w:bCs/>
                <w:sz w:val="22"/>
              </w:rPr>
            </w:pPr>
            <w:r w:rsidRPr="006600DA">
              <w:rPr>
                <w:rFonts w:cs="Arial"/>
                <w:b/>
                <w:bCs/>
                <w:sz w:val="22"/>
              </w:rPr>
              <w:t>2015</w:t>
            </w:r>
          </w:p>
        </w:tc>
        <w:tc>
          <w:tcPr>
            <w:tcW w:w="1541" w:type="dxa"/>
            <w:tcBorders>
              <w:top w:val="single" w:sz="4" w:space="0" w:color="auto"/>
              <w:left w:val="single" w:sz="4" w:space="0" w:color="auto"/>
              <w:bottom w:val="single" w:sz="4" w:space="0" w:color="auto"/>
              <w:right w:val="single" w:sz="4" w:space="0" w:color="auto"/>
            </w:tcBorders>
            <w:shd w:val="clear" w:color="auto" w:fill="D9D9D9"/>
            <w:vAlign w:val="bottom"/>
          </w:tcPr>
          <w:p w:rsidR="005B6428" w:rsidRPr="006600DA" w:rsidRDefault="005B6428" w:rsidP="00BA291D">
            <w:pPr>
              <w:jc w:val="center"/>
              <w:rPr>
                <w:rFonts w:cs="Arial"/>
                <w:b/>
                <w:bCs/>
                <w:sz w:val="22"/>
              </w:rPr>
            </w:pPr>
            <w:r w:rsidRPr="006600DA">
              <w:rPr>
                <w:rFonts w:cs="Arial"/>
                <w:b/>
                <w:bCs/>
                <w:sz w:val="22"/>
              </w:rPr>
              <w:t>Perdite Mio</w:t>
            </w:r>
          </w:p>
          <w:p w:rsidR="005B6428" w:rsidRPr="006600DA" w:rsidRDefault="005B6428" w:rsidP="00BA291D">
            <w:pPr>
              <w:jc w:val="center"/>
              <w:rPr>
                <w:rFonts w:cs="Arial"/>
                <w:b/>
                <w:bCs/>
                <w:sz w:val="22"/>
              </w:rPr>
            </w:pPr>
            <w:r w:rsidRPr="006600DA">
              <w:rPr>
                <w:rFonts w:cs="Arial"/>
                <w:b/>
                <w:bCs/>
                <w:sz w:val="22"/>
              </w:rPr>
              <w:t>2014</w:t>
            </w:r>
          </w:p>
        </w:tc>
        <w:tc>
          <w:tcPr>
            <w:tcW w:w="1701" w:type="dxa"/>
            <w:tcBorders>
              <w:top w:val="single" w:sz="4" w:space="0" w:color="auto"/>
              <w:left w:val="nil"/>
              <w:bottom w:val="single" w:sz="4" w:space="0" w:color="auto"/>
              <w:right w:val="single" w:sz="4" w:space="0" w:color="auto"/>
            </w:tcBorders>
            <w:shd w:val="clear" w:color="auto" w:fill="D9D9D9"/>
            <w:vAlign w:val="bottom"/>
          </w:tcPr>
          <w:p w:rsidR="005B6428" w:rsidRPr="006600DA" w:rsidRDefault="005B6428" w:rsidP="00BA291D">
            <w:pPr>
              <w:jc w:val="center"/>
              <w:rPr>
                <w:rFonts w:cs="Arial"/>
                <w:b/>
                <w:bCs/>
                <w:sz w:val="22"/>
              </w:rPr>
            </w:pPr>
            <w:r w:rsidRPr="006600DA">
              <w:rPr>
                <w:rFonts w:cs="Arial"/>
                <w:b/>
                <w:bCs/>
                <w:sz w:val="22"/>
              </w:rPr>
              <w:t xml:space="preserve">Perdite % </w:t>
            </w:r>
          </w:p>
          <w:p w:rsidR="005B6428" w:rsidRPr="006600DA" w:rsidRDefault="005B6428" w:rsidP="00BA291D">
            <w:pPr>
              <w:jc w:val="center"/>
              <w:rPr>
                <w:rFonts w:cs="Arial"/>
                <w:b/>
                <w:bCs/>
                <w:sz w:val="22"/>
              </w:rPr>
            </w:pPr>
            <w:r w:rsidRPr="006600DA">
              <w:rPr>
                <w:rFonts w:cs="Arial"/>
                <w:b/>
                <w:bCs/>
                <w:sz w:val="22"/>
              </w:rPr>
              <w:t>2014</w:t>
            </w:r>
          </w:p>
        </w:tc>
      </w:tr>
      <w:tr w:rsidR="005B6428" w:rsidRPr="001A3146" w:rsidTr="00BA291D">
        <w:trPr>
          <w:trHeight w:val="315"/>
        </w:trPr>
        <w:tc>
          <w:tcPr>
            <w:tcW w:w="2251" w:type="dxa"/>
            <w:tcBorders>
              <w:top w:val="nil"/>
              <w:left w:val="single" w:sz="4" w:space="0" w:color="auto"/>
              <w:bottom w:val="nil"/>
              <w:right w:val="single" w:sz="4" w:space="0" w:color="auto"/>
            </w:tcBorders>
            <w:shd w:val="clear" w:color="auto" w:fill="auto"/>
            <w:noWrap/>
            <w:vAlign w:val="bottom"/>
          </w:tcPr>
          <w:p w:rsidR="005B6428" w:rsidRPr="006600DA" w:rsidRDefault="005B6428" w:rsidP="00BA291D">
            <w:pPr>
              <w:jc w:val="left"/>
              <w:rPr>
                <w:rFonts w:cs="Arial"/>
                <w:sz w:val="22"/>
              </w:rPr>
            </w:pPr>
            <w:r w:rsidRPr="006600DA">
              <w:rPr>
                <w:rFonts w:cs="Arial"/>
                <w:sz w:val="22"/>
              </w:rPr>
              <w:t>CH</w:t>
            </w:r>
          </w:p>
        </w:tc>
        <w:tc>
          <w:tcPr>
            <w:tcW w:w="1435" w:type="dxa"/>
            <w:tcBorders>
              <w:top w:val="nil"/>
              <w:left w:val="nil"/>
              <w:bottom w:val="nil"/>
              <w:right w:val="single" w:sz="4" w:space="0" w:color="auto"/>
            </w:tcBorders>
            <w:vAlign w:val="bottom"/>
          </w:tcPr>
          <w:p w:rsidR="005B6428" w:rsidRPr="006600DA" w:rsidRDefault="005B6428" w:rsidP="00BA291D">
            <w:pPr>
              <w:jc w:val="center"/>
              <w:rPr>
                <w:rFonts w:cs="Arial"/>
                <w:sz w:val="22"/>
              </w:rPr>
            </w:pPr>
            <w:r w:rsidRPr="006600DA">
              <w:rPr>
                <w:rFonts w:cs="Arial"/>
                <w:sz w:val="22"/>
              </w:rPr>
              <w:t>5.6</w:t>
            </w:r>
          </w:p>
        </w:tc>
        <w:tc>
          <w:tcPr>
            <w:tcW w:w="1435" w:type="dxa"/>
            <w:tcBorders>
              <w:top w:val="nil"/>
              <w:left w:val="single" w:sz="4" w:space="0" w:color="auto"/>
              <w:bottom w:val="nil"/>
              <w:right w:val="single" w:sz="4" w:space="0" w:color="auto"/>
            </w:tcBorders>
            <w:vAlign w:val="bottom"/>
          </w:tcPr>
          <w:p w:rsidR="005B6428" w:rsidRPr="006600DA" w:rsidRDefault="005B6428" w:rsidP="00BA291D">
            <w:pPr>
              <w:jc w:val="center"/>
              <w:rPr>
                <w:rFonts w:cs="Arial"/>
                <w:sz w:val="22"/>
              </w:rPr>
            </w:pPr>
            <w:r w:rsidRPr="006600DA">
              <w:rPr>
                <w:rFonts w:cs="Arial"/>
                <w:sz w:val="22"/>
              </w:rPr>
              <w:t>4.39%</w:t>
            </w:r>
          </w:p>
        </w:tc>
        <w:tc>
          <w:tcPr>
            <w:tcW w:w="1541" w:type="dxa"/>
            <w:tcBorders>
              <w:top w:val="nil"/>
              <w:left w:val="single" w:sz="4" w:space="0" w:color="auto"/>
              <w:bottom w:val="nil"/>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5.6</w:t>
            </w:r>
          </w:p>
        </w:tc>
        <w:tc>
          <w:tcPr>
            <w:tcW w:w="1701" w:type="dxa"/>
            <w:tcBorders>
              <w:top w:val="nil"/>
              <w:left w:val="nil"/>
              <w:bottom w:val="nil"/>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4.5%</w:t>
            </w:r>
          </w:p>
        </w:tc>
      </w:tr>
      <w:tr w:rsidR="005B6428" w:rsidRPr="001A3146" w:rsidTr="00BA291D">
        <w:trPr>
          <w:trHeight w:val="315"/>
        </w:trPr>
        <w:tc>
          <w:tcPr>
            <w:tcW w:w="2251" w:type="dxa"/>
            <w:tcBorders>
              <w:top w:val="nil"/>
              <w:left w:val="single" w:sz="4" w:space="0" w:color="auto"/>
              <w:bottom w:val="nil"/>
              <w:right w:val="single" w:sz="4" w:space="0" w:color="auto"/>
            </w:tcBorders>
            <w:shd w:val="clear" w:color="auto" w:fill="auto"/>
            <w:noWrap/>
            <w:vAlign w:val="bottom"/>
          </w:tcPr>
          <w:p w:rsidR="005B6428" w:rsidRPr="006600DA" w:rsidRDefault="005B6428" w:rsidP="00BA291D">
            <w:pPr>
              <w:jc w:val="left"/>
              <w:rPr>
                <w:rFonts w:cs="Arial"/>
                <w:sz w:val="22"/>
              </w:rPr>
            </w:pPr>
            <w:r w:rsidRPr="006600DA">
              <w:rPr>
                <w:rFonts w:cs="Arial"/>
                <w:sz w:val="22"/>
              </w:rPr>
              <w:t>Germania</w:t>
            </w:r>
          </w:p>
        </w:tc>
        <w:tc>
          <w:tcPr>
            <w:tcW w:w="1435" w:type="dxa"/>
            <w:tcBorders>
              <w:top w:val="nil"/>
              <w:left w:val="nil"/>
              <w:bottom w:val="nil"/>
              <w:right w:val="single" w:sz="4" w:space="0" w:color="auto"/>
            </w:tcBorders>
            <w:vAlign w:val="bottom"/>
          </w:tcPr>
          <w:p w:rsidR="005B6428" w:rsidRPr="006600DA" w:rsidRDefault="005B6428" w:rsidP="00BA291D">
            <w:pPr>
              <w:jc w:val="center"/>
              <w:rPr>
                <w:rFonts w:cs="Arial"/>
                <w:sz w:val="22"/>
              </w:rPr>
            </w:pPr>
            <w:r w:rsidRPr="006600DA">
              <w:rPr>
                <w:rFonts w:cs="Arial"/>
                <w:sz w:val="22"/>
              </w:rPr>
              <w:t>23.9</w:t>
            </w:r>
          </w:p>
        </w:tc>
        <w:tc>
          <w:tcPr>
            <w:tcW w:w="1435" w:type="dxa"/>
            <w:tcBorders>
              <w:top w:val="nil"/>
              <w:left w:val="single" w:sz="4" w:space="0" w:color="auto"/>
              <w:bottom w:val="nil"/>
              <w:right w:val="single" w:sz="4" w:space="0" w:color="auto"/>
            </w:tcBorders>
            <w:vAlign w:val="bottom"/>
          </w:tcPr>
          <w:p w:rsidR="005B6428" w:rsidRPr="006600DA" w:rsidRDefault="005B6428" w:rsidP="00BA291D">
            <w:pPr>
              <w:jc w:val="center"/>
              <w:rPr>
                <w:rFonts w:cs="Arial"/>
                <w:sz w:val="22"/>
              </w:rPr>
            </w:pPr>
            <w:r w:rsidRPr="006600DA">
              <w:rPr>
                <w:rFonts w:cs="Arial"/>
                <w:sz w:val="22"/>
              </w:rPr>
              <w:t>18.75%</w:t>
            </w:r>
          </w:p>
        </w:tc>
        <w:tc>
          <w:tcPr>
            <w:tcW w:w="1541" w:type="dxa"/>
            <w:tcBorders>
              <w:top w:val="nil"/>
              <w:left w:val="single" w:sz="4" w:space="0" w:color="auto"/>
              <w:bottom w:val="nil"/>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23.9</w:t>
            </w:r>
          </w:p>
        </w:tc>
        <w:tc>
          <w:tcPr>
            <w:tcW w:w="1701" w:type="dxa"/>
            <w:tcBorders>
              <w:top w:val="nil"/>
              <w:left w:val="nil"/>
              <w:bottom w:val="nil"/>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19.05%</w:t>
            </w:r>
          </w:p>
        </w:tc>
      </w:tr>
      <w:tr w:rsidR="005B6428" w:rsidRPr="001A3146" w:rsidTr="00BA291D">
        <w:trPr>
          <w:trHeight w:val="385"/>
        </w:trPr>
        <w:tc>
          <w:tcPr>
            <w:tcW w:w="2251" w:type="dxa"/>
            <w:tcBorders>
              <w:top w:val="nil"/>
              <w:left w:val="single" w:sz="4" w:space="0" w:color="auto"/>
              <w:bottom w:val="nil"/>
              <w:right w:val="single" w:sz="4" w:space="0" w:color="auto"/>
            </w:tcBorders>
            <w:shd w:val="clear" w:color="auto" w:fill="auto"/>
            <w:noWrap/>
            <w:vAlign w:val="bottom"/>
          </w:tcPr>
          <w:p w:rsidR="005B6428" w:rsidRPr="006600DA" w:rsidRDefault="005B6428" w:rsidP="00BA291D">
            <w:pPr>
              <w:jc w:val="left"/>
              <w:rPr>
                <w:rFonts w:cs="Arial"/>
                <w:sz w:val="22"/>
              </w:rPr>
            </w:pPr>
            <w:r w:rsidRPr="006600DA">
              <w:rPr>
                <w:rFonts w:cs="Arial"/>
                <w:sz w:val="22"/>
              </w:rPr>
              <w:t>Italia</w:t>
            </w:r>
          </w:p>
        </w:tc>
        <w:tc>
          <w:tcPr>
            <w:tcW w:w="1435" w:type="dxa"/>
            <w:tcBorders>
              <w:top w:val="nil"/>
              <w:left w:val="nil"/>
              <w:bottom w:val="nil"/>
              <w:right w:val="single" w:sz="4" w:space="0" w:color="auto"/>
            </w:tcBorders>
            <w:vAlign w:val="bottom"/>
          </w:tcPr>
          <w:p w:rsidR="005B6428" w:rsidRPr="006600DA" w:rsidRDefault="005B6428" w:rsidP="00BA291D">
            <w:pPr>
              <w:jc w:val="center"/>
              <w:rPr>
                <w:rFonts w:cs="Arial"/>
                <w:sz w:val="22"/>
              </w:rPr>
            </w:pPr>
            <w:r w:rsidRPr="006600DA">
              <w:rPr>
                <w:rFonts w:cs="Arial"/>
                <w:sz w:val="22"/>
              </w:rPr>
              <w:t>72.9</w:t>
            </w:r>
          </w:p>
        </w:tc>
        <w:tc>
          <w:tcPr>
            <w:tcW w:w="1435" w:type="dxa"/>
            <w:tcBorders>
              <w:top w:val="nil"/>
              <w:left w:val="single" w:sz="4" w:space="0" w:color="auto"/>
              <w:bottom w:val="nil"/>
              <w:right w:val="single" w:sz="4" w:space="0" w:color="auto"/>
            </w:tcBorders>
            <w:vAlign w:val="bottom"/>
          </w:tcPr>
          <w:p w:rsidR="005B6428" w:rsidRPr="006600DA" w:rsidRDefault="005B6428" w:rsidP="00BA291D">
            <w:pPr>
              <w:jc w:val="center"/>
              <w:rPr>
                <w:rFonts w:cs="Arial"/>
                <w:sz w:val="22"/>
              </w:rPr>
            </w:pPr>
            <w:r w:rsidRPr="006600DA">
              <w:rPr>
                <w:rFonts w:cs="Arial"/>
                <w:sz w:val="22"/>
              </w:rPr>
              <w:t>57.18%</w:t>
            </w:r>
          </w:p>
        </w:tc>
        <w:tc>
          <w:tcPr>
            <w:tcW w:w="1541" w:type="dxa"/>
            <w:tcBorders>
              <w:top w:val="nil"/>
              <w:left w:val="single" w:sz="4" w:space="0" w:color="auto"/>
              <w:bottom w:val="nil"/>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73.3</w:t>
            </w:r>
          </w:p>
        </w:tc>
        <w:tc>
          <w:tcPr>
            <w:tcW w:w="1701" w:type="dxa"/>
            <w:tcBorders>
              <w:top w:val="nil"/>
              <w:left w:val="nil"/>
              <w:bottom w:val="nil"/>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58.45%</w:t>
            </w:r>
          </w:p>
        </w:tc>
      </w:tr>
      <w:tr w:rsidR="005B6428" w:rsidRPr="001A3146" w:rsidTr="00BA291D">
        <w:trPr>
          <w:trHeight w:val="315"/>
        </w:trPr>
        <w:tc>
          <w:tcPr>
            <w:tcW w:w="2251" w:type="dxa"/>
            <w:tcBorders>
              <w:top w:val="nil"/>
              <w:left w:val="single" w:sz="4" w:space="0" w:color="auto"/>
              <w:bottom w:val="nil"/>
              <w:right w:val="single" w:sz="4" w:space="0" w:color="auto"/>
            </w:tcBorders>
            <w:shd w:val="clear" w:color="auto" w:fill="auto"/>
            <w:noWrap/>
            <w:vAlign w:val="bottom"/>
          </w:tcPr>
          <w:p w:rsidR="005B6428" w:rsidRPr="006600DA" w:rsidRDefault="005B6428" w:rsidP="00BA291D">
            <w:pPr>
              <w:jc w:val="left"/>
              <w:rPr>
                <w:rFonts w:cs="Arial"/>
                <w:sz w:val="22"/>
              </w:rPr>
            </w:pPr>
            <w:r w:rsidRPr="006600DA">
              <w:rPr>
                <w:rFonts w:cs="Arial"/>
                <w:sz w:val="22"/>
              </w:rPr>
              <w:t xml:space="preserve">Cayman </w:t>
            </w:r>
            <w:proofErr w:type="spellStart"/>
            <w:r w:rsidRPr="006600DA">
              <w:rPr>
                <w:rFonts w:cs="Arial"/>
                <w:sz w:val="22"/>
              </w:rPr>
              <w:t>Islands</w:t>
            </w:r>
            <w:proofErr w:type="spellEnd"/>
          </w:p>
        </w:tc>
        <w:tc>
          <w:tcPr>
            <w:tcW w:w="1435" w:type="dxa"/>
            <w:tcBorders>
              <w:top w:val="nil"/>
              <w:left w:val="nil"/>
              <w:bottom w:val="nil"/>
              <w:right w:val="single" w:sz="4" w:space="0" w:color="auto"/>
            </w:tcBorders>
            <w:vAlign w:val="bottom"/>
          </w:tcPr>
          <w:p w:rsidR="005B6428" w:rsidRPr="006600DA" w:rsidRDefault="005B6428" w:rsidP="00BA291D">
            <w:pPr>
              <w:jc w:val="center"/>
              <w:rPr>
                <w:rFonts w:cs="Arial"/>
                <w:sz w:val="22"/>
              </w:rPr>
            </w:pPr>
            <w:r w:rsidRPr="006600DA">
              <w:rPr>
                <w:rFonts w:cs="Arial"/>
                <w:sz w:val="22"/>
              </w:rPr>
              <w:t>15.1</w:t>
            </w:r>
          </w:p>
        </w:tc>
        <w:tc>
          <w:tcPr>
            <w:tcW w:w="1435" w:type="dxa"/>
            <w:tcBorders>
              <w:top w:val="nil"/>
              <w:left w:val="single" w:sz="4" w:space="0" w:color="auto"/>
              <w:bottom w:val="nil"/>
              <w:right w:val="single" w:sz="4" w:space="0" w:color="auto"/>
            </w:tcBorders>
            <w:vAlign w:val="bottom"/>
          </w:tcPr>
          <w:p w:rsidR="005B6428" w:rsidRPr="006600DA" w:rsidRDefault="005B6428" w:rsidP="00BA291D">
            <w:pPr>
              <w:jc w:val="center"/>
              <w:rPr>
                <w:rFonts w:cs="Arial"/>
                <w:sz w:val="22"/>
              </w:rPr>
            </w:pPr>
            <w:r w:rsidRPr="006600DA">
              <w:rPr>
                <w:rFonts w:cs="Arial"/>
                <w:sz w:val="22"/>
              </w:rPr>
              <w:t>11.84%</w:t>
            </w:r>
          </w:p>
        </w:tc>
        <w:tc>
          <w:tcPr>
            <w:tcW w:w="1541" w:type="dxa"/>
            <w:tcBorders>
              <w:top w:val="nil"/>
              <w:left w:val="single" w:sz="4" w:space="0" w:color="auto"/>
              <w:bottom w:val="nil"/>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12.6</w:t>
            </w:r>
          </w:p>
        </w:tc>
        <w:tc>
          <w:tcPr>
            <w:tcW w:w="1701" w:type="dxa"/>
            <w:tcBorders>
              <w:top w:val="nil"/>
              <w:left w:val="nil"/>
              <w:bottom w:val="nil"/>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10.05%</w:t>
            </w:r>
          </w:p>
        </w:tc>
      </w:tr>
      <w:tr w:rsidR="005B6428" w:rsidRPr="001A3146" w:rsidTr="00BA291D">
        <w:trPr>
          <w:trHeight w:val="315"/>
        </w:trPr>
        <w:tc>
          <w:tcPr>
            <w:tcW w:w="2251" w:type="dxa"/>
            <w:tcBorders>
              <w:top w:val="nil"/>
              <w:left w:val="single" w:sz="4" w:space="0" w:color="auto"/>
              <w:bottom w:val="single" w:sz="4" w:space="0" w:color="auto"/>
              <w:right w:val="single" w:sz="4" w:space="0" w:color="auto"/>
            </w:tcBorders>
            <w:shd w:val="clear" w:color="auto" w:fill="auto"/>
            <w:noWrap/>
            <w:vAlign w:val="bottom"/>
          </w:tcPr>
          <w:p w:rsidR="005B6428" w:rsidRPr="006600DA" w:rsidRDefault="005B6428" w:rsidP="00BA291D">
            <w:pPr>
              <w:jc w:val="left"/>
              <w:rPr>
                <w:rFonts w:cs="Arial"/>
                <w:sz w:val="22"/>
              </w:rPr>
            </w:pPr>
            <w:r w:rsidRPr="006600DA">
              <w:rPr>
                <w:rFonts w:cs="Arial"/>
                <w:sz w:val="22"/>
              </w:rPr>
              <w:t>Albania</w:t>
            </w:r>
          </w:p>
        </w:tc>
        <w:tc>
          <w:tcPr>
            <w:tcW w:w="1435" w:type="dxa"/>
            <w:tcBorders>
              <w:top w:val="nil"/>
              <w:left w:val="nil"/>
              <w:bottom w:val="single" w:sz="4" w:space="0" w:color="auto"/>
              <w:right w:val="single" w:sz="4" w:space="0" w:color="auto"/>
            </w:tcBorders>
            <w:vAlign w:val="bottom"/>
          </w:tcPr>
          <w:p w:rsidR="005B6428" w:rsidRPr="006600DA" w:rsidRDefault="005B6428" w:rsidP="00BA291D">
            <w:pPr>
              <w:jc w:val="center"/>
              <w:rPr>
                <w:rFonts w:cs="Arial"/>
                <w:sz w:val="22"/>
              </w:rPr>
            </w:pPr>
            <w:r w:rsidRPr="006600DA">
              <w:rPr>
                <w:rFonts w:cs="Arial"/>
                <w:sz w:val="22"/>
              </w:rPr>
              <w:t>10.0</w:t>
            </w:r>
          </w:p>
        </w:tc>
        <w:tc>
          <w:tcPr>
            <w:tcW w:w="1435" w:type="dxa"/>
            <w:tcBorders>
              <w:top w:val="nil"/>
              <w:left w:val="single" w:sz="4" w:space="0" w:color="auto"/>
              <w:bottom w:val="single" w:sz="4" w:space="0" w:color="auto"/>
              <w:right w:val="single" w:sz="4" w:space="0" w:color="auto"/>
            </w:tcBorders>
            <w:vAlign w:val="bottom"/>
          </w:tcPr>
          <w:p w:rsidR="005B6428" w:rsidRPr="006600DA" w:rsidRDefault="005B6428" w:rsidP="00BA291D">
            <w:pPr>
              <w:jc w:val="center"/>
              <w:rPr>
                <w:rFonts w:cs="Arial"/>
                <w:sz w:val="22"/>
              </w:rPr>
            </w:pPr>
            <w:r w:rsidRPr="006600DA">
              <w:rPr>
                <w:rFonts w:cs="Arial"/>
                <w:sz w:val="22"/>
              </w:rPr>
              <w:t>7.84%</w:t>
            </w:r>
          </w:p>
        </w:tc>
        <w:tc>
          <w:tcPr>
            <w:tcW w:w="1541" w:type="dxa"/>
            <w:tcBorders>
              <w:top w:val="nil"/>
              <w:left w:val="single" w:sz="4" w:space="0" w:color="auto"/>
              <w:bottom w:val="single" w:sz="4" w:space="0" w:color="auto"/>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10.00</w:t>
            </w:r>
          </w:p>
        </w:tc>
        <w:tc>
          <w:tcPr>
            <w:tcW w:w="1701" w:type="dxa"/>
            <w:tcBorders>
              <w:top w:val="nil"/>
              <w:left w:val="nil"/>
              <w:bottom w:val="single" w:sz="4" w:space="0" w:color="auto"/>
              <w:right w:val="single" w:sz="4" w:space="0" w:color="auto"/>
            </w:tcBorders>
            <w:shd w:val="clear" w:color="auto" w:fill="D9D9D9"/>
            <w:noWrap/>
            <w:vAlign w:val="bottom"/>
          </w:tcPr>
          <w:p w:rsidR="005B6428" w:rsidRPr="006600DA" w:rsidRDefault="005B6428" w:rsidP="00BA291D">
            <w:pPr>
              <w:jc w:val="center"/>
              <w:rPr>
                <w:rFonts w:cs="Arial"/>
                <w:sz w:val="22"/>
              </w:rPr>
            </w:pPr>
            <w:r w:rsidRPr="006600DA">
              <w:rPr>
                <w:rFonts w:cs="Arial"/>
                <w:sz w:val="22"/>
              </w:rPr>
              <w:t>7.95%</w:t>
            </w:r>
          </w:p>
        </w:tc>
      </w:tr>
      <w:tr w:rsidR="005B6428" w:rsidRPr="001A3146" w:rsidTr="00BA291D">
        <w:trPr>
          <w:trHeight w:val="315"/>
        </w:trPr>
        <w:tc>
          <w:tcPr>
            <w:tcW w:w="2251" w:type="dxa"/>
            <w:tcBorders>
              <w:top w:val="nil"/>
              <w:left w:val="nil"/>
              <w:bottom w:val="nil"/>
              <w:right w:val="single" w:sz="4" w:space="0" w:color="auto"/>
            </w:tcBorders>
            <w:shd w:val="clear" w:color="auto" w:fill="auto"/>
            <w:noWrap/>
            <w:vAlign w:val="bottom"/>
          </w:tcPr>
          <w:p w:rsidR="005B6428" w:rsidRPr="006600DA" w:rsidRDefault="005B6428" w:rsidP="00BA291D">
            <w:pPr>
              <w:jc w:val="left"/>
              <w:rPr>
                <w:rFonts w:cs="Arial"/>
                <w:b/>
                <w:bCs/>
                <w:sz w:val="22"/>
              </w:rPr>
            </w:pPr>
          </w:p>
        </w:tc>
        <w:tc>
          <w:tcPr>
            <w:tcW w:w="1435" w:type="dxa"/>
            <w:tcBorders>
              <w:top w:val="single" w:sz="4" w:space="0" w:color="auto"/>
              <w:left w:val="single" w:sz="4" w:space="0" w:color="auto"/>
              <w:bottom w:val="single" w:sz="4" w:space="0" w:color="auto"/>
              <w:right w:val="single" w:sz="4" w:space="0" w:color="auto"/>
            </w:tcBorders>
            <w:vAlign w:val="bottom"/>
          </w:tcPr>
          <w:p w:rsidR="005B6428" w:rsidRPr="006600DA" w:rsidRDefault="005B6428" w:rsidP="00BA291D">
            <w:pPr>
              <w:jc w:val="center"/>
              <w:rPr>
                <w:rFonts w:cs="Arial"/>
                <w:b/>
                <w:bCs/>
                <w:sz w:val="22"/>
              </w:rPr>
            </w:pPr>
            <w:r w:rsidRPr="006600DA">
              <w:rPr>
                <w:rFonts w:cs="Arial"/>
                <w:b/>
                <w:bCs/>
                <w:sz w:val="22"/>
              </w:rPr>
              <w:t>127.5</w:t>
            </w:r>
          </w:p>
        </w:tc>
        <w:tc>
          <w:tcPr>
            <w:tcW w:w="1435" w:type="dxa"/>
            <w:tcBorders>
              <w:top w:val="single" w:sz="4" w:space="0" w:color="auto"/>
              <w:left w:val="single" w:sz="4" w:space="0" w:color="auto"/>
              <w:right w:val="single" w:sz="4" w:space="0" w:color="auto"/>
            </w:tcBorders>
          </w:tcPr>
          <w:p w:rsidR="005B6428" w:rsidRPr="006600DA" w:rsidRDefault="005B6428" w:rsidP="00BA291D">
            <w:pPr>
              <w:jc w:val="center"/>
              <w:rPr>
                <w:rFonts w:cs="Arial"/>
                <w:b/>
                <w:bCs/>
                <w:sz w:val="22"/>
              </w:rPr>
            </w:pPr>
          </w:p>
        </w:tc>
        <w:tc>
          <w:tcPr>
            <w:tcW w:w="154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B6428" w:rsidRPr="006600DA" w:rsidRDefault="005B6428" w:rsidP="00BA291D">
            <w:pPr>
              <w:jc w:val="center"/>
              <w:rPr>
                <w:rFonts w:cs="Arial"/>
                <w:b/>
                <w:bCs/>
                <w:sz w:val="22"/>
              </w:rPr>
            </w:pPr>
            <w:r w:rsidRPr="006600DA">
              <w:rPr>
                <w:rFonts w:cs="Arial"/>
                <w:b/>
                <w:bCs/>
                <w:sz w:val="22"/>
              </w:rPr>
              <w:t>125.4</w:t>
            </w:r>
          </w:p>
        </w:tc>
        <w:tc>
          <w:tcPr>
            <w:tcW w:w="1701" w:type="dxa"/>
            <w:tcBorders>
              <w:top w:val="nil"/>
              <w:left w:val="single" w:sz="4" w:space="0" w:color="auto"/>
              <w:bottom w:val="nil"/>
              <w:right w:val="nil"/>
            </w:tcBorders>
            <w:shd w:val="clear" w:color="auto" w:fill="auto"/>
            <w:noWrap/>
          </w:tcPr>
          <w:p w:rsidR="005B6428" w:rsidRPr="006600DA" w:rsidRDefault="005B6428" w:rsidP="00BA291D">
            <w:pPr>
              <w:rPr>
                <w:rFonts w:cs="Arial"/>
                <w:b/>
                <w:bCs/>
                <w:sz w:val="22"/>
              </w:rPr>
            </w:pPr>
          </w:p>
        </w:tc>
      </w:tr>
    </w:tbl>
    <w:p w:rsidR="005B6428" w:rsidRPr="001A3146" w:rsidRDefault="005B6428" w:rsidP="005B6428">
      <w:pPr>
        <w:ind w:left="567"/>
        <w:rPr>
          <w:rFonts w:cs="Arial"/>
          <w:szCs w:val="24"/>
        </w:rPr>
      </w:pPr>
    </w:p>
    <w:p w:rsidR="005B6428" w:rsidRPr="001A3146" w:rsidRDefault="005B6428" w:rsidP="005B6428">
      <w:pPr>
        <w:rPr>
          <w:u w:val="single"/>
        </w:rPr>
      </w:pPr>
    </w:p>
    <w:p w:rsidR="005B6428" w:rsidRPr="001A3146" w:rsidRDefault="005B6428" w:rsidP="005B6428">
      <w:pPr>
        <w:rPr>
          <w:u w:val="single"/>
        </w:rPr>
      </w:pPr>
    </w:p>
    <w:p w:rsidR="005B6428" w:rsidRPr="001A3146" w:rsidRDefault="005B6428" w:rsidP="005B6428">
      <w:pPr>
        <w:rPr>
          <w:u w:val="single"/>
        </w:rPr>
      </w:pPr>
    </w:p>
    <w:p w:rsidR="005B6428" w:rsidRPr="001A3146" w:rsidRDefault="005B6428" w:rsidP="005B6428">
      <w:pPr>
        <w:rPr>
          <w:u w:val="single"/>
        </w:rPr>
      </w:pPr>
    </w:p>
    <w:p w:rsidR="005B6428" w:rsidRPr="001A3146" w:rsidRDefault="005B6428" w:rsidP="005B6428">
      <w:pPr>
        <w:rPr>
          <w:u w:val="single"/>
        </w:rPr>
      </w:pPr>
    </w:p>
    <w:p w:rsidR="005B6428" w:rsidRPr="001A3146" w:rsidRDefault="005B6428" w:rsidP="005B6428">
      <w:pPr>
        <w:rPr>
          <w:u w:val="single"/>
        </w:rPr>
      </w:pPr>
    </w:p>
    <w:p w:rsidR="005B6428" w:rsidRPr="001A3146" w:rsidRDefault="005B6428" w:rsidP="005B6428">
      <w:pPr>
        <w:rPr>
          <w:u w:val="single"/>
        </w:rPr>
      </w:pPr>
    </w:p>
    <w:p w:rsidR="005B6428" w:rsidRPr="001A3146" w:rsidRDefault="005B6428" w:rsidP="005B6428">
      <w:pPr>
        <w:rPr>
          <w:u w:val="single"/>
        </w:rPr>
      </w:pPr>
    </w:p>
    <w:p w:rsidR="005B6428" w:rsidRDefault="005B6428" w:rsidP="005B6428">
      <w:pPr>
        <w:rPr>
          <w:u w:val="single"/>
        </w:rPr>
      </w:pPr>
    </w:p>
    <w:p w:rsidR="00D253D3" w:rsidRPr="001A3146" w:rsidRDefault="00D253D3" w:rsidP="005B6428">
      <w:pPr>
        <w:rPr>
          <w:u w:val="single"/>
        </w:rPr>
      </w:pPr>
    </w:p>
    <w:p w:rsidR="005B6428" w:rsidRPr="001A3146" w:rsidRDefault="005B6428" w:rsidP="005B6428">
      <w:pPr>
        <w:rPr>
          <w:u w:val="single"/>
        </w:rPr>
      </w:pPr>
    </w:p>
    <w:p w:rsidR="005B6428" w:rsidRPr="001A3146" w:rsidRDefault="005B6428" w:rsidP="005B6428">
      <w:pPr>
        <w:jc w:val="left"/>
      </w:pPr>
      <w:r w:rsidRPr="001A3146">
        <w:br w:type="page"/>
      </w:r>
    </w:p>
    <w:p w:rsidR="005B6428" w:rsidRPr="001A3146" w:rsidRDefault="005B6428" w:rsidP="005B6428">
      <w:pPr>
        <w:pStyle w:val="Titolo1"/>
        <w:rPr>
          <w:rFonts w:cs="Arial"/>
        </w:rPr>
      </w:pPr>
      <w:bookmarkStart w:id="11" w:name="_Toc471834934"/>
      <w:r w:rsidRPr="001A3146">
        <w:rPr>
          <w:rFonts w:eastAsia="Arial" w:cs="Arial"/>
        </w:rPr>
        <w:lastRenderedPageBreak/>
        <w:t>I Conti 201</w:t>
      </w:r>
      <w:bookmarkEnd w:id="9"/>
      <w:bookmarkEnd w:id="10"/>
      <w:r w:rsidRPr="001A3146">
        <w:rPr>
          <w:rFonts w:eastAsia="Arial" w:cs="Arial"/>
        </w:rPr>
        <w:t>5</w:t>
      </w:r>
      <w:bookmarkEnd w:id="11"/>
    </w:p>
    <w:p w:rsidR="005B6428" w:rsidRPr="001A3146" w:rsidRDefault="005B6428" w:rsidP="005B6428">
      <w:pPr>
        <w:rPr>
          <w:rFonts w:cs="Arial"/>
          <w:szCs w:val="24"/>
        </w:rPr>
      </w:pPr>
      <w:r w:rsidRPr="001A3146">
        <w:rPr>
          <w:rFonts w:cs="Arial"/>
          <w:szCs w:val="24"/>
        </w:rPr>
        <w:t>Malgrado una buona produzione idroelettrica, le avversità dell’attuale situazione di mercato hanno fortemente ridotto gli introiti dalla vendita d’energia, che congiuntamente ad una lieve contrazione della produzione idroelettrica hanno prodotto il preoccupante risultato d’esercizio che fa chiudere ad AET i conti 2015 con una perdita netta di CHF 46 mio, malgrado un utile operativo di CHF 15 mio (in netto calo rispetto ai CHF 23 mio del 2014).</w:t>
      </w:r>
    </w:p>
    <w:p w:rsidR="005B6428" w:rsidRPr="001A3146" w:rsidRDefault="005B6428" w:rsidP="005B6428">
      <w:pPr>
        <w:widowControl w:val="0"/>
        <w:autoSpaceDE w:val="0"/>
        <w:autoSpaceDN w:val="0"/>
        <w:adjustRightInd w:val="0"/>
        <w:rPr>
          <w:rFonts w:cs="Arial"/>
          <w:szCs w:val="24"/>
        </w:rPr>
      </w:pPr>
      <w:r w:rsidRPr="001A3146">
        <w:rPr>
          <w:rFonts w:cs="Arial"/>
          <w:szCs w:val="24"/>
        </w:rPr>
        <w:t xml:space="preserve">Senza l’impatto negativo di EDF e </w:t>
      </w:r>
      <w:proofErr w:type="spellStart"/>
      <w:r w:rsidRPr="001A3146">
        <w:rPr>
          <w:rFonts w:cs="Arial"/>
          <w:szCs w:val="24"/>
        </w:rPr>
        <w:t>Lünen</w:t>
      </w:r>
      <w:proofErr w:type="spellEnd"/>
      <w:r w:rsidRPr="001A3146">
        <w:rPr>
          <w:rFonts w:cs="Arial"/>
          <w:szCs w:val="24"/>
        </w:rPr>
        <w:t xml:space="preserve"> (complessivamente oltre CHF 85 mio), nell’attività “tradizionale” AET avrebbe realizzato un risultato d’esercizio positivo, nonostante le difficili condizioni di mercato, grazie ai contratti di vendita stipulati in passato (con prezzi superiori agli odierni). L’effetto positivo dei citati contratti si è esaurito con l’esercizio 2015: gli attuali prezzi di mercato (ai minimi livelli) incideranno sui futuri risultati d’esercizio nella loro massima ampiezza.</w:t>
      </w:r>
    </w:p>
    <w:p w:rsidR="005B6428" w:rsidRPr="001A3146" w:rsidRDefault="005B6428" w:rsidP="005B6428">
      <w:pPr>
        <w:widowControl w:val="0"/>
        <w:autoSpaceDE w:val="0"/>
        <w:autoSpaceDN w:val="0"/>
        <w:adjustRightInd w:val="0"/>
        <w:jc w:val="left"/>
        <w:rPr>
          <w:rFonts w:cs="Arial"/>
          <w:szCs w:val="24"/>
        </w:rPr>
      </w:pPr>
    </w:p>
    <w:p w:rsidR="005B6428" w:rsidRDefault="005B6428" w:rsidP="005B6428">
      <w:pPr>
        <w:rPr>
          <w:rFonts w:eastAsia="Arial" w:cs="Arial"/>
          <w:szCs w:val="24"/>
        </w:rPr>
      </w:pPr>
      <w:r w:rsidRPr="001A3146">
        <w:rPr>
          <w:rFonts w:eastAsia="Arial" w:cs="Arial"/>
          <w:szCs w:val="24"/>
        </w:rPr>
        <w:t xml:space="preserve">Dal profilo idrologico, prima materia del “core business” di AET, nel 2015 l’azienda ha prodotto un risultato soddisfacente. La produzione idroelettrica del Gruppo AET ha registrato un lieve calo del 4% rispetto all’esercizio dell’anno precedente, attestandosi a 931 </w:t>
      </w:r>
      <w:proofErr w:type="spellStart"/>
      <w:r w:rsidRPr="001A3146">
        <w:rPr>
          <w:rFonts w:eastAsia="Arial" w:cs="Arial"/>
          <w:szCs w:val="24"/>
        </w:rPr>
        <w:t>GWh</w:t>
      </w:r>
      <w:proofErr w:type="spellEnd"/>
      <w:r w:rsidRPr="001A3146">
        <w:rPr>
          <w:rFonts w:eastAsia="Arial" w:cs="Arial"/>
          <w:szCs w:val="24"/>
        </w:rPr>
        <w:t xml:space="preserve">. A questa produzione vanno aggiunti i 57 </w:t>
      </w:r>
      <w:proofErr w:type="spellStart"/>
      <w:r w:rsidRPr="001A3146">
        <w:rPr>
          <w:rFonts w:eastAsia="Arial" w:cs="Arial"/>
          <w:szCs w:val="24"/>
        </w:rPr>
        <w:t>GWh</w:t>
      </w:r>
      <w:proofErr w:type="spellEnd"/>
      <w:r w:rsidRPr="001A3146">
        <w:rPr>
          <w:rFonts w:eastAsia="Arial" w:cs="Arial"/>
          <w:szCs w:val="24"/>
        </w:rPr>
        <w:t xml:space="preserve"> generati dall’impianto della </w:t>
      </w:r>
      <w:proofErr w:type="spellStart"/>
      <w:r w:rsidRPr="001A3146">
        <w:rPr>
          <w:rFonts w:eastAsia="Arial" w:cs="Arial"/>
          <w:szCs w:val="24"/>
        </w:rPr>
        <w:t>Lucendro</w:t>
      </w:r>
      <w:proofErr w:type="spellEnd"/>
      <w:r w:rsidRPr="001A3146">
        <w:rPr>
          <w:rFonts w:eastAsia="Arial" w:cs="Arial"/>
          <w:szCs w:val="24"/>
        </w:rPr>
        <w:t xml:space="preserve"> SA, acquisita da AET a giugno del 2015.</w:t>
      </w:r>
    </w:p>
    <w:p w:rsidR="005B6428" w:rsidRPr="001A3146" w:rsidRDefault="005B6428" w:rsidP="005B6428">
      <w:pPr>
        <w:rPr>
          <w:rFonts w:eastAsia="Arial"/>
        </w:rPr>
      </w:pPr>
    </w:p>
    <w:p w:rsidR="005B6428" w:rsidRDefault="005B6428" w:rsidP="005B6428">
      <w:pPr>
        <w:pStyle w:val="NormaleWeb"/>
        <w:spacing w:before="0" w:beforeAutospacing="0" w:after="0" w:afterAutospacing="0"/>
        <w:jc w:val="both"/>
        <w:rPr>
          <w:rFonts w:ascii="Arial" w:hAnsi="Arial" w:cs="Arial"/>
        </w:rPr>
      </w:pPr>
      <w:r w:rsidRPr="001A3146">
        <w:rPr>
          <w:rFonts w:ascii="Arial" w:hAnsi="Arial" w:cs="Arial"/>
        </w:rPr>
        <w:t xml:space="preserve">Con le compartecipazioni ad altri impianti idroelettrici nel Cantone, i compensi e la produzione di </w:t>
      </w:r>
      <w:proofErr w:type="spellStart"/>
      <w:r w:rsidRPr="001A3146">
        <w:rPr>
          <w:rFonts w:ascii="Arial" w:hAnsi="Arial" w:cs="Arial"/>
        </w:rPr>
        <w:t>Lünen</w:t>
      </w:r>
      <w:proofErr w:type="spellEnd"/>
      <w:r w:rsidRPr="001A3146">
        <w:rPr>
          <w:rFonts w:ascii="Arial" w:hAnsi="Arial" w:cs="Arial"/>
        </w:rPr>
        <w:t xml:space="preserve">, la produzione totale di energia del gruppo è scesa di 571 </w:t>
      </w:r>
      <w:proofErr w:type="spellStart"/>
      <w:r w:rsidRPr="001A3146">
        <w:rPr>
          <w:rFonts w:ascii="Arial" w:hAnsi="Arial" w:cs="Arial"/>
        </w:rPr>
        <w:t>GWh</w:t>
      </w:r>
      <w:proofErr w:type="spellEnd"/>
      <w:r w:rsidRPr="001A3146">
        <w:rPr>
          <w:rFonts w:ascii="Arial" w:hAnsi="Arial" w:cs="Arial"/>
        </w:rPr>
        <w:t xml:space="preserve"> passando dai 3'024 </w:t>
      </w:r>
      <w:proofErr w:type="spellStart"/>
      <w:r w:rsidRPr="001A3146">
        <w:rPr>
          <w:rFonts w:ascii="Arial" w:hAnsi="Arial" w:cs="Arial"/>
        </w:rPr>
        <w:t>GWh</w:t>
      </w:r>
      <w:proofErr w:type="spellEnd"/>
      <w:r w:rsidRPr="001A3146">
        <w:rPr>
          <w:rFonts w:ascii="Arial" w:hAnsi="Arial" w:cs="Arial"/>
        </w:rPr>
        <w:t xml:space="preserve"> del 2014 ai 2’453 </w:t>
      </w:r>
      <w:proofErr w:type="spellStart"/>
      <w:r w:rsidRPr="001A3146">
        <w:rPr>
          <w:rFonts w:ascii="Arial" w:hAnsi="Arial" w:cs="Arial"/>
        </w:rPr>
        <w:t>GWh</w:t>
      </w:r>
      <w:proofErr w:type="spellEnd"/>
      <w:r w:rsidRPr="001A3146">
        <w:rPr>
          <w:rFonts w:ascii="Arial" w:hAnsi="Arial" w:cs="Arial"/>
        </w:rPr>
        <w:t xml:space="preserve"> (2015)</w:t>
      </w:r>
      <w:r w:rsidRPr="001A3146">
        <w:rPr>
          <w:rStyle w:val="Rimandonotaapidipagina"/>
          <w:rFonts w:cs="Arial"/>
        </w:rPr>
        <w:footnoteReference w:id="2"/>
      </w:r>
      <w:r w:rsidRPr="001A3146">
        <w:rPr>
          <w:rFonts w:ascii="Arial" w:hAnsi="Arial" w:cs="Arial"/>
        </w:rPr>
        <w:t xml:space="preserve">; per contro la vendita alle aziende distributrici ha registrato una leggera crescita passando dai 2'085 </w:t>
      </w:r>
      <w:proofErr w:type="spellStart"/>
      <w:r w:rsidRPr="001A3146">
        <w:rPr>
          <w:rFonts w:ascii="Arial" w:hAnsi="Arial" w:cs="Arial"/>
        </w:rPr>
        <w:t>GWh</w:t>
      </w:r>
      <w:proofErr w:type="spellEnd"/>
      <w:r w:rsidRPr="001A3146">
        <w:rPr>
          <w:rFonts w:ascii="Arial" w:hAnsi="Arial" w:cs="Arial"/>
        </w:rPr>
        <w:t xml:space="preserve"> del 2014 ai 2'100 </w:t>
      </w:r>
      <w:proofErr w:type="spellStart"/>
      <w:r w:rsidRPr="001A3146">
        <w:rPr>
          <w:rFonts w:ascii="Arial" w:hAnsi="Arial" w:cs="Arial"/>
        </w:rPr>
        <w:t>GWh</w:t>
      </w:r>
      <w:proofErr w:type="spellEnd"/>
      <w:r w:rsidRPr="001A3146">
        <w:rPr>
          <w:rFonts w:ascii="Arial" w:hAnsi="Arial" w:cs="Arial"/>
        </w:rPr>
        <w:t xml:space="preserve"> del 2015.</w:t>
      </w:r>
    </w:p>
    <w:p w:rsidR="005B6428" w:rsidRPr="001A3146" w:rsidRDefault="005B6428" w:rsidP="005B6428">
      <w:pPr>
        <w:pStyle w:val="NormaleWeb"/>
        <w:spacing w:before="0" w:beforeAutospacing="0" w:after="0" w:afterAutospacing="0"/>
        <w:jc w:val="both"/>
        <w:rPr>
          <w:rFonts w:ascii="Arial" w:hAnsi="Arial" w:cs="Arial"/>
        </w:rPr>
      </w:pPr>
    </w:p>
    <w:p w:rsidR="005B6428" w:rsidRPr="001A3146" w:rsidRDefault="005B6428" w:rsidP="005B6428">
      <w:pPr>
        <w:pStyle w:val="NormaleWeb"/>
        <w:spacing w:before="0" w:beforeAutospacing="0" w:after="0" w:afterAutospacing="0"/>
        <w:jc w:val="both"/>
        <w:rPr>
          <w:rFonts w:ascii="Arial" w:hAnsi="Arial" w:cs="Arial"/>
        </w:rPr>
      </w:pPr>
      <w:r w:rsidRPr="001A3146">
        <w:rPr>
          <w:rFonts w:ascii="Arial" w:hAnsi="Arial" w:cs="Arial"/>
        </w:rPr>
        <w:t xml:space="preserve">Le vendite sul mercato sono cresciute passando dai 11’917 </w:t>
      </w:r>
      <w:proofErr w:type="spellStart"/>
      <w:r w:rsidRPr="001A3146">
        <w:rPr>
          <w:rFonts w:ascii="Arial" w:hAnsi="Arial" w:cs="Arial"/>
        </w:rPr>
        <w:t>GWh</w:t>
      </w:r>
      <w:proofErr w:type="spellEnd"/>
      <w:r w:rsidRPr="001A3146">
        <w:rPr>
          <w:rFonts w:ascii="Arial" w:hAnsi="Arial" w:cs="Arial"/>
        </w:rPr>
        <w:t xml:space="preserve"> (2014) ai 12’805 </w:t>
      </w:r>
      <w:proofErr w:type="spellStart"/>
      <w:r w:rsidRPr="001A3146">
        <w:rPr>
          <w:rFonts w:ascii="Arial" w:hAnsi="Arial" w:cs="Arial"/>
        </w:rPr>
        <w:t>GWh</w:t>
      </w:r>
      <w:proofErr w:type="spellEnd"/>
      <w:r w:rsidRPr="001A3146">
        <w:rPr>
          <w:rFonts w:ascii="Arial" w:hAnsi="Arial" w:cs="Arial"/>
        </w:rPr>
        <w:t xml:space="preserve"> (2015), il che fa ben sperare, ma restano ancora sensibilmente lontane dai risultati del 2011, quando le vendite si attestavano attorno a 13’585 </w:t>
      </w:r>
      <w:proofErr w:type="spellStart"/>
      <w:r w:rsidRPr="001A3146">
        <w:rPr>
          <w:rFonts w:ascii="Arial" w:hAnsi="Arial" w:cs="Arial"/>
        </w:rPr>
        <w:t>GWh</w:t>
      </w:r>
      <w:proofErr w:type="spellEnd"/>
      <w:r w:rsidRPr="001A3146">
        <w:rPr>
          <w:rFonts w:ascii="Arial" w:hAnsi="Arial" w:cs="Arial"/>
        </w:rPr>
        <w:t>. Questa</w:t>
      </w:r>
      <w:r>
        <w:rPr>
          <w:rFonts w:ascii="Arial" w:hAnsi="Arial" w:cs="Arial"/>
        </w:rPr>
        <w:t xml:space="preserve"> s</w:t>
      </w:r>
      <w:r w:rsidRPr="001A3146">
        <w:rPr>
          <w:rFonts w:ascii="Arial" w:hAnsi="Arial" w:cs="Arial"/>
        </w:rPr>
        <w:t xml:space="preserve">ituazione </w:t>
      </w:r>
      <w:r>
        <w:rPr>
          <w:rFonts w:ascii="Arial" w:hAnsi="Arial" w:cs="Arial"/>
        </w:rPr>
        <w:t xml:space="preserve">è </w:t>
      </w:r>
      <w:r w:rsidRPr="001A3146">
        <w:rPr>
          <w:rFonts w:ascii="Arial" w:hAnsi="Arial" w:cs="Arial"/>
        </w:rPr>
        <w:t>dovuta alle condizioni del mercato europeo e alla forte produzione delle nuove energie rinnovabili in Italia e Germania.</w:t>
      </w:r>
    </w:p>
    <w:p w:rsidR="005B6428" w:rsidRDefault="005B6428" w:rsidP="005B6428">
      <w:pPr>
        <w:pStyle w:val="NormaleWeb"/>
        <w:jc w:val="both"/>
        <w:rPr>
          <w:rFonts w:cs="Arial"/>
        </w:rPr>
      </w:pPr>
      <w:r w:rsidRPr="001A3146">
        <w:rPr>
          <w:rFonts w:ascii="Arial" w:hAnsi="Arial" w:cs="Arial"/>
          <w:noProof/>
          <w:lang w:val="it-CH" w:eastAsia="it-CH"/>
        </w:rPr>
        <w:drawing>
          <wp:inline distT="0" distB="0" distL="0" distR="0" wp14:anchorId="512D67DD" wp14:editId="55F67B7A">
            <wp:extent cx="4841827" cy="2796810"/>
            <wp:effectExtent l="0" t="0" r="10160" b="0"/>
            <wp:docPr id="2" name="Immagine 2" descr="Schermata%202016-1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202016-11-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16" cy="2875708"/>
                    </a:xfrm>
                    <a:prstGeom prst="rect">
                      <a:avLst/>
                    </a:prstGeom>
                    <a:noFill/>
                    <a:ln>
                      <a:noFill/>
                    </a:ln>
                  </pic:spPr>
                </pic:pic>
              </a:graphicData>
            </a:graphic>
          </wp:inline>
        </w:drawing>
      </w:r>
      <w:r>
        <w:rPr>
          <w:rFonts w:cs="Arial"/>
        </w:rPr>
        <w:br w:type="page"/>
      </w:r>
    </w:p>
    <w:p w:rsidR="005B6428" w:rsidRPr="001A3146" w:rsidRDefault="005B6428" w:rsidP="005B6428">
      <w:pPr>
        <w:rPr>
          <w:rFonts w:cs="Arial"/>
          <w:szCs w:val="24"/>
        </w:rPr>
      </w:pPr>
      <w:r w:rsidRPr="001A3146">
        <w:rPr>
          <w:rFonts w:cs="Arial"/>
          <w:szCs w:val="24"/>
        </w:rPr>
        <w:lastRenderedPageBreak/>
        <w:t>Nei ricavi d'esercizio, segnaliamo che l’incasso dalla vendita di energia è stato di CHF 777'870'000. Confront</w:t>
      </w:r>
      <w:r>
        <w:rPr>
          <w:rFonts w:cs="Arial"/>
          <w:szCs w:val="24"/>
        </w:rPr>
        <w:t>ato</w:t>
      </w:r>
      <w:r w:rsidRPr="001A3146">
        <w:rPr>
          <w:rFonts w:cs="Arial"/>
          <w:szCs w:val="24"/>
        </w:rPr>
        <w:t xml:space="preserve"> all’incasso registrato nel 2014 di 912'272'000</w:t>
      </w:r>
      <w:r>
        <w:rPr>
          <w:rFonts w:cs="Arial"/>
          <w:szCs w:val="24"/>
        </w:rPr>
        <w:t>,</w:t>
      </w:r>
      <w:r w:rsidRPr="001A3146">
        <w:rPr>
          <w:rFonts w:cs="Arial"/>
          <w:szCs w:val="24"/>
        </w:rPr>
        <w:t xml:space="preserve"> si registra pertanto un notevole mancato introito di CHF 134'402'000.</w:t>
      </w:r>
    </w:p>
    <w:p w:rsidR="005B6428" w:rsidRPr="001A3146" w:rsidRDefault="005B6428" w:rsidP="005B6428"/>
    <w:p w:rsidR="005B6428" w:rsidRPr="001A3146" w:rsidRDefault="005B6428" w:rsidP="005B6428">
      <w:pPr>
        <w:rPr>
          <w:rFonts w:cs="Arial"/>
          <w:szCs w:val="24"/>
        </w:rPr>
      </w:pPr>
      <w:r w:rsidRPr="001A3146">
        <w:rPr>
          <w:rFonts w:cs="Arial"/>
          <w:szCs w:val="24"/>
        </w:rPr>
        <w:t xml:space="preserve">Il saldo tra ricavi e costi per utilizzo rete è stato di CHF 26'295'000. </w:t>
      </w:r>
    </w:p>
    <w:p w:rsidR="005B6428" w:rsidRPr="001A3146" w:rsidRDefault="005B6428" w:rsidP="005B6428"/>
    <w:p w:rsidR="005B6428" w:rsidRPr="001A3146" w:rsidRDefault="005B6428" w:rsidP="005B6428">
      <w:pPr>
        <w:rPr>
          <w:rFonts w:cs="Arial"/>
          <w:szCs w:val="24"/>
        </w:rPr>
      </w:pPr>
      <w:r w:rsidRPr="001A3146">
        <w:rPr>
          <w:rFonts w:cs="Arial"/>
          <w:szCs w:val="24"/>
        </w:rPr>
        <w:t>I conti AET 2015 di gruppo chiudono con una forte perdita d’esercizio consolidata di 44 milioni di franchi contro i 13 mio di utile del 2014.</w:t>
      </w:r>
    </w:p>
    <w:p w:rsidR="005B6428" w:rsidRPr="001A3146" w:rsidRDefault="005B6428" w:rsidP="005B6428"/>
    <w:p w:rsidR="005B6428" w:rsidRPr="001A3146" w:rsidRDefault="005B6428" w:rsidP="005B6428">
      <w:pPr>
        <w:rPr>
          <w:rFonts w:cs="Arial"/>
          <w:szCs w:val="24"/>
        </w:rPr>
      </w:pPr>
      <w:r w:rsidRPr="001A3146">
        <w:rPr>
          <w:rFonts w:cs="Arial"/>
          <w:szCs w:val="24"/>
        </w:rPr>
        <w:t>Segnaliamo inoltre che per questo esercizio AET sarà in grado di riversare allo Stato unicamente gli interessi sul capitale in dotazione di 3.2 milioni di franchi.</w:t>
      </w:r>
    </w:p>
    <w:p w:rsidR="005B6428" w:rsidRPr="001A3146" w:rsidRDefault="005B6428" w:rsidP="005B6428">
      <w:pPr>
        <w:rPr>
          <w:rFonts w:cs="Arial"/>
          <w:szCs w:val="24"/>
        </w:rPr>
      </w:pPr>
      <w:r w:rsidRPr="001A3146">
        <w:rPr>
          <w:rFonts w:cs="Arial"/>
          <w:szCs w:val="24"/>
        </w:rPr>
        <w:t>Per questo esercizio non verrà versato il dividendo allo Stato, ricordando che già per la passata gestione il versamento era stato corrisposto grazie al prelievo dalle riserve per un importo di CHF 5.0 mio.</w:t>
      </w:r>
    </w:p>
    <w:p w:rsidR="005B6428" w:rsidRPr="001A3146" w:rsidRDefault="005B6428" w:rsidP="005B6428"/>
    <w:p w:rsidR="005B6428" w:rsidRPr="001A3146" w:rsidRDefault="005B6428" w:rsidP="005B6428">
      <w:pPr>
        <w:rPr>
          <w:rFonts w:cs="Arial"/>
          <w:szCs w:val="24"/>
        </w:rPr>
      </w:pPr>
      <w:r w:rsidRPr="001A3146">
        <w:rPr>
          <w:rFonts w:cs="Arial"/>
          <w:szCs w:val="24"/>
        </w:rPr>
        <w:t xml:space="preserve">Ribadiamo quanto affermato anche nel precedente rapporto di gestione: per i prossimi anni bisognerà prevedere che AET continuerà a generare perdite. Al </w:t>
      </w:r>
      <w:proofErr w:type="spellStart"/>
      <w:r w:rsidRPr="001A3146">
        <w:rPr>
          <w:rFonts w:cs="Arial"/>
          <w:szCs w:val="24"/>
        </w:rPr>
        <w:t>CdA</w:t>
      </w:r>
      <w:proofErr w:type="spellEnd"/>
      <w:r w:rsidRPr="001A3146">
        <w:rPr>
          <w:rFonts w:cs="Arial"/>
          <w:szCs w:val="24"/>
        </w:rPr>
        <w:t xml:space="preserve"> competeranno le dovute riflessioni con un’approfondita analisi sulle uscite, cercando tuttavia di garantire il mantenimento delle strutture e dei posti di lavoro. AET si sta già adoperando in tal senso, </w:t>
      </w:r>
      <w:r w:rsidRPr="000444AC">
        <w:rPr>
          <w:rFonts w:cs="Arial"/>
          <w:szCs w:val="24"/>
        </w:rPr>
        <w:t>ad esempio con la decisione dei “tagli” alle sponsorizzazioni, ma soprattutto confermando il risultato operativo positivo. L’azienda si mantiene quindi sana, nonostante le avversità del mercato nel quale si trova ad operare.</w:t>
      </w:r>
    </w:p>
    <w:p w:rsidR="005B6428" w:rsidRDefault="005B6428" w:rsidP="005B6428"/>
    <w:p w:rsidR="006600DA" w:rsidRPr="001A3146" w:rsidRDefault="006600DA" w:rsidP="005B6428"/>
    <w:p w:rsidR="005B6428" w:rsidRPr="001A3146" w:rsidRDefault="005B6428" w:rsidP="005B6428"/>
    <w:p w:rsidR="005B6428" w:rsidRPr="001A3146" w:rsidRDefault="005B6428" w:rsidP="005B6428">
      <w:pPr>
        <w:pStyle w:val="Titolo1"/>
        <w:rPr>
          <w:rFonts w:cs="Arial"/>
        </w:rPr>
      </w:pPr>
      <w:bookmarkStart w:id="12" w:name="_Toc471834935"/>
      <w:r w:rsidRPr="001A3146">
        <w:rPr>
          <w:rFonts w:cs="Arial"/>
        </w:rPr>
        <w:t>CIFRE DEL RENDICONTO 2015</w:t>
      </w:r>
      <w:bookmarkEnd w:id="12"/>
    </w:p>
    <w:p w:rsidR="005B6428" w:rsidRPr="001A3146" w:rsidRDefault="005B6428" w:rsidP="005B6428">
      <w:pPr>
        <w:rPr>
          <w:rFonts w:cs="Arial"/>
          <w:szCs w:val="24"/>
        </w:rPr>
      </w:pPr>
      <w:r w:rsidRPr="001A3146">
        <w:rPr>
          <w:rFonts w:cs="Arial"/>
          <w:szCs w:val="24"/>
        </w:rPr>
        <w:t>Il risultato d’esercizio per il 2015 ammonta a CHF -45'635’000; su base consolidata il risultato al 31.12.2015 ammonta a CHF - 43.6 mio.</w:t>
      </w:r>
    </w:p>
    <w:p w:rsidR="005B6428" w:rsidRPr="001A3146" w:rsidRDefault="005B6428" w:rsidP="005B6428"/>
    <w:p w:rsidR="005B6428" w:rsidRPr="00D253D3" w:rsidRDefault="005B6428" w:rsidP="005B6428">
      <w:pPr>
        <w:tabs>
          <w:tab w:val="right" w:pos="5529"/>
          <w:tab w:val="right" w:pos="7655"/>
        </w:tabs>
        <w:rPr>
          <w:rFonts w:cs="Arial"/>
          <w:b/>
          <w:sz w:val="22"/>
          <w:u w:val="single"/>
        </w:rPr>
      </w:pPr>
      <w:r w:rsidRPr="00D253D3">
        <w:rPr>
          <w:rFonts w:cs="Arial"/>
          <w:b/>
          <w:sz w:val="22"/>
          <w:u w:val="single"/>
        </w:rPr>
        <w:t>Bilancio</w:t>
      </w:r>
      <w:r w:rsidRPr="00D253D3">
        <w:rPr>
          <w:rFonts w:cs="Arial"/>
          <w:b/>
          <w:sz w:val="22"/>
        </w:rPr>
        <w:tab/>
      </w:r>
      <w:r w:rsidRPr="00D253D3">
        <w:rPr>
          <w:rFonts w:cs="Arial"/>
          <w:b/>
          <w:sz w:val="22"/>
          <w:u w:val="single"/>
        </w:rPr>
        <w:t>31.12.2014</w:t>
      </w:r>
      <w:r w:rsidRPr="00D253D3">
        <w:rPr>
          <w:rFonts w:cs="Arial"/>
          <w:b/>
          <w:sz w:val="22"/>
        </w:rPr>
        <w:tab/>
      </w:r>
      <w:r w:rsidRPr="00D253D3">
        <w:rPr>
          <w:rFonts w:cs="Arial"/>
          <w:b/>
          <w:sz w:val="22"/>
          <w:u w:val="single"/>
        </w:rPr>
        <w:t>31.12.2015</w:t>
      </w:r>
    </w:p>
    <w:p w:rsidR="005B6428" w:rsidRPr="001A3146" w:rsidRDefault="005B6428" w:rsidP="005B6428">
      <w:pPr>
        <w:tabs>
          <w:tab w:val="right" w:pos="5529"/>
          <w:tab w:val="right" w:pos="7655"/>
        </w:tabs>
        <w:rPr>
          <w:rFonts w:cs="Arial"/>
          <w:i/>
          <w:sz w:val="16"/>
          <w:szCs w:val="24"/>
        </w:rPr>
      </w:pPr>
      <w:r w:rsidRPr="001A3146">
        <w:rPr>
          <w:rFonts w:cs="Arial"/>
          <w:i/>
          <w:sz w:val="16"/>
          <w:szCs w:val="24"/>
        </w:rPr>
        <w:t>in CHF 1’000</w:t>
      </w:r>
    </w:p>
    <w:p w:rsidR="005B6428" w:rsidRPr="001A3146" w:rsidRDefault="005B6428" w:rsidP="005B6428">
      <w:pPr>
        <w:tabs>
          <w:tab w:val="left" w:pos="3969"/>
          <w:tab w:val="right" w:pos="5245"/>
        </w:tabs>
        <w:rPr>
          <w:rFonts w:cs="Arial"/>
          <w:sz w:val="16"/>
          <w:szCs w:val="16"/>
        </w:rPr>
      </w:pPr>
    </w:p>
    <w:p w:rsidR="005B6428" w:rsidRPr="00D253D3" w:rsidRDefault="005B6428" w:rsidP="005B6428">
      <w:pPr>
        <w:tabs>
          <w:tab w:val="right" w:pos="5529"/>
          <w:tab w:val="right" w:pos="7655"/>
        </w:tabs>
        <w:spacing w:after="60"/>
        <w:rPr>
          <w:rFonts w:cs="Arial"/>
          <w:sz w:val="22"/>
        </w:rPr>
      </w:pPr>
      <w:r w:rsidRPr="00D253D3">
        <w:rPr>
          <w:rFonts w:cs="Arial"/>
          <w:sz w:val="22"/>
        </w:rPr>
        <w:t>SOSTANZA FISSA MATERIALE</w:t>
      </w:r>
      <w:r w:rsidRPr="00D253D3">
        <w:rPr>
          <w:rFonts w:cs="Arial"/>
          <w:sz w:val="22"/>
        </w:rPr>
        <w:tab/>
        <w:t>284’753</w:t>
      </w:r>
      <w:r w:rsidRPr="00D253D3">
        <w:rPr>
          <w:rFonts w:cs="Arial"/>
          <w:sz w:val="22"/>
        </w:rPr>
        <w:tab/>
        <w:t>281’472</w:t>
      </w:r>
    </w:p>
    <w:p w:rsidR="005B6428" w:rsidRPr="00D253D3" w:rsidRDefault="005B6428" w:rsidP="005B6428">
      <w:pPr>
        <w:tabs>
          <w:tab w:val="right" w:pos="5529"/>
          <w:tab w:val="right" w:pos="7655"/>
        </w:tabs>
        <w:spacing w:after="60"/>
        <w:rPr>
          <w:rFonts w:cs="Arial"/>
          <w:sz w:val="22"/>
        </w:rPr>
      </w:pPr>
      <w:r w:rsidRPr="00D253D3">
        <w:rPr>
          <w:rFonts w:cs="Arial"/>
          <w:sz w:val="22"/>
        </w:rPr>
        <w:t>SOSTANZA FISSA FINANZIARIA</w:t>
      </w:r>
      <w:r w:rsidRPr="00D253D3">
        <w:rPr>
          <w:rFonts w:cs="Arial"/>
          <w:sz w:val="22"/>
        </w:rPr>
        <w:tab/>
        <w:t>180’473</w:t>
      </w:r>
      <w:r w:rsidRPr="00D253D3">
        <w:rPr>
          <w:rFonts w:cs="Arial"/>
          <w:sz w:val="22"/>
        </w:rPr>
        <w:tab/>
        <w:t>191’992</w:t>
      </w:r>
    </w:p>
    <w:p w:rsidR="005B6428" w:rsidRPr="00D253D3" w:rsidRDefault="005B6428" w:rsidP="005B6428">
      <w:pPr>
        <w:tabs>
          <w:tab w:val="right" w:pos="5529"/>
          <w:tab w:val="right" w:pos="7655"/>
        </w:tabs>
        <w:spacing w:after="60"/>
        <w:rPr>
          <w:rFonts w:cs="Arial"/>
          <w:sz w:val="22"/>
        </w:rPr>
      </w:pPr>
      <w:r w:rsidRPr="00D253D3">
        <w:rPr>
          <w:rFonts w:cs="Arial"/>
          <w:sz w:val="22"/>
        </w:rPr>
        <w:t>SOSTANTA FISSA IMMATERIALE</w:t>
      </w:r>
      <w:r w:rsidRPr="00D253D3">
        <w:rPr>
          <w:rFonts w:cs="Arial"/>
          <w:sz w:val="22"/>
        </w:rPr>
        <w:tab/>
        <w:t>22’055</w:t>
      </w:r>
      <w:r w:rsidRPr="00D253D3">
        <w:rPr>
          <w:rFonts w:cs="Arial"/>
          <w:sz w:val="22"/>
        </w:rPr>
        <w:tab/>
        <w:t xml:space="preserve"> 79’528</w:t>
      </w:r>
    </w:p>
    <w:p w:rsidR="005B6428" w:rsidRPr="00D253D3" w:rsidRDefault="005B6428" w:rsidP="005B6428">
      <w:pPr>
        <w:tabs>
          <w:tab w:val="right" w:pos="5529"/>
          <w:tab w:val="right" w:pos="7655"/>
        </w:tabs>
        <w:rPr>
          <w:rFonts w:cs="Arial"/>
          <w:sz w:val="22"/>
        </w:rPr>
      </w:pPr>
      <w:r w:rsidRPr="00D253D3">
        <w:rPr>
          <w:rFonts w:cs="Arial"/>
          <w:sz w:val="22"/>
        </w:rPr>
        <w:t>SOSTANZA CIRCOLANTE</w:t>
      </w:r>
      <w:r w:rsidRPr="00D253D3">
        <w:rPr>
          <w:rFonts w:cs="Arial"/>
          <w:sz w:val="22"/>
        </w:rPr>
        <w:tab/>
        <w:t>263’586</w:t>
      </w:r>
      <w:r w:rsidRPr="00D253D3">
        <w:rPr>
          <w:rFonts w:cs="Arial"/>
          <w:sz w:val="22"/>
        </w:rPr>
        <w:tab/>
        <w:t>322’649</w:t>
      </w:r>
    </w:p>
    <w:p w:rsidR="005B6428" w:rsidRPr="001A3146" w:rsidRDefault="005B6428" w:rsidP="005B6428">
      <w:pPr>
        <w:tabs>
          <w:tab w:val="left" w:pos="3969"/>
          <w:tab w:val="right" w:pos="5245"/>
        </w:tabs>
        <w:rPr>
          <w:rFonts w:cs="Arial"/>
          <w:sz w:val="12"/>
          <w:szCs w:val="12"/>
        </w:rPr>
      </w:pPr>
    </w:p>
    <w:p w:rsidR="005B6428" w:rsidRPr="00D253D3" w:rsidRDefault="005B6428" w:rsidP="005B6428">
      <w:pPr>
        <w:tabs>
          <w:tab w:val="right" w:pos="5529"/>
          <w:tab w:val="right" w:pos="7655"/>
        </w:tabs>
        <w:rPr>
          <w:rFonts w:cs="Arial"/>
          <w:b/>
          <w:sz w:val="22"/>
        </w:rPr>
      </w:pPr>
      <w:r w:rsidRPr="00D253D3">
        <w:rPr>
          <w:rFonts w:cs="Arial"/>
          <w:b/>
          <w:sz w:val="22"/>
        </w:rPr>
        <w:t>Totale</w:t>
      </w:r>
      <w:r w:rsidRPr="00D253D3">
        <w:rPr>
          <w:rFonts w:cs="Arial"/>
          <w:b/>
          <w:sz w:val="22"/>
        </w:rPr>
        <w:tab/>
        <w:t>750’867</w:t>
      </w:r>
      <w:r w:rsidRPr="00D253D3">
        <w:rPr>
          <w:rFonts w:cs="Arial"/>
          <w:b/>
          <w:sz w:val="22"/>
        </w:rPr>
        <w:tab/>
        <w:t>875’641</w:t>
      </w:r>
    </w:p>
    <w:p w:rsidR="005B6428" w:rsidRPr="001A3146" w:rsidRDefault="005B6428" w:rsidP="005B6428">
      <w:pPr>
        <w:tabs>
          <w:tab w:val="left" w:pos="3969"/>
          <w:tab w:val="right" w:pos="5245"/>
        </w:tabs>
        <w:rPr>
          <w:rFonts w:cs="Arial"/>
          <w:sz w:val="12"/>
          <w:szCs w:val="12"/>
        </w:rPr>
      </w:pPr>
    </w:p>
    <w:p w:rsidR="005B6428" w:rsidRPr="00D253D3" w:rsidRDefault="005B6428" w:rsidP="005B6428">
      <w:pPr>
        <w:tabs>
          <w:tab w:val="right" w:pos="5529"/>
          <w:tab w:val="right" w:pos="7655"/>
        </w:tabs>
        <w:spacing w:after="60"/>
        <w:rPr>
          <w:rFonts w:cs="Arial"/>
          <w:sz w:val="22"/>
        </w:rPr>
      </w:pPr>
      <w:r w:rsidRPr="00D253D3">
        <w:rPr>
          <w:rFonts w:cs="Arial"/>
          <w:sz w:val="22"/>
        </w:rPr>
        <w:t>CAPITALE PROPRIO</w:t>
      </w:r>
      <w:r w:rsidRPr="00D253D3">
        <w:rPr>
          <w:rFonts w:cs="Arial"/>
          <w:sz w:val="22"/>
        </w:rPr>
        <w:tab/>
        <w:t>342’514</w:t>
      </w:r>
      <w:r w:rsidRPr="00D253D3">
        <w:rPr>
          <w:rFonts w:cs="Arial"/>
          <w:sz w:val="22"/>
        </w:rPr>
        <w:tab/>
        <w:t>396’349</w:t>
      </w:r>
    </w:p>
    <w:p w:rsidR="005B6428" w:rsidRPr="00D253D3" w:rsidRDefault="005B6428" w:rsidP="005B6428">
      <w:pPr>
        <w:tabs>
          <w:tab w:val="right" w:pos="5529"/>
          <w:tab w:val="right" w:pos="7655"/>
        </w:tabs>
        <w:rPr>
          <w:rFonts w:cs="Arial"/>
          <w:sz w:val="22"/>
        </w:rPr>
      </w:pPr>
      <w:r w:rsidRPr="00D253D3">
        <w:rPr>
          <w:rFonts w:cs="Arial"/>
          <w:sz w:val="22"/>
        </w:rPr>
        <w:t>TOT. CAPITALE DI TERZI</w:t>
      </w:r>
      <w:r w:rsidRPr="00D253D3">
        <w:rPr>
          <w:rFonts w:cs="Arial"/>
          <w:sz w:val="22"/>
        </w:rPr>
        <w:tab/>
        <w:t>408’353</w:t>
      </w:r>
      <w:r w:rsidRPr="00D253D3">
        <w:rPr>
          <w:rFonts w:cs="Arial"/>
          <w:sz w:val="22"/>
        </w:rPr>
        <w:tab/>
        <w:t>479’292</w:t>
      </w:r>
    </w:p>
    <w:p w:rsidR="005B6428" w:rsidRPr="001A3146" w:rsidRDefault="005B6428" w:rsidP="005B6428">
      <w:pPr>
        <w:tabs>
          <w:tab w:val="right" w:pos="5529"/>
          <w:tab w:val="right" w:pos="7655"/>
        </w:tabs>
        <w:rPr>
          <w:rFonts w:cs="Arial"/>
          <w:sz w:val="12"/>
          <w:szCs w:val="12"/>
        </w:rPr>
      </w:pPr>
    </w:p>
    <w:p w:rsidR="005B6428" w:rsidRPr="00D253D3" w:rsidRDefault="005B6428" w:rsidP="005B6428">
      <w:pPr>
        <w:tabs>
          <w:tab w:val="right" w:pos="5529"/>
          <w:tab w:val="right" w:pos="7655"/>
        </w:tabs>
        <w:rPr>
          <w:rFonts w:cs="Arial"/>
          <w:b/>
          <w:sz w:val="22"/>
        </w:rPr>
      </w:pPr>
      <w:r w:rsidRPr="00D253D3">
        <w:rPr>
          <w:rFonts w:cs="Arial"/>
          <w:b/>
          <w:sz w:val="22"/>
        </w:rPr>
        <w:t>Totale</w:t>
      </w:r>
      <w:r w:rsidRPr="00D253D3">
        <w:rPr>
          <w:rFonts w:cs="Arial"/>
          <w:b/>
          <w:sz w:val="22"/>
        </w:rPr>
        <w:tab/>
        <w:t>750’867</w:t>
      </w:r>
      <w:r w:rsidRPr="00D253D3">
        <w:rPr>
          <w:rFonts w:cs="Arial"/>
          <w:b/>
          <w:sz w:val="22"/>
        </w:rPr>
        <w:tab/>
        <w:t>875’641</w:t>
      </w:r>
    </w:p>
    <w:p w:rsidR="002E3D8B" w:rsidRDefault="002E3D8B" w:rsidP="005B6428">
      <w:pPr>
        <w:jc w:val="left"/>
        <w:rPr>
          <w:rFonts w:cs="Arial"/>
          <w:szCs w:val="24"/>
        </w:rPr>
      </w:pPr>
    </w:p>
    <w:p w:rsidR="00D253D3" w:rsidRDefault="00D253D3" w:rsidP="005B6428">
      <w:pPr>
        <w:jc w:val="left"/>
        <w:rPr>
          <w:rFonts w:cs="Arial"/>
          <w:szCs w:val="24"/>
        </w:rPr>
      </w:pPr>
    </w:p>
    <w:p w:rsidR="005B6428" w:rsidRPr="001A3146" w:rsidRDefault="005B6428" w:rsidP="005B6428">
      <w:pPr>
        <w:jc w:val="left"/>
      </w:pPr>
      <w:r w:rsidRPr="001A3146">
        <w:rPr>
          <w:rFonts w:cs="Arial"/>
          <w:szCs w:val="24"/>
        </w:rPr>
        <w:br w:type="page"/>
      </w:r>
    </w:p>
    <w:p w:rsidR="005B6428" w:rsidRPr="001A3146" w:rsidRDefault="005B6428" w:rsidP="005B6428">
      <w:pPr>
        <w:pStyle w:val="Titolo1"/>
        <w:rPr>
          <w:rFonts w:cs="Arial"/>
        </w:rPr>
      </w:pPr>
      <w:bookmarkStart w:id="13" w:name="_Toc390264056"/>
      <w:bookmarkStart w:id="14" w:name="_Toc353800482"/>
      <w:bookmarkStart w:id="15" w:name="_Toc471834936"/>
      <w:r w:rsidRPr="001A3146">
        <w:rPr>
          <w:rFonts w:cs="Arial"/>
        </w:rPr>
        <w:lastRenderedPageBreak/>
        <w:t xml:space="preserve">SVILUPPI </w:t>
      </w:r>
      <w:bookmarkEnd w:id="13"/>
      <w:bookmarkEnd w:id="14"/>
      <w:r w:rsidRPr="001A3146">
        <w:rPr>
          <w:rFonts w:cs="Arial"/>
        </w:rPr>
        <w:t>FUTURI</w:t>
      </w:r>
      <w:bookmarkEnd w:id="15"/>
    </w:p>
    <w:p w:rsidR="005B6428" w:rsidRPr="001A3146" w:rsidRDefault="005B6428" w:rsidP="005B6428">
      <w:pPr>
        <w:rPr>
          <w:rFonts w:cs="Arial"/>
        </w:rPr>
      </w:pPr>
      <w:r w:rsidRPr="001A3146">
        <w:rPr>
          <w:rFonts w:cs="Arial"/>
        </w:rPr>
        <w:t>L’obbiettivo comune e prioritario, malgrado il mercato sfavorevole, il quadro giuridico incerto ed i risultati tendenzialmente negativi di AET per i prossimi anni, dovrà essere quello di salvaguardare la produzione idroelettrica cantonale. Attuare tutte le misure di ottimizzazione necessarie, concentrando le risorse sull’attività centrale: l’idroelettrico.</w:t>
      </w:r>
    </w:p>
    <w:p w:rsidR="005B6428" w:rsidRPr="001A3146" w:rsidRDefault="005B6428" w:rsidP="005B6428">
      <w:pPr>
        <w:widowControl w:val="0"/>
        <w:autoSpaceDE w:val="0"/>
        <w:autoSpaceDN w:val="0"/>
        <w:adjustRightInd w:val="0"/>
        <w:rPr>
          <w:rFonts w:cs="Arial"/>
        </w:rPr>
      </w:pPr>
    </w:p>
    <w:p w:rsidR="005B6428" w:rsidRPr="001A3146" w:rsidRDefault="005B6428" w:rsidP="005B6428">
      <w:pPr>
        <w:widowControl w:val="0"/>
        <w:autoSpaceDE w:val="0"/>
        <w:autoSpaceDN w:val="0"/>
        <w:adjustRightInd w:val="0"/>
        <w:rPr>
          <w:rFonts w:cs="Arial"/>
        </w:rPr>
      </w:pPr>
      <w:r w:rsidRPr="001A3146">
        <w:rPr>
          <w:rFonts w:cs="Arial"/>
        </w:rPr>
        <w:t>AET sarà chiamata a far fronte a sacrifici e scelte difficili, con lo scopo di preservare e valorizzare il patrimonio delle risorse idriche cantonali e con esse l’importante indotto che creano, preservando i posti di lavoro con competenze altamente professionali e di grande valore aggiunto.</w:t>
      </w:r>
    </w:p>
    <w:p w:rsidR="005B6428" w:rsidRPr="001A3146" w:rsidRDefault="005B6428" w:rsidP="005B6428">
      <w:pPr>
        <w:widowControl w:val="0"/>
        <w:autoSpaceDE w:val="0"/>
        <w:autoSpaceDN w:val="0"/>
        <w:adjustRightInd w:val="0"/>
        <w:rPr>
          <w:rFonts w:cs="Arial"/>
        </w:rPr>
      </w:pPr>
    </w:p>
    <w:p w:rsidR="005B6428" w:rsidRPr="001A3146" w:rsidRDefault="005B6428" w:rsidP="005B6428">
      <w:pPr>
        <w:widowControl w:val="0"/>
        <w:autoSpaceDE w:val="0"/>
        <w:autoSpaceDN w:val="0"/>
        <w:adjustRightInd w:val="0"/>
        <w:rPr>
          <w:rFonts w:cs="Arial"/>
        </w:rPr>
      </w:pPr>
      <w:r w:rsidRPr="001A3146">
        <w:rPr>
          <w:rFonts w:cs="Arial"/>
        </w:rPr>
        <w:t xml:space="preserve">Sulle misure di risparmio, riguardanti il tema sponsorizzazioni, ci eravamo già espressi nel rapporto del passato esercizio, coscienti purtroppo della necessità di ridurre sensibilmente questa posta, invitando comunque l’azienda a rivedere la politica di marketing nell’ottica degli interessi e della visibilità dell’azienda stessa. </w:t>
      </w:r>
    </w:p>
    <w:p w:rsidR="005B6428" w:rsidRPr="001A3146" w:rsidRDefault="005B6428" w:rsidP="005B6428">
      <w:pPr>
        <w:rPr>
          <w:rFonts w:cs="Arial"/>
        </w:rPr>
      </w:pPr>
      <w:r w:rsidRPr="001A3146">
        <w:rPr>
          <w:rFonts w:eastAsia="Arial" w:cs="Arial"/>
          <w:noProof/>
          <w:szCs w:val="24"/>
          <w:lang w:eastAsia="it-CH"/>
        </w:rPr>
        <w:drawing>
          <wp:anchor distT="0" distB="0" distL="114300" distR="114300" simplePos="0" relativeHeight="251659264" behindDoc="0" locked="0" layoutInCell="1" allowOverlap="1" wp14:anchorId="6BEBCA43" wp14:editId="4FBB6F77">
            <wp:simplePos x="0" y="0"/>
            <wp:positionH relativeFrom="column">
              <wp:posOffset>3672205</wp:posOffset>
            </wp:positionH>
            <wp:positionV relativeFrom="paragraph">
              <wp:posOffset>168275</wp:posOffset>
            </wp:positionV>
            <wp:extent cx="2409825" cy="1025525"/>
            <wp:effectExtent l="0" t="0" r="3175" b="0"/>
            <wp:wrapThrough wrapText="bothSides">
              <wp:wrapPolygon edited="0">
                <wp:start x="0" y="0"/>
                <wp:lineTo x="0" y="20864"/>
                <wp:lineTo x="21401" y="20864"/>
                <wp:lineTo x="21401" y="0"/>
                <wp:lineTo x="0" y="0"/>
              </wp:wrapPolygon>
            </wp:wrapThrough>
            <wp:docPr id="5" name="Immagine 5" descr="../../../../../../../../Desktop/Schermata%202016-1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hermata%202016-11-13%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07" r="8144"/>
                    <a:stretch/>
                  </pic:blipFill>
                  <pic:spPr bwMode="auto">
                    <a:xfrm>
                      <a:off x="0" y="0"/>
                      <a:ext cx="2409825" cy="102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6428" w:rsidRPr="001A3146" w:rsidRDefault="005B6428" w:rsidP="005B6428">
      <w:pPr>
        <w:rPr>
          <w:rFonts w:eastAsia="Arial" w:cs="Arial"/>
          <w:szCs w:val="24"/>
        </w:rPr>
      </w:pPr>
      <w:r w:rsidRPr="001A3146">
        <w:rPr>
          <w:rFonts w:eastAsia="Arial" w:cs="Arial"/>
          <w:szCs w:val="24"/>
        </w:rPr>
        <w:t>Nell’ambito della Strategia energetica 2050, nel 2007 il Consiglio Federale aveva stabilito di fondare la propria politica energetica su quattro pilastri: efficienza energetica, energie rinnovabili, sostituzione e costruzione di grandi centrali elettriche (anche nucleari) e politica estera in materia energetica.</w:t>
      </w:r>
    </w:p>
    <w:p w:rsidR="005B6428" w:rsidRPr="001A3146" w:rsidRDefault="005B6428" w:rsidP="005B6428">
      <w:pPr>
        <w:rPr>
          <w:rFonts w:eastAsia="Arial" w:cs="Arial"/>
          <w:szCs w:val="24"/>
        </w:rPr>
      </w:pPr>
    </w:p>
    <w:p w:rsidR="005B6428" w:rsidRPr="001A3146" w:rsidRDefault="005B6428" w:rsidP="005B6428">
      <w:pPr>
        <w:rPr>
          <w:rFonts w:eastAsia="Arial" w:cs="Arial"/>
          <w:szCs w:val="24"/>
        </w:rPr>
      </w:pPr>
      <w:r w:rsidRPr="001A3146">
        <w:rPr>
          <w:rFonts w:eastAsia="Arial" w:cs="Arial"/>
          <w:szCs w:val="24"/>
        </w:rPr>
        <w:t>Dopo gli incidenti di Fukushima del 2011, Consiglio Federale e Parlamento hanno deciso l’abbandono graduale dell’energia nucleare. Questa decisione, nonché altri profondi cambiamenti sopravvenuti nel quadro energetico internazionale, rendono necessaria una trasformazione del sistema svizzero di approvvigionamento energetico, che ha indotto il Consiglio Federale ad elaborare una nuova Strategia energetica 2050, che persegue gli obiettivi tracciati nel 2007, definendo però nuovi obiettivi maggiormente eco-sostenibili. Pertanto, le cinque centrali nucleari in Svizzera (</w:t>
      </w:r>
      <w:proofErr w:type="spellStart"/>
      <w:r w:rsidRPr="001A3146">
        <w:rPr>
          <w:rFonts w:eastAsia="Arial" w:cs="Arial"/>
          <w:szCs w:val="24"/>
        </w:rPr>
        <w:t>Beznau</w:t>
      </w:r>
      <w:proofErr w:type="spellEnd"/>
      <w:r w:rsidRPr="001A3146">
        <w:rPr>
          <w:rFonts w:eastAsia="Arial" w:cs="Arial"/>
          <w:szCs w:val="24"/>
        </w:rPr>
        <w:t xml:space="preserve"> I e II, </w:t>
      </w:r>
      <w:proofErr w:type="spellStart"/>
      <w:r w:rsidRPr="001A3146">
        <w:rPr>
          <w:rFonts w:eastAsia="Arial" w:cs="Arial"/>
          <w:szCs w:val="24"/>
        </w:rPr>
        <w:t>Mühleberg</w:t>
      </w:r>
      <w:proofErr w:type="spellEnd"/>
      <w:r w:rsidRPr="001A3146">
        <w:rPr>
          <w:rFonts w:eastAsia="Arial" w:cs="Arial"/>
          <w:szCs w:val="24"/>
        </w:rPr>
        <w:t xml:space="preserve">, </w:t>
      </w:r>
      <w:proofErr w:type="spellStart"/>
      <w:r w:rsidRPr="001A3146">
        <w:rPr>
          <w:rFonts w:eastAsia="Arial" w:cs="Arial"/>
          <w:szCs w:val="24"/>
        </w:rPr>
        <w:t>Gösgen</w:t>
      </w:r>
      <w:proofErr w:type="spellEnd"/>
      <w:r w:rsidRPr="001A3146">
        <w:rPr>
          <w:rFonts w:eastAsia="Arial" w:cs="Arial"/>
          <w:szCs w:val="24"/>
        </w:rPr>
        <w:t xml:space="preserve"> e </w:t>
      </w:r>
      <w:proofErr w:type="spellStart"/>
      <w:r w:rsidRPr="001A3146">
        <w:rPr>
          <w:rFonts w:eastAsia="Arial" w:cs="Arial"/>
          <w:szCs w:val="24"/>
        </w:rPr>
        <w:t>Liebstad</w:t>
      </w:r>
      <w:proofErr w:type="spellEnd"/>
      <w:r w:rsidRPr="001A3146">
        <w:rPr>
          <w:rFonts w:eastAsia="Arial" w:cs="Arial"/>
          <w:szCs w:val="24"/>
        </w:rPr>
        <w:t>) dovranno essere definitivamente disattivate e smantellate alla fine del loro ciclo di vita e non potranno essere sostituite. Il primo pacchetto di misure della Strategia energetica 2050 mira ad incrementare l'efficienza energetica e a promuovere il potenziamento della produzione di elettricità da fonti rinnovabili. Questo primo pacchetto, oltre a decretare il divieto di costruire altre centrali nucleari, prevede, nelle misure per il potenziamento delle energie rinnovabili, delle misure di sostegno alle grandi centrali idroelettriche esistenti.</w:t>
      </w:r>
    </w:p>
    <w:p w:rsidR="005B6428" w:rsidRPr="001A3146" w:rsidRDefault="005B6428" w:rsidP="005B6428">
      <w:pPr>
        <w:rPr>
          <w:rFonts w:eastAsia="Arial" w:cs="Arial"/>
          <w:szCs w:val="24"/>
        </w:rPr>
      </w:pPr>
      <w:r w:rsidRPr="001A3146">
        <w:rPr>
          <w:rFonts w:eastAsia="Arial" w:cs="Arial"/>
          <w:szCs w:val="24"/>
        </w:rPr>
        <w:t>Consiglio nazionale e Consiglio agli Stati, riconoscendo che per la maggior parte delle centrali idroelettriche i prezzi di mercato non sono più sufficienti per coprire i costi di produzione</w:t>
      </w:r>
      <w:r>
        <w:rPr>
          <w:rFonts w:eastAsia="Arial" w:cs="Arial"/>
          <w:szCs w:val="24"/>
        </w:rPr>
        <w:t>,</w:t>
      </w:r>
      <w:r w:rsidRPr="001A3146">
        <w:rPr>
          <w:rFonts w:eastAsia="Arial" w:cs="Arial"/>
          <w:szCs w:val="24"/>
        </w:rPr>
        <w:t xml:space="preserve"> hanno deciso di sostenere finanziariamente non solo i nuovi impianti idroelettrici, ma anche quelli esistenti. </w:t>
      </w:r>
    </w:p>
    <w:p w:rsidR="005B6428" w:rsidRPr="001A3146" w:rsidRDefault="005B6428" w:rsidP="005B6428">
      <w:pPr>
        <w:rPr>
          <w:rFonts w:eastAsia="Arial" w:cs="Arial"/>
          <w:szCs w:val="24"/>
        </w:rPr>
      </w:pPr>
    </w:p>
    <w:p w:rsidR="005B6428" w:rsidRDefault="005B6428" w:rsidP="005B6428">
      <w:pPr>
        <w:rPr>
          <w:rFonts w:eastAsia="Arial" w:cs="Arial"/>
          <w:szCs w:val="24"/>
        </w:rPr>
      </w:pPr>
      <w:r>
        <w:rPr>
          <w:rFonts w:eastAsia="Arial" w:cs="Arial"/>
          <w:szCs w:val="24"/>
        </w:rPr>
        <w:br w:type="page"/>
      </w:r>
    </w:p>
    <w:p w:rsidR="005B6428" w:rsidRDefault="005B6428" w:rsidP="005B6428">
      <w:pPr>
        <w:rPr>
          <w:rFonts w:eastAsia="Arial" w:cs="Arial"/>
          <w:szCs w:val="24"/>
        </w:rPr>
      </w:pPr>
      <w:r w:rsidRPr="001A3146">
        <w:rPr>
          <w:rFonts w:eastAsia="Arial" w:cs="Arial"/>
          <w:szCs w:val="24"/>
        </w:rPr>
        <w:lastRenderedPageBreak/>
        <w:t xml:space="preserve">L'energia proveniente dai grandi impianti idroelettrici svizzeri che deve essere venduta sul mercato a un prezzo inferiore al costo di produzione potrà beneficiare di un premio di mercato con un tetto massimo di 1,0 </w:t>
      </w:r>
      <w:proofErr w:type="spellStart"/>
      <w:r w:rsidRPr="001A3146">
        <w:rPr>
          <w:rFonts w:eastAsia="Arial" w:cs="Arial"/>
          <w:szCs w:val="24"/>
        </w:rPr>
        <w:t>cts</w:t>
      </w:r>
      <w:proofErr w:type="spellEnd"/>
      <w:r w:rsidRPr="001A3146">
        <w:rPr>
          <w:rFonts w:eastAsia="Arial" w:cs="Arial"/>
          <w:szCs w:val="24"/>
        </w:rPr>
        <w:t>./kWh. Le risorse complessivamente disponibili saranno tuttavia limitate. La misura sarà applicata per cinque anni e sarà finanziata attraverso i proventi del supplemento di rete</w:t>
      </w:r>
      <w:r w:rsidRPr="001A3146">
        <w:rPr>
          <w:rStyle w:val="Rimandonotaapidipagina"/>
          <w:rFonts w:eastAsia="Arial" w:cs="Arial"/>
        </w:rPr>
        <w:footnoteReference w:id="3"/>
      </w:r>
      <w:r w:rsidRPr="001A3146">
        <w:rPr>
          <w:rFonts w:eastAsia="Arial" w:cs="Arial"/>
          <w:szCs w:val="24"/>
        </w:rPr>
        <w:t xml:space="preserve"> versato dai consumatori di energia elettrica.</w:t>
      </w:r>
    </w:p>
    <w:p w:rsidR="005B6428" w:rsidRDefault="005B6428" w:rsidP="005B6428">
      <w:pPr>
        <w:rPr>
          <w:rFonts w:eastAsia="Arial" w:cs="Arial"/>
          <w:szCs w:val="24"/>
        </w:rPr>
      </w:pPr>
    </w:p>
    <w:p w:rsidR="005B6428" w:rsidRPr="001A3146" w:rsidRDefault="005B6428" w:rsidP="005B6428">
      <w:pPr>
        <w:rPr>
          <w:rFonts w:eastAsia="Arial" w:cs="Arial"/>
          <w:szCs w:val="24"/>
        </w:rPr>
      </w:pPr>
      <w:r w:rsidRPr="001A3146">
        <w:rPr>
          <w:rFonts w:eastAsia="Arial" w:cs="Arial"/>
          <w:szCs w:val="24"/>
        </w:rPr>
        <w:t>In un mercato energetico in continua e veloce evoluzione, la Commissione speciale energia auspica che, tenendo fede al mandato conferito dal Cantone tramite il Piano Energetico Cantonale (PEC), AET possa incrementare la produzione di energia rinnovabile e di nuovo rinnovabile in tempi relativamente brevi, con la progressiva dismissione delle partecipazioni in altre produzioni.</w:t>
      </w:r>
    </w:p>
    <w:p w:rsidR="005B6428" w:rsidRPr="001A3146" w:rsidRDefault="005B6428" w:rsidP="005B6428">
      <w:pPr>
        <w:rPr>
          <w:rFonts w:eastAsia="Arial" w:cs="Arial"/>
          <w:szCs w:val="24"/>
        </w:rPr>
      </w:pPr>
    </w:p>
    <w:p w:rsidR="005B6428" w:rsidRPr="001A3146" w:rsidRDefault="005B6428" w:rsidP="005B6428">
      <w:pPr>
        <w:rPr>
          <w:rFonts w:eastAsia="Arial" w:cs="Arial"/>
          <w:szCs w:val="24"/>
        </w:rPr>
      </w:pPr>
      <w:r w:rsidRPr="001A3146">
        <w:rPr>
          <w:rFonts w:eastAsia="Arial" w:cs="Arial"/>
          <w:szCs w:val="24"/>
        </w:rPr>
        <w:t>Allo stesso tempo la Commissione auspica che il Cantone, come per altro concretamente dimostrato con la decisione di avvalersi di energia certificata “</w:t>
      </w:r>
      <w:proofErr w:type="spellStart"/>
      <w:r w:rsidRPr="001A3146">
        <w:rPr>
          <w:rFonts w:eastAsia="Arial" w:cs="Arial"/>
          <w:szCs w:val="24"/>
        </w:rPr>
        <w:t>Tiacqua</w:t>
      </w:r>
      <w:proofErr w:type="spellEnd"/>
      <w:r w:rsidRPr="001A3146">
        <w:rPr>
          <w:rFonts w:eastAsia="Arial" w:cs="Arial"/>
          <w:szCs w:val="24"/>
        </w:rPr>
        <w:t xml:space="preserve">” acquistata sul libero mercato tramite AET, crei le condizioni quadro ideali per permettere all’azienda il raggiungimento di questi obiettivi. Pensiamo ad esempio alla concreta possibilità di </w:t>
      </w:r>
      <w:r>
        <w:rPr>
          <w:rFonts w:eastAsia="Arial" w:cs="Arial"/>
          <w:szCs w:val="24"/>
        </w:rPr>
        <w:t>realizzare</w:t>
      </w:r>
      <w:r w:rsidRPr="001A3146">
        <w:rPr>
          <w:rFonts w:eastAsia="Arial" w:cs="Arial"/>
          <w:szCs w:val="24"/>
        </w:rPr>
        <w:t xml:space="preserve"> impianti fotovoltaici da parte di AET sugli stabili cantonali in occasione dei lavori di ristrutturazione e rinnovo previsti del parco immobiliare dello Stato.</w:t>
      </w:r>
    </w:p>
    <w:p w:rsidR="005B6428" w:rsidRPr="001A3146" w:rsidRDefault="005B6428" w:rsidP="005B6428">
      <w:pPr>
        <w:rPr>
          <w:rFonts w:eastAsia="Arial"/>
        </w:rPr>
      </w:pPr>
    </w:p>
    <w:p w:rsidR="005B6428" w:rsidRPr="00785901" w:rsidRDefault="005B6428" w:rsidP="005B6428">
      <w:pPr>
        <w:rPr>
          <w:rFonts w:eastAsia="Arial"/>
        </w:rPr>
      </w:pPr>
      <w:r w:rsidRPr="001A3146">
        <w:rPr>
          <w:rFonts w:eastAsia="Arial"/>
        </w:rPr>
        <w:t xml:space="preserve">Nel suo rapporto annuale, come già evidenziato nel passato, AET esterna </w:t>
      </w:r>
      <w:r w:rsidRPr="00785901">
        <w:rPr>
          <w:rFonts w:eastAsia="Arial"/>
        </w:rPr>
        <w:t xml:space="preserve">nuovamente le proprie preoccupazioni per quanto concerne la produzione del settore idroelettrico. </w:t>
      </w:r>
    </w:p>
    <w:p w:rsidR="005B6428" w:rsidRPr="001A3146" w:rsidRDefault="005B6428" w:rsidP="005B6428">
      <w:pPr>
        <w:rPr>
          <w:rFonts w:eastAsia="Arial" w:cs="Arial"/>
          <w:szCs w:val="24"/>
        </w:rPr>
      </w:pPr>
      <w:r w:rsidRPr="00785901">
        <w:rPr>
          <w:rFonts w:eastAsia="Arial" w:cs="Arial"/>
          <w:szCs w:val="24"/>
        </w:rPr>
        <w:t>Le condizioni di mercato sfavorevoli, condizionate da un lato da importanti incentivi pubblici alle “nuove energie rinnovabili”, applicate in modo più marcato all’estero (Germania, Spagna ed Italia in particolare), oltre a quelli locali in Svizzera, la li</w:t>
      </w:r>
      <w:r w:rsidRPr="001A3146">
        <w:rPr>
          <w:rFonts w:eastAsia="Arial" w:cs="Arial"/>
          <w:szCs w:val="24"/>
        </w:rPr>
        <w:t>mitata tassazione sull’energia elettrica da vecchi impianti a carbone (lignite) importata dall’estero (principalmente Germania) e la sovrabbondanza d’energia in rete, hanno creato e creano tutt’ora molte preoccupazioni agli operatori dell’idroelettrico.</w:t>
      </w:r>
    </w:p>
    <w:p w:rsidR="005B6428" w:rsidRPr="001A3146" w:rsidRDefault="005B6428" w:rsidP="005B6428">
      <w:pPr>
        <w:rPr>
          <w:rFonts w:eastAsia="Arial" w:cs="Arial"/>
          <w:szCs w:val="24"/>
        </w:rPr>
      </w:pPr>
    </w:p>
    <w:p w:rsidR="005B6428" w:rsidRPr="001A3146" w:rsidRDefault="005B6428" w:rsidP="005B6428">
      <w:pPr>
        <w:rPr>
          <w:rFonts w:eastAsia="Arial" w:cs="Arial"/>
          <w:szCs w:val="24"/>
        </w:rPr>
      </w:pPr>
      <w:r w:rsidRPr="001A3146">
        <w:rPr>
          <w:rFonts w:eastAsia="Arial" w:cs="Arial"/>
          <w:szCs w:val="24"/>
        </w:rPr>
        <w:t>Ribadiamo</w:t>
      </w:r>
      <w:r>
        <w:rPr>
          <w:rFonts w:eastAsia="Arial" w:cs="Arial"/>
          <w:szCs w:val="24"/>
        </w:rPr>
        <w:t>, come</w:t>
      </w:r>
      <w:r w:rsidRPr="001A3146">
        <w:rPr>
          <w:rFonts w:eastAsia="Arial" w:cs="Arial"/>
          <w:szCs w:val="24"/>
        </w:rPr>
        <w:t xml:space="preserve"> riportato sul rapporto di gestione del conto </w:t>
      </w:r>
      <w:r w:rsidRPr="00785901">
        <w:rPr>
          <w:rFonts w:eastAsia="Arial" w:cs="Arial"/>
          <w:szCs w:val="24"/>
        </w:rPr>
        <w:t>annuale 2014, che le sovvenzioni e gli incentivi pubblici hanno lo scopo di promuovere e incentivare nuove tecnologie. Riteniamo pertanto a livello politico che vada fatta una riflessione sugli incentivi per il “nuovo rinnovabile” valutando e tenendo in debita considerazione l’evoluzione tecnologica.</w:t>
      </w:r>
    </w:p>
    <w:p w:rsidR="005B6428" w:rsidRPr="001A3146" w:rsidRDefault="005B6428" w:rsidP="005B6428">
      <w:pPr>
        <w:rPr>
          <w:rFonts w:eastAsia="Arial" w:cs="Arial"/>
          <w:szCs w:val="24"/>
        </w:rPr>
      </w:pPr>
    </w:p>
    <w:p w:rsidR="005B6428" w:rsidRPr="001A3146" w:rsidRDefault="005B6428" w:rsidP="005B6428">
      <w:pPr>
        <w:rPr>
          <w:rFonts w:eastAsia="Arial" w:cs="Arial"/>
          <w:szCs w:val="24"/>
        </w:rPr>
      </w:pPr>
      <w:r w:rsidRPr="001A3146">
        <w:rPr>
          <w:rFonts w:eastAsia="Arial" w:cs="Arial"/>
          <w:szCs w:val="24"/>
        </w:rPr>
        <w:t>Condividiamo il pensiero del Consiglio federale e delle Camere Federali, per cui l’idroelettrico potrà ancora giocare nuovamente un ruolo di importanza fondamentale sul mercato energetico.</w:t>
      </w:r>
    </w:p>
    <w:p w:rsidR="005B6428" w:rsidRPr="001A3146" w:rsidRDefault="005B6428" w:rsidP="005B6428">
      <w:pPr>
        <w:rPr>
          <w:rFonts w:eastAsia="Arial" w:cs="Arial"/>
          <w:szCs w:val="24"/>
        </w:rPr>
      </w:pPr>
      <w:r w:rsidRPr="001A3146">
        <w:rPr>
          <w:rFonts w:eastAsia="Arial" w:cs="Arial"/>
          <w:szCs w:val="24"/>
        </w:rPr>
        <w:t xml:space="preserve">La direzione da intraprendere sarà quindi quella di seguire la strategia promossa anche dall’AES (Associazione aziende elettriche svizzere) affinché vengano tutelate le produzioni derivate dall’idroelettrico. In quest’ottica guardiamo con il giusto ottimismo l’avvio del progetto esecutivo per il rinnovo della centrale del </w:t>
      </w:r>
      <w:proofErr w:type="spellStart"/>
      <w:r w:rsidRPr="001A3146">
        <w:rPr>
          <w:rFonts w:eastAsia="Arial" w:cs="Arial"/>
          <w:szCs w:val="24"/>
        </w:rPr>
        <w:t>Ritom</w:t>
      </w:r>
      <w:proofErr w:type="spellEnd"/>
      <w:r w:rsidRPr="001A3146">
        <w:rPr>
          <w:rFonts w:eastAsia="Arial" w:cs="Arial"/>
          <w:szCs w:val="24"/>
        </w:rPr>
        <w:t xml:space="preserve">, l’acquisizione anticipata dell’impianto del </w:t>
      </w:r>
      <w:proofErr w:type="spellStart"/>
      <w:r w:rsidRPr="001A3146">
        <w:rPr>
          <w:rFonts w:eastAsia="Arial" w:cs="Arial"/>
          <w:szCs w:val="24"/>
        </w:rPr>
        <w:t>Lucendro</w:t>
      </w:r>
      <w:proofErr w:type="spellEnd"/>
      <w:r w:rsidRPr="001A3146">
        <w:rPr>
          <w:rFonts w:eastAsia="Arial" w:cs="Arial"/>
          <w:szCs w:val="24"/>
        </w:rPr>
        <w:t xml:space="preserve">, che permette ad AET di pianificare con maggior flessibilità la produzione della catena della </w:t>
      </w:r>
      <w:proofErr w:type="spellStart"/>
      <w:r w:rsidRPr="001A3146">
        <w:rPr>
          <w:rFonts w:eastAsia="Arial" w:cs="Arial"/>
          <w:szCs w:val="24"/>
        </w:rPr>
        <w:t>Leventina</w:t>
      </w:r>
      <w:proofErr w:type="spellEnd"/>
      <w:r w:rsidRPr="001A3146">
        <w:rPr>
          <w:rFonts w:eastAsia="Arial" w:cs="Arial"/>
          <w:szCs w:val="24"/>
        </w:rPr>
        <w:t>.</w:t>
      </w:r>
    </w:p>
    <w:p w:rsidR="005B6428" w:rsidRPr="001A3146" w:rsidRDefault="005B6428" w:rsidP="005B6428">
      <w:pPr>
        <w:rPr>
          <w:rFonts w:cs="Arial"/>
          <w:szCs w:val="24"/>
        </w:rPr>
      </w:pPr>
    </w:p>
    <w:p w:rsidR="005B6428" w:rsidRPr="001A3146" w:rsidRDefault="005B6428" w:rsidP="005B6428">
      <w:pPr>
        <w:rPr>
          <w:rFonts w:cs="Arial"/>
          <w:szCs w:val="24"/>
        </w:rPr>
      </w:pPr>
      <w:r w:rsidRPr="001A3146">
        <w:rPr>
          <w:rFonts w:cs="Arial"/>
          <w:szCs w:val="24"/>
        </w:rPr>
        <w:t xml:space="preserve">La Commissione accoglie favorevolmente la notizia che il Tribunale Cantonale Amministrativo (TRAM) ha respinto il ricorso inoltrato dalla STAN (Società ticinese per </w:t>
      </w:r>
      <w:r w:rsidRPr="001A3146">
        <w:rPr>
          <w:rFonts w:cs="Arial"/>
          <w:szCs w:val="24"/>
        </w:rPr>
        <w:lastRenderedPageBreak/>
        <w:t xml:space="preserve">l’Arte e la Natura) nell’ambito della procedura di variante di PR del Comune di Airolo (Piano particolareggiato del San Gottardo). </w:t>
      </w:r>
    </w:p>
    <w:p w:rsidR="005B6428" w:rsidRPr="001A3146" w:rsidRDefault="005B6428" w:rsidP="005B6428">
      <w:pPr>
        <w:rPr>
          <w:rFonts w:cs="Arial"/>
          <w:szCs w:val="24"/>
        </w:rPr>
      </w:pPr>
      <w:r w:rsidRPr="001A3146">
        <w:rPr>
          <w:rFonts w:cs="Arial"/>
          <w:szCs w:val="24"/>
        </w:rPr>
        <w:t>Il progetto di parco eolico prevede la posa di 5 aerogeneratori sul passo del Gottardo. L’inoltro della domanda di costruzione è avvenuto in ottobre 2016, con successiva pubblicazione da parte del Comune di Airolo: entro i termini di legge la STAN ha sollevato una nuova opposizione. Risulta quindi difficile ipotizzare la data d’inizio dei lavori di costruzione (AET avrebbe voluto inaugurare il cantiere nel 2017), che necessiteranno di due anni (in considerazione della limitata accessibilità del Passo).</w:t>
      </w:r>
    </w:p>
    <w:p w:rsidR="005B6428" w:rsidRPr="001A3146" w:rsidRDefault="005B6428" w:rsidP="005B6428">
      <w:pPr>
        <w:rPr>
          <w:rFonts w:cs="Arial"/>
          <w:szCs w:val="24"/>
        </w:rPr>
      </w:pPr>
    </w:p>
    <w:p w:rsidR="005B6428" w:rsidRPr="00785901" w:rsidRDefault="005B6428" w:rsidP="005B6428">
      <w:pPr>
        <w:rPr>
          <w:rFonts w:cs="Arial"/>
          <w:szCs w:val="24"/>
        </w:rPr>
      </w:pPr>
      <w:r w:rsidRPr="001A3146">
        <w:rPr>
          <w:rFonts w:cs="Arial"/>
          <w:szCs w:val="24"/>
        </w:rPr>
        <w:t xml:space="preserve">Infine, diventa imperativo definire le strategie di collaborazione tra gli attori del settore energetico ticinese (AET e aziende distributrici, SES, AIL, AMB, </w:t>
      </w:r>
      <w:proofErr w:type="spellStart"/>
      <w:r w:rsidRPr="001A3146">
        <w:rPr>
          <w:rFonts w:cs="Arial"/>
          <w:szCs w:val="24"/>
        </w:rPr>
        <w:t>ecc</w:t>
      </w:r>
      <w:proofErr w:type="spellEnd"/>
      <w:r w:rsidRPr="001A3146">
        <w:rPr>
          <w:rFonts w:cs="Arial"/>
          <w:szCs w:val="24"/>
        </w:rPr>
        <w:t xml:space="preserve">…), per mantenere intatto il valore delle risorse idriche con il loro indotto. BKW ne è un esempio, essendo l’unico produttore nazionale di rilievo ad </w:t>
      </w:r>
      <w:r w:rsidRPr="00785901">
        <w:rPr>
          <w:rFonts w:cs="Arial"/>
          <w:szCs w:val="24"/>
        </w:rPr>
        <w:t>aver chiuso il 2015 in cifre nere.</w:t>
      </w:r>
    </w:p>
    <w:p w:rsidR="005B6428" w:rsidRPr="001A3146" w:rsidRDefault="005B6428" w:rsidP="005B6428">
      <w:pPr>
        <w:rPr>
          <w:rFonts w:cs="Arial"/>
          <w:szCs w:val="24"/>
        </w:rPr>
      </w:pPr>
      <w:r w:rsidRPr="00785901">
        <w:rPr>
          <w:rFonts w:cs="Arial"/>
          <w:szCs w:val="24"/>
        </w:rPr>
        <w:t>Il tavolo di lavoro sulla collaborazione del settore elettrico cantonale promosso a fine 2015 dal Dipartimento delle finanze e dell’economia ha prodotto una lettera d’intenti firmata da tutti i distributori e da AET, che fa ben sperare. La commissione auspica quindi che questo primo passo si concretizzi in tempi relativamente brevi, con una migliore e responsabile collaborazione tra produttore e distributori, a tutela di tutti gli attori coinvolti (AET, aziende distributrici e consumatori), lasciando la libertà di scelta finale sul tipo di energia al consumatore.</w:t>
      </w:r>
      <w:r w:rsidRPr="001A3146">
        <w:rPr>
          <w:rFonts w:cs="Arial"/>
          <w:szCs w:val="24"/>
        </w:rPr>
        <w:t xml:space="preserve">  </w:t>
      </w:r>
    </w:p>
    <w:p w:rsidR="005B6428" w:rsidRPr="001A3146" w:rsidRDefault="005B6428" w:rsidP="005B6428">
      <w:pPr>
        <w:rPr>
          <w:rFonts w:cs="Arial"/>
          <w:szCs w:val="24"/>
        </w:rPr>
      </w:pPr>
    </w:p>
    <w:p w:rsidR="005B6428" w:rsidRPr="001A3146" w:rsidRDefault="005B6428" w:rsidP="005B6428">
      <w:pPr>
        <w:rPr>
          <w:rFonts w:cs="Arial"/>
          <w:szCs w:val="24"/>
        </w:rPr>
      </w:pPr>
      <w:bookmarkStart w:id="16" w:name="_Toc390264058"/>
      <w:bookmarkEnd w:id="16"/>
    </w:p>
    <w:p w:rsidR="005B6428" w:rsidRPr="001A3146" w:rsidRDefault="005B6428" w:rsidP="005B6428">
      <w:pPr>
        <w:pStyle w:val="Titolo1"/>
        <w:rPr>
          <w:rFonts w:cs="Arial"/>
        </w:rPr>
      </w:pPr>
      <w:bookmarkStart w:id="17" w:name="_Toc471834937"/>
      <w:r w:rsidRPr="001A3146">
        <w:rPr>
          <w:rFonts w:cs="Arial"/>
        </w:rPr>
        <w:t>CONCLUSIONI</w:t>
      </w:r>
      <w:bookmarkEnd w:id="17"/>
    </w:p>
    <w:p w:rsidR="005B6428" w:rsidRPr="004B227A" w:rsidRDefault="005B6428" w:rsidP="005B6428">
      <w:pPr>
        <w:rPr>
          <w:rFonts w:cs="Arial"/>
          <w:szCs w:val="24"/>
        </w:rPr>
      </w:pPr>
      <w:r w:rsidRPr="002E3D8B">
        <w:rPr>
          <w:rFonts w:cs="Arial"/>
          <w:szCs w:val="24"/>
        </w:rPr>
        <w:t xml:space="preserve">Richiamati i contenuti del presente rapporto, ribadendo che i conti 2015 risentono del risultato negativo dei costi di produzione della partecipazione nella centrale di </w:t>
      </w:r>
      <w:proofErr w:type="spellStart"/>
      <w:r w:rsidRPr="002E3D8B">
        <w:rPr>
          <w:rFonts w:cs="Arial"/>
          <w:szCs w:val="24"/>
        </w:rPr>
        <w:t>Lünen</w:t>
      </w:r>
      <w:proofErr w:type="spellEnd"/>
      <w:r w:rsidRPr="002E3D8B">
        <w:rPr>
          <w:rFonts w:cs="Arial"/>
          <w:szCs w:val="24"/>
        </w:rPr>
        <w:t xml:space="preserve"> e della riduzione del valore del contratto di fornitura d’energia a lungo termine con EDF, nonché della sfavorevole situazione di mercato, ringraziamo Maestranze, Direzione e Consiglio d’amministrazione di AET per il lavoro svolto ed invitiamo il Gran Consiglio ad approvare i conti 2015 di AET.</w:t>
      </w:r>
    </w:p>
    <w:p w:rsidR="005B6428" w:rsidRDefault="005B6428" w:rsidP="005B6428"/>
    <w:p w:rsidR="005B6428" w:rsidRPr="001A3146" w:rsidRDefault="005B6428" w:rsidP="005B6428"/>
    <w:p w:rsidR="005B6428" w:rsidRPr="001A3146" w:rsidRDefault="005B6428" w:rsidP="005B6428"/>
    <w:p w:rsidR="005B6428" w:rsidRPr="001A3146" w:rsidRDefault="005B6428" w:rsidP="005B6428">
      <w:pPr>
        <w:spacing w:after="120"/>
        <w:rPr>
          <w:rFonts w:cs="Arial"/>
          <w:szCs w:val="24"/>
        </w:rPr>
      </w:pPr>
      <w:r w:rsidRPr="001A3146">
        <w:rPr>
          <w:rFonts w:cs="Arial"/>
          <w:szCs w:val="24"/>
        </w:rPr>
        <w:t xml:space="preserve">Per la </w:t>
      </w:r>
      <w:r w:rsidR="002E3D8B">
        <w:rPr>
          <w:rFonts w:cs="Arial"/>
          <w:szCs w:val="24"/>
        </w:rPr>
        <w:t xml:space="preserve">maggioranza della </w:t>
      </w:r>
      <w:r w:rsidRPr="001A3146">
        <w:rPr>
          <w:rFonts w:cs="Arial"/>
          <w:szCs w:val="24"/>
        </w:rPr>
        <w:t>Commissione speciale energia:</w:t>
      </w:r>
    </w:p>
    <w:p w:rsidR="005B6428" w:rsidRPr="001A3146" w:rsidRDefault="005B6428" w:rsidP="005B6428">
      <w:pPr>
        <w:rPr>
          <w:rFonts w:cs="Arial"/>
          <w:szCs w:val="24"/>
        </w:rPr>
      </w:pPr>
      <w:r w:rsidRPr="001A3146">
        <w:rPr>
          <w:rFonts w:cs="Arial"/>
          <w:szCs w:val="24"/>
        </w:rPr>
        <w:t>Omar Terraneo, relatore</w:t>
      </w:r>
    </w:p>
    <w:p w:rsidR="00D253D3" w:rsidRDefault="00D253D3" w:rsidP="00D253D3">
      <w:r>
        <w:t xml:space="preserve">Badasci - Bang (con riserva) - </w:t>
      </w:r>
    </w:p>
    <w:p w:rsidR="00D253D3" w:rsidRDefault="00D253D3" w:rsidP="00D253D3">
      <w:r>
        <w:t xml:space="preserve">Bignasca (con riserva) - Crugnola - </w:t>
      </w:r>
    </w:p>
    <w:p w:rsidR="00D253D3" w:rsidRDefault="00D253D3" w:rsidP="00D253D3">
      <w:r>
        <w:t xml:space="preserve">Filippini - Garzoli - Jelmini - Käppeli - </w:t>
      </w:r>
    </w:p>
    <w:p w:rsidR="00D253D3" w:rsidRDefault="00D253D3" w:rsidP="00D253D3">
      <w:r>
        <w:t xml:space="preserve">Lepori - Passalia - Peduzzi (con riserva) - </w:t>
      </w:r>
    </w:p>
    <w:p w:rsidR="00D253D3" w:rsidRDefault="00D253D3" w:rsidP="00D253D3">
      <w:r>
        <w:t>Robbiani (con riserva)</w:t>
      </w:r>
      <w:r w:rsidR="003444D3">
        <w:t xml:space="preserve"> - Storni</w:t>
      </w:r>
    </w:p>
    <w:p w:rsidR="005B6428" w:rsidRPr="001A3146" w:rsidRDefault="005B6428" w:rsidP="005B6428"/>
    <w:p w:rsidR="005B6428" w:rsidRPr="001A3146" w:rsidRDefault="005B6428" w:rsidP="005B6428"/>
    <w:p w:rsidR="005B6428" w:rsidRPr="001A3146" w:rsidRDefault="005B6428" w:rsidP="005B6428">
      <w:pPr>
        <w:rPr>
          <w:rFonts w:cs="Arial"/>
          <w:sz w:val="22"/>
          <w:u w:val="single"/>
        </w:rPr>
      </w:pPr>
    </w:p>
    <w:p w:rsidR="002E3D8B" w:rsidRDefault="002E3D8B" w:rsidP="005B6428">
      <w:pPr>
        <w:rPr>
          <w:rFonts w:cs="Arial"/>
          <w:sz w:val="22"/>
          <w:u w:val="single"/>
        </w:rPr>
      </w:pPr>
    </w:p>
    <w:p w:rsidR="002E3D8B" w:rsidRDefault="002E3D8B" w:rsidP="005B6428">
      <w:pPr>
        <w:rPr>
          <w:rFonts w:cs="Arial"/>
          <w:sz w:val="22"/>
          <w:u w:val="single"/>
        </w:rPr>
      </w:pPr>
    </w:p>
    <w:p w:rsidR="002E3D8B" w:rsidRDefault="002E3D8B" w:rsidP="005B6428">
      <w:pPr>
        <w:rPr>
          <w:rFonts w:cs="Arial"/>
          <w:sz w:val="22"/>
          <w:u w:val="single"/>
        </w:rPr>
      </w:pPr>
    </w:p>
    <w:p w:rsidR="002E3D8B" w:rsidRPr="001A3146" w:rsidRDefault="002E3D8B" w:rsidP="005B6428">
      <w:pPr>
        <w:rPr>
          <w:rFonts w:cs="Arial"/>
          <w:sz w:val="22"/>
          <w:u w:val="single"/>
        </w:rPr>
      </w:pPr>
    </w:p>
    <w:p w:rsidR="005B6428" w:rsidRPr="001A3146" w:rsidRDefault="005B6428" w:rsidP="005B6428">
      <w:pPr>
        <w:rPr>
          <w:rFonts w:cs="Arial"/>
          <w:sz w:val="22"/>
          <w:u w:val="single"/>
        </w:rPr>
      </w:pPr>
    </w:p>
    <w:p w:rsidR="005B6428" w:rsidRPr="001A3146" w:rsidRDefault="005B6428" w:rsidP="005B6428">
      <w:pPr>
        <w:rPr>
          <w:rFonts w:cs="Arial"/>
          <w:sz w:val="22"/>
          <w:u w:val="single"/>
        </w:rPr>
      </w:pPr>
    </w:p>
    <w:p w:rsidR="005B6428" w:rsidRPr="001A3146" w:rsidRDefault="005B6428" w:rsidP="005B6428">
      <w:pPr>
        <w:rPr>
          <w:rFonts w:cs="Arial"/>
          <w:sz w:val="22"/>
          <w:u w:val="single"/>
        </w:rPr>
      </w:pPr>
    </w:p>
    <w:p w:rsidR="005B6428" w:rsidRPr="001A3146" w:rsidRDefault="005B6428" w:rsidP="005B6428">
      <w:pPr>
        <w:rPr>
          <w:rFonts w:cs="Arial"/>
          <w:sz w:val="22"/>
          <w:u w:val="single"/>
        </w:rPr>
      </w:pPr>
    </w:p>
    <w:p w:rsidR="005B6428" w:rsidRPr="001A3146" w:rsidRDefault="005B6428" w:rsidP="005B6428">
      <w:pPr>
        <w:rPr>
          <w:rFonts w:cs="Arial"/>
          <w:sz w:val="22"/>
        </w:rPr>
      </w:pPr>
      <w:r w:rsidRPr="001A3146">
        <w:rPr>
          <w:rFonts w:cs="Arial"/>
          <w:sz w:val="22"/>
          <w:u w:val="single"/>
        </w:rPr>
        <w:t>Allegato:</w:t>
      </w:r>
      <w:r w:rsidRPr="001A3146">
        <w:rPr>
          <w:rFonts w:cs="Arial"/>
          <w:sz w:val="22"/>
        </w:rPr>
        <w:t xml:space="preserve"> Rapporto della Commissione di controllo del mandato pubblico</w:t>
      </w:r>
    </w:p>
    <w:p w:rsidR="00F242E5" w:rsidRDefault="00F242E5" w:rsidP="00F242E5">
      <w:pPr>
        <w:rPr>
          <w:rFonts w:cs="Arial"/>
        </w:rPr>
      </w:pPr>
    </w:p>
    <w:sectPr w:rsidR="00F242E5" w:rsidSect="00F242E5">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28" w:rsidRDefault="008C4D28" w:rsidP="008E77C6">
      <w:r>
        <w:separator/>
      </w:r>
    </w:p>
  </w:endnote>
  <w:endnote w:type="continuationSeparator" w:id="0">
    <w:p w:rsidR="008C4D28" w:rsidRDefault="008C4D2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C25D0" w:rsidRPr="00FC25D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28" w:rsidRDefault="008C4D28" w:rsidP="008E77C6">
      <w:r>
        <w:separator/>
      </w:r>
    </w:p>
  </w:footnote>
  <w:footnote w:type="continuationSeparator" w:id="0">
    <w:p w:rsidR="008C4D28" w:rsidRDefault="008C4D28" w:rsidP="008E77C6">
      <w:r>
        <w:continuationSeparator/>
      </w:r>
    </w:p>
  </w:footnote>
  <w:footnote w:id="1">
    <w:p w:rsidR="005B6428" w:rsidRPr="002E3D8B" w:rsidRDefault="005B6428" w:rsidP="005B6428">
      <w:pPr>
        <w:tabs>
          <w:tab w:val="left" w:pos="284"/>
        </w:tabs>
        <w:ind w:left="284" w:hanging="284"/>
        <w:rPr>
          <w:rFonts w:cs="Arial"/>
          <w:color w:val="000000"/>
          <w:sz w:val="18"/>
          <w:szCs w:val="18"/>
        </w:rPr>
      </w:pPr>
      <w:r w:rsidRPr="002E3D8B">
        <w:rPr>
          <w:rStyle w:val="Rimandonotaapidipagina"/>
          <w:sz w:val="18"/>
          <w:szCs w:val="18"/>
        </w:rPr>
        <w:footnoteRef/>
      </w:r>
      <w:r w:rsidRPr="002E3D8B">
        <w:rPr>
          <w:sz w:val="18"/>
          <w:szCs w:val="18"/>
        </w:rPr>
        <w:t xml:space="preserve"> </w:t>
      </w:r>
      <w:r w:rsidRPr="002E3D8B">
        <w:rPr>
          <w:rFonts w:cs="Arial"/>
          <w:color w:val="000000"/>
          <w:sz w:val="18"/>
          <w:szCs w:val="18"/>
        </w:rPr>
        <w:t xml:space="preserve">La tabella </w:t>
      </w:r>
      <w:proofErr w:type="spellStart"/>
      <w:r w:rsidRPr="002E3D8B">
        <w:rPr>
          <w:rFonts w:cs="Arial"/>
          <w:color w:val="000000"/>
          <w:sz w:val="18"/>
          <w:szCs w:val="18"/>
        </w:rPr>
        <w:t>ricapitolativa</w:t>
      </w:r>
      <w:proofErr w:type="spellEnd"/>
      <w:r w:rsidRPr="002E3D8B">
        <w:rPr>
          <w:rFonts w:cs="Arial"/>
          <w:color w:val="000000"/>
          <w:sz w:val="18"/>
          <w:szCs w:val="18"/>
        </w:rPr>
        <w:t xml:space="preserve"> considera solo le perdite sugli investimenti nelle partecipazioni e nei titoli a lungo termine. L’unica variazione di sostanza del 2015 riguarda la svalutazione completa dei titoli “REI” (</w:t>
      </w:r>
      <w:proofErr w:type="spellStart"/>
      <w:r w:rsidRPr="002E3D8B">
        <w:rPr>
          <w:rFonts w:cs="Arial"/>
          <w:color w:val="000000"/>
          <w:sz w:val="18"/>
          <w:szCs w:val="18"/>
        </w:rPr>
        <w:t>Renewable</w:t>
      </w:r>
      <w:proofErr w:type="spellEnd"/>
      <w:r w:rsidRPr="002E3D8B">
        <w:rPr>
          <w:rFonts w:cs="Arial"/>
          <w:color w:val="000000"/>
          <w:sz w:val="18"/>
          <w:szCs w:val="18"/>
        </w:rPr>
        <w:t xml:space="preserve"> Energy Investments SPC, Cayman </w:t>
      </w:r>
      <w:proofErr w:type="spellStart"/>
      <w:r w:rsidRPr="002E3D8B">
        <w:rPr>
          <w:rFonts w:cs="Arial"/>
          <w:color w:val="000000"/>
          <w:sz w:val="18"/>
          <w:szCs w:val="18"/>
        </w:rPr>
        <w:t>Islands</w:t>
      </w:r>
      <w:proofErr w:type="spellEnd"/>
      <w:r w:rsidRPr="002E3D8B">
        <w:rPr>
          <w:rFonts w:cs="Arial"/>
          <w:color w:val="000000"/>
          <w:sz w:val="18"/>
          <w:szCs w:val="18"/>
        </w:rPr>
        <w:t>).</w:t>
      </w:r>
    </w:p>
    <w:p w:rsidR="005B6428" w:rsidRPr="002E3D8B" w:rsidRDefault="005B6428" w:rsidP="005B6428">
      <w:pPr>
        <w:tabs>
          <w:tab w:val="left" w:pos="284"/>
        </w:tabs>
        <w:ind w:left="284" w:hanging="284"/>
        <w:rPr>
          <w:sz w:val="18"/>
          <w:szCs w:val="18"/>
        </w:rPr>
      </w:pPr>
      <w:r w:rsidRPr="002E3D8B">
        <w:rPr>
          <w:rFonts w:cs="Arial"/>
          <w:color w:val="000000"/>
          <w:sz w:val="18"/>
          <w:szCs w:val="18"/>
        </w:rPr>
        <w:tab/>
        <w:t xml:space="preserve">La svalutazione è data dalla perdita di valore degli investimenti (indiretti) di REI in due parchi eolici greci: sebbene questi parchi eolici funzionino secondo le aspettative, AET ha prudenzialmente svalutato l’intero investimento, a causa dei problemi finanziari tuttora correlati alle società greche proprietarie dei parchi. </w:t>
      </w:r>
    </w:p>
  </w:footnote>
  <w:footnote w:id="2">
    <w:p w:rsidR="005B6428" w:rsidRPr="002E3D8B" w:rsidRDefault="005B6428" w:rsidP="005B6428">
      <w:pPr>
        <w:pStyle w:val="Testonotaapidipagina"/>
        <w:tabs>
          <w:tab w:val="left" w:pos="284"/>
        </w:tabs>
        <w:ind w:left="284" w:hanging="284"/>
        <w:rPr>
          <w:sz w:val="18"/>
          <w:szCs w:val="18"/>
        </w:rPr>
      </w:pPr>
      <w:r w:rsidRPr="002E3D8B">
        <w:rPr>
          <w:rStyle w:val="Rimandonotaapidipagina"/>
          <w:sz w:val="18"/>
          <w:szCs w:val="18"/>
        </w:rPr>
        <w:footnoteRef/>
      </w:r>
      <w:r w:rsidRPr="002E3D8B">
        <w:rPr>
          <w:sz w:val="18"/>
          <w:szCs w:val="18"/>
        </w:rPr>
        <w:t xml:space="preserve"> </w:t>
      </w:r>
      <w:r w:rsidRPr="002E3D8B">
        <w:rPr>
          <w:sz w:val="18"/>
          <w:szCs w:val="18"/>
        </w:rPr>
        <w:tab/>
        <w:t xml:space="preserve">La diminuzione della produzione totale di energia è imputabile a 2 fattori: minore idraulicità (fattore non controllabile da AET) e soprattutto minor produzione di </w:t>
      </w:r>
      <w:proofErr w:type="spellStart"/>
      <w:r w:rsidRPr="002E3D8B">
        <w:rPr>
          <w:sz w:val="18"/>
          <w:szCs w:val="18"/>
        </w:rPr>
        <w:t>Lünen</w:t>
      </w:r>
      <w:proofErr w:type="spellEnd"/>
      <w:r w:rsidRPr="002E3D8B">
        <w:rPr>
          <w:sz w:val="18"/>
          <w:szCs w:val="18"/>
        </w:rPr>
        <w:t xml:space="preserve"> (fermo dell’impianto per revisione).</w:t>
      </w:r>
    </w:p>
  </w:footnote>
  <w:footnote w:id="3">
    <w:p w:rsidR="005B6428" w:rsidRPr="002E3D8B" w:rsidRDefault="005B6428" w:rsidP="005B6428">
      <w:pPr>
        <w:pStyle w:val="p1"/>
        <w:ind w:left="284" w:hanging="284"/>
        <w:jc w:val="both"/>
      </w:pPr>
      <w:r w:rsidRPr="002E3D8B">
        <w:rPr>
          <w:rStyle w:val="Rimandonotaapidipagina"/>
        </w:rPr>
        <w:footnoteRef/>
      </w:r>
      <w:r w:rsidRPr="002E3D8B">
        <w:rPr>
          <w:rFonts w:ascii="Arial" w:hAnsi="Arial"/>
        </w:rPr>
        <w:t xml:space="preserve"> </w:t>
      </w:r>
      <w:r w:rsidRPr="002E3D8B">
        <w:rPr>
          <w:rFonts w:ascii="Arial" w:hAnsi="Arial"/>
        </w:rPr>
        <w:tab/>
      </w:r>
      <w:r w:rsidRPr="002E3D8B">
        <w:rPr>
          <w:rStyle w:val="s1"/>
          <w:rFonts w:ascii="Arial" w:hAnsi="Arial"/>
        </w:rPr>
        <w:t>La rimunerazione a copertura dei costi per l'immissione in rete di energia elettrica (RIC) è uno strumento della Confederazione avente lo scopo di promuovere la produzione di elettricità da fonti rinnovabili. La RIC copre la differenza fra il costo di produzione e il prezzo di mercato e garantisce a produttori di elettricità da fonti rinnovabili un introito corrispondente al costo di produzione. La RIC si applica alle seguenti tecnologie: forza idrica (fino a 10 megawatt MW), energia solare (dai 10 kW), energia eolica, geotermia, energia da biomassa e da scorie di biomassa. Il fondo con cui viene finanziata la RIC è alimentato da tutti i consumatori di energia elettrica, attraverso una tassa su ogni chilowattora consumato</w:t>
      </w:r>
      <w:r w:rsidRPr="002E3D8B">
        <w:rPr>
          <w:rStyle w:val="s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3D8B"/>
    <w:rsid w:val="002E5E40"/>
    <w:rsid w:val="003444D3"/>
    <w:rsid w:val="0052425A"/>
    <w:rsid w:val="00586A8D"/>
    <w:rsid w:val="005B6428"/>
    <w:rsid w:val="006600DA"/>
    <w:rsid w:val="006D7A3B"/>
    <w:rsid w:val="007B5462"/>
    <w:rsid w:val="008034BD"/>
    <w:rsid w:val="00876352"/>
    <w:rsid w:val="008B4137"/>
    <w:rsid w:val="008C4D28"/>
    <w:rsid w:val="008C767A"/>
    <w:rsid w:val="008E77C6"/>
    <w:rsid w:val="009770BB"/>
    <w:rsid w:val="009E008D"/>
    <w:rsid w:val="00A5465F"/>
    <w:rsid w:val="00A77678"/>
    <w:rsid w:val="00BC4C95"/>
    <w:rsid w:val="00BD5944"/>
    <w:rsid w:val="00CF6858"/>
    <w:rsid w:val="00D253D3"/>
    <w:rsid w:val="00D377B5"/>
    <w:rsid w:val="00D93B31"/>
    <w:rsid w:val="00F242E5"/>
    <w:rsid w:val="00F56105"/>
    <w:rsid w:val="00FC25D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E3D8B"/>
    <w:pPr>
      <w:keepNext/>
      <w:tabs>
        <w:tab w:val="left" w:pos="567"/>
      </w:tabs>
      <w:spacing w:after="120"/>
      <w:outlineLvl w:val="1"/>
    </w:pPr>
    <w:rPr>
      <w:b/>
      <w:u w:val="single"/>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2E3D8B"/>
    <w:rPr>
      <w:rFonts w:ascii="Arial" w:hAnsi="Arial"/>
      <w:b/>
      <w:sz w:val="24"/>
      <w:u w:val="single"/>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5B6428"/>
    <w:rPr>
      <w:rFonts w:ascii="Times New Roman" w:hAnsi="Times New Roman" w:cs="Times New Roman" w:hint="default"/>
      <w:color w:val="0000FF"/>
      <w:u w:val="single"/>
    </w:rPr>
  </w:style>
  <w:style w:type="paragraph" w:styleId="NormaleWeb">
    <w:name w:val="Normal (Web)"/>
    <w:basedOn w:val="Normale"/>
    <w:uiPriority w:val="99"/>
    <w:unhideWhenUsed/>
    <w:rsid w:val="005B6428"/>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notaapidipagina">
    <w:name w:val="footnote text"/>
    <w:basedOn w:val="Normale"/>
    <w:link w:val="TestonotaapidipaginaCarattere"/>
    <w:unhideWhenUsed/>
    <w:rsid w:val="005B6428"/>
    <w:rPr>
      <w:rFonts w:eastAsia="Times New Roman" w:cs="Times New Roman"/>
      <w:szCs w:val="24"/>
      <w:lang w:val="it-IT" w:eastAsia="it-IT"/>
    </w:rPr>
  </w:style>
  <w:style w:type="character" w:customStyle="1" w:styleId="TestonotaapidipaginaCarattere">
    <w:name w:val="Testo nota a piè di pagina Carattere"/>
    <w:basedOn w:val="Carpredefinitoparagrafo"/>
    <w:link w:val="Testonotaapidipagina"/>
    <w:rsid w:val="005B6428"/>
    <w:rPr>
      <w:rFonts w:ascii="Arial" w:eastAsia="Times New Roman" w:hAnsi="Arial" w:cs="Times New Roman"/>
      <w:sz w:val="24"/>
      <w:szCs w:val="24"/>
      <w:lang w:val="it-IT" w:eastAsia="it-IT"/>
    </w:rPr>
  </w:style>
  <w:style w:type="character" w:styleId="Rimandonotaapidipagina">
    <w:name w:val="footnote reference"/>
    <w:basedOn w:val="Carpredefinitoparagrafo"/>
    <w:unhideWhenUsed/>
    <w:rsid w:val="005B6428"/>
    <w:rPr>
      <w:vertAlign w:val="superscript"/>
    </w:rPr>
  </w:style>
  <w:style w:type="paragraph" w:customStyle="1" w:styleId="p1">
    <w:name w:val="p1"/>
    <w:basedOn w:val="Normale"/>
    <w:rsid w:val="005B6428"/>
    <w:pPr>
      <w:jc w:val="left"/>
    </w:pPr>
    <w:rPr>
      <w:rFonts w:ascii="Helvetica" w:eastAsia="Times New Roman" w:hAnsi="Helvetica" w:cs="Times New Roman"/>
      <w:sz w:val="18"/>
      <w:szCs w:val="18"/>
      <w:lang w:val="it-IT" w:eastAsia="it-IT"/>
    </w:rPr>
  </w:style>
  <w:style w:type="character" w:customStyle="1" w:styleId="s1">
    <w:name w:val="s1"/>
    <w:basedOn w:val="Carpredefinitoparagrafo"/>
    <w:rsid w:val="005B6428"/>
  </w:style>
  <w:style w:type="paragraph" w:styleId="Testofumetto">
    <w:name w:val="Balloon Text"/>
    <w:basedOn w:val="Normale"/>
    <w:link w:val="TestofumettoCarattere"/>
    <w:uiPriority w:val="99"/>
    <w:semiHidden/>
    <w:unhideWhenUsed/>
    <w:rsid w:val="002E3D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E3D8B"/>
    <w:pPr>
      <w:keepNext/>
      <w:tabs>
        <w:tab w:val="left" w:pos="567"/>
      </w:tabs>
      <w:spacing w:after="120"/>
      <w:outlineLvl w:val="1"/>
    </w:pPr>
    <w:rPr>
      <w:b/>
      <w:u w:val="single"/>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2E3D8B"/>
    <w:rPr>
      <w:rFonts w:ascii="Arial" w:hAnsi="Arial"/>
      <w:b/>
      <w:sz w:val="24"/>
      <w:u w:val="single"/>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unhideWhenUsed/>
    <w:rsid w:val="005B6428"/>
    <w:rPr>
      <w:rFonts w:ascii="Times New Roman" w:hAnsi="Times New Roman" w:cs="Times New Roman" w:hint="default"/>
      <w:color w:val="0000FF"/>
      <w:u w:val="single"/>
    </w:rPr>
  </w:style>
  <w:style w:type="paragraph" w:styleId="NormaleWeb">
    <w:name w:val="Normal (Web)"/>
    <w:basedOn w:val="Normale"/>
    <w:uiPriority w:val="99"/>
    <w:unhideWhenUsed/>
    <w:rsid w:val="005B6428"/>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notaapidipagina">
    <w:name w:val="footnote text"/>
    <w:basedOn w:val="Normale"/>
    <w:link w:val="TestonotaapidipaginaCarattere"/>
    <w:unhideWhenUsed/>
    <w:rsid w:val="005B6428"/>
    <w:rPr>
      <w:rFonts w:eastAsia="Times New Roman" w:cs="Times New Roman"/>
      <w:szCs w:val="24"/>
      <w:lang w:val="it-IT" w:eastAsia="it-IT"/>
    </w:rPr>
  </w:style>
  <w:style w:type="character" w:customStyle="1" w:styleId="TestonotaapidipaginaCarattere">
    <w:name w:val="Testo nota a piè di pagina Carattere"/>
    <w:basedOn w:val="Carpredefinitoparagrafo"/>
    <w:link w:val="Testonotaapidipagina"/>
    <w:rsid w:val="005B6428"/>
    <w:rPr>
      <w:rFonts w:ascii="Arial" w:eastAsia="Times New Roman" w:hAnsi="Arial" w:cs="Times New Roman"/>
      <w:sz w:val="24"/>
      <w:szCs w:val="24"/>
      <w:lang w:val="it-IT" w:eastAsia="it-IT"/>
    </w:rPr>
  </w:style>
  <w:style w:type="character" w:styleId="Rimandonotaapidipagina">
    <w:name w:val="footnote reference"/>
    <w:basedOn w:val="Carpredefinitoparagrafo"/>
    <w:unhideWhenUsed/>
    <w:rsid w:val="005B6428"/>
    <w:rPr>
      <w:vertAlign w:val="superscript"/>
    </w:rPr>
  </w:style>
  <w:style w:type="paragraph" w:customStyle="1" w:styleId="p1">
    <w:name w:val="p1"/>
    <w:basedOn w:val="Normale"/>
    <w:rsid w:val="005B6428"/>
    <w:pPr>
      <w:jc w:val="left"/>
    </w:pPr>
    <w:rPr>
      <w:rFonts w:ascii="Helvetica" w:eastAsia="Times New Roman" w:hAnsi="Helvetica" w:cs="Times New Roman"/>
      <w:sz w:val="18"/>
      <w:szCs w:val="18"/>
      <w:lang w:val="it-IT" w:eastAsia="it-IT"/>
    </w:rPr>
  </w:style>
  <w:style w:type="character" w:customStyle="1" w:styleId="s1">
    <w:name w:val="s1"/>
    <w:basedOn w:val="Carpredefinitoparagrafo"/>
    <w:rsid w:val="005B6428"/>
  </w:style>
  <w:style w:type="paragraph" w:styleId="Testofumetto">
    <w:name w:val="Balloon Text"/>
    <w:basedOn w:val="Normale"/>
    <w:link w:val="TestofumettoCarattere"/>
    <w:uiPriority w:val="99"/>
    <w:semiHidden/>
    <w:unhideWhenUsed/>
    <w:rsid w:val="002E3D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0963-347C-4DB0-AD7D-D1755671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2477</Words>
  <Characters>14125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2017-01-13T08:56:00Z</cp:lastPrinted>
  <dcterms:created xsi:type="dcterms:W3CDTF">2017-01-10T17:04:00Z</dcterms:created>
  <dcterms:modified xsi:type="dcterms:W3CDTF">2017-01-13T08:59:00Z</dcterms:modified>
</cp:coreProperties>
</file>