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57" w:rsidRPr="009450E5" w:rsidRDefault="00E40857" w:rsidP="00E40857">
      <w:pPr>
        <w:rPr>
          <w:rFonts w:ascii="Gill Sans MT" w:hAnsi="Gill Sans MT"/>
          <w:b/>
          <w:sz w:val="52"/>
          <w:szCs w:val="52"/>
        </w:rPr>
      </w:pPr>
      <w:r w:rsidRPr="009450E5">
        <w:rPr>
          <w:rFonts w:ascii="Gill Sans MT" w:hAnsi="Gill Sans MT" w:cs="Arial"/>
          <w:b/>
          <w:sz w:val="52"/>
          <w:szCs w:val="52"/>
        </w:rPr>
        <w:t>Rapporto</w:t>
      </w:r>
    </w:p>
    <w:p w:rsidR="008B4137" w:rsidRDefault="008B4137">
      <w:pPr>
        <w:rPr>
          <w:rFonts w:cs="Arial"/>
          <w:szCs w:val="24"/>
        </w:rPr>
      </w:pPr>
      <w:bookmarkStart w:id="0" w:name="_GoBack"/>
      <w:bookmarkEnd w:id="0"/>
    </w:p>
    <w:p w:rsidR="00076E70" w:rsidRDefault="00076E70">
      <w:pPr>
        <w:rPr>
          <w:rFonts w:cs="Arial"/>
          <w:szCs w:val="24"/>
        </w:rPr>
      </w:pPr>
    </w:p>
    <w:p w:rsidR="0050059F" w:rsidRPr="009F4195" w:rsidRDefault="0050059F" w:rsidP="0050059F">
      <w:pPr>
        <w:tabs>
          <w:tab w:val="left" w:pos="1985"/>
          <w:tab w:val="left" w:pos="4962"/>
        </w:tabs>
        <w:ind w:right="-1"/>
        <w:rPr>
          <w:sz w:val="32"/>
          <w:szCs w:val="32"/>
        </w:rPr>
      </w:pPr>
      <w:r>
        <w:rPr>
          <w:b/>
          <w:sz w:val="32"/>
          <w:szCs w:val="32"/>
        </w:rPr>
        <w:t xml:space="preserve">7299 </w:t>
      </w:r>
      <w:r w:rsidRPr="00271DE5">
        <w:rPr>
          <w:b/>
          <w:sz w:val="32"/>
          <w:szCs w:val="32"/>
        </w:rPr>
        <w:t>R</w:t>
      </w:r>
      <w:r>
        <w:rPr>
          <w:b/>
          <w:sz w:val="32"/>
          <w:szCs w:val="32"/>
        </w:rPr>
        <w:tab/>
      </w:r>
      <w:r>
        <w:rPr>
          <w:sz w:val="28"/>
          <w:szCs w:val="28"/>
        </w:rPr>
        <w:t>30 agosto 2017</w:t>
      </w:r>
      <w:r w:rsidRPr="00ED0FFE">
        <w:rPr>
          <w:sz w:val="32"/>
          <w:szCs w:val="32"/>
        </w:rPr>
        <w:tab/>
      </w:r>
      <w:r w:rsidRPr="0050059F">
        <w:rPr>
          <w:rFonts w:ascii="Arial Grassetto" w:hAnsi="Arial Grassetto"/>
          <w:caps/>
          <w:sz w:val="28"/>
          <w:szCs w:val="28"/>
        </w:rPr>
        <w:t>istituzioni</w:t>
      </w:r>
    </w:p>
    <w:p w:rsidR="0050059F" w:rsidRPr="00495582" w:rsidRDefault="0050059F" w:rsidP="0050059F">
      <w:pPr>
        <w:ind w:right="-1"/>
      </w:pPr>
    </w:p>
    <w:p w:rsidR="0050059F" w:rsidRPr="00495582" w:rsidRDefault="0050059F" w:rsidP="0050059F">
      <w:pPr>
        <w:ind w:right="-1"/>
      </w:pPr>
    </w:p>
    <w:p w:rsidR="0050059F" w:rsidRPr="00495582" w:rsidRDefault="0050059F" w:rsidP="0050059F">
      <w:pPr>
        <w:ind w:right="-1"/>
      </w:pPr>
    </w:p>
    <w:p w:rsidR="0050059F" w:rsidRPr="003F1B6C" w:rsidRDefault="0050059F" w:rsidP="0050059F">
      <w:pPr>
        <w:rPr>
          <w:b/>
          <w:snapToGrid w:val="0"/>
          <w:sz w:val="28"/>
          <w:szCs w:val="28"/>
        </w:rPr>
      </w:pPr>
      <w:r w:rsidRPr="003F1B6C">
        <w:rPr>
          <w:b/>
          <w:snapToGrid w:val="0"/>
          <w:sz w:val="28"/>
          <w:szCs w:val="28"/>
        </w:rPr>
        <w:t>della Commissione della legislazione</w:t>
      </w:r>
    </w:p>
    <w:p w:rsidR="0050059F" w:rsidRPr="00911828" w:rsidRDefault="0050059F" w:rsidP="0050059F">
      <w:pPr>
        <w:rPr>
          <w:b/>
          <w:i/>
          <w:sz w:val="28"/>
          <w:szCs w:val="28"/>
        </w:rPr>
      </w:pPr>
      <w:bookmarkStart w:id="1" w:name="_Toc151192545"/>
      <w:bookmarkStart w:id="2" w:name="_Toc151192911"/>
      <w:r w:rsidRPr="003B08FC">
        <w:rPr>
          <w:b/>
          <w:sz w:val="28"/>
          <w:szCs w:val="28"/>
        </w:rPr>
        <w:t>su</w:t>
      </w:r>
      <w:r>
        <w:rPr>
          <w:b/>
          <w:sz w:val="28"/>
          <w:szCs w:val="28"/>
        </w:rPr>
        <w:t xml:space="preserve">l messaggio 28 marzo 2017 riguardante la modifica </w:t>
      </w:r>
      <w:r w:rsidRPr="002C2DC9">
        <w:rPr>
          <w:b/>
          <w:sz w:val="28"/>
          <w:szCs w:val="28"/>
        </w:rPr>
        <w:t>della Legge sulla polizia del 12 dicembre 1989 concernente l</w:t>
      </w:r>
      <w:r>
        <w:rPr>
          <w:b/>
          <w:sz w:val="28"/>
          <w:szCs w:val="28"/>
        </w:rPr>
        <w:t>'</w:t>
      </w:r>
      <w:r w:rsidRPr="002C2DC9">
        <w:rPr>
          <w:b/>
          <w:sz w:val="28"/>
          <w:szCs w:val="28"/>
        </w:rPr>
        <w:t>allontanamento e il divieto di rientro in ambito di violenza domestica di cui all</w:t>
      </w:r>
      <w:r>
        <w:rPr>
          <w:b/>
          <w:sz w:val="28"/>
          <w:szCs w:val="28"/>
        </w:rPr>
        <w:t>'</w:t>
      </w:r>
      <w:r w:rsidRPr="002C2DC9">
        <w:rPr>
          <w:b/>
          <w:sz w:val="28"/>
          <w:szCs w:val="28"/>
        </w:rPr>
        <w:t>art.9a</w:t>
      </w:r>
    </w:p>
    <w:p w:rsidR="0050059F" w:rsidRDefault="0050059F" w:rsidP="0050059F">
      <w:pPr>
        <w:tabs>
          <w:tab w:val="left" w:pos="1985"/>
          <w:tab w:val="left" w:pos="4933"/>
        </w:tabs>
        <w:rPr>
          <w:rFonts w:cs="Arial"/>
        </w:rPr>
      </w:pPr>
    </w:p>
    <w:p w:rsidR="0050059F" w:rsidRPr="004D78B1" w:rsidRDefault="0050059F" w:rsidP="0050059F">
      <w:pPr>
        <w:tabs>
          <w:tab w:val="left" w:pos="1985"/>
          <w:tab w:val="left" w:pos="4933"/>
        </w:tabs>
        <w:rPr>
          <w:rFonts w:cs="Arial"/>
        </w:rPr>
      </w:pPr>
    </w:p>
    <w:p w:rsidR="0050059F" w:rsidRDefault="0050059F" w:rsidP="0050059F">
      <w:pPr>
        <w:tabs>
          <w:tab w:val="left" w:pos="1985"/>
          <w:tab w:val="left" w:pos="4933"/>
        </w:tabs>
        <w:rPr>
          <w:rFonts w:cs="Arial"/>
        </w:rPr>
      </w:pPr>
    </w:p>
    <w:bookmarkEnd w:id="1"/>
    <w:bookmarkEnd w:id="2"/>
    <w:p w:rsidR="0050059F" w:rsidRPr="00665149" w:rsidRDefault="0050059F" w:rsidP="0050059F">
      <w:pPr>
        <w:tabs>
          <w:tab w:val="left" w:pos="426"/>
        </w:tabs>
        <w:spacing w:after="160"/>
        <w:ind w:right="-1"/>
        <w:rPr>
          <w:rFonts w:ascii="Arial Grassetto" w:eastAsia="MS Mincho" w:hAnsi="Arial Grassetto" w:cs="Arial" w:hint="eastAsia"/>
          <w:b/>
          <w:caps/>
        </w:rPr>
      </w:pPr>
      <w:r w:rsidRPr="00665149">
        <w:rPr>
          <w:rFonts w:ascii="Arial Grassetto" w:eastAsia="MS Mincho" w:hAnsi="Arial Grassetto" w:cs="Arial"/>
          <w:b/>
          <w:caps/>
        </w:rPr>
        <w:t>I.</w:t>
      </w:r>
      <w:r w:rsidRPr="00665149">
        <w:rPr>
          <w:rFonts w:ascii="Arial Grassetto" w:eastAsia="MS Mincho" w:hAnsi="Arial Grassetto" w:cs="Arial"/>
          <w:b/>
          <w:caps/>
        </w:rPr>
        <w:tab/>
      </w:r>
      <w:r>
        <w:rPr>
          <w:rFonts w:ascii="Arial Grassetto" w:eastAsia="MS Mincho" w:hAnsi="Arial Grassetto" w:cs="Arial"/>
          <w:b/>
          <w:caps/>
        </w:rPr>
        <w:t>introduzione</w:t>
      </w:r>
    </w:p>
    <w:p w:rsidR="0050059F" w:rsidRPr="002C2DC9" w:rsidRDefault="0050059F" w:rsidP="0050059F">
      <w:pPr>
        <w:tabs>
          <w:tab w:val="left" w:pos="1985"/>
          <w:tab w:val="left" w:pos="4933"/>
        </w:tabs>
        <w:ind w:right="-1"/>
        <w:rPr>
          <w:rFonts w:cs="Arial"/>
        </w:rPr>
      </w:pPr>
      <w:r w:rsidRPr="002C2DC9">
        <w:rPr>
          <w:rFonts w:cs="Arial"/>
        </w:rPr>
        <w:t xml:space="preserve">Questo Messaggio è in stretta relazione con il </w:t>
      </w:r>
      <w:r>
        <w:rPr>
          <w:rFonts w:cs="Arial"/>
        </w:rPr>
        <w:t>n.</w:t>
      </w:r>
      <w:r w:rsidRPr="002C2DC9">
        <w:rPr>
          <w:rFonts w:cs="Arial"/>
        </w:rPr>
        <w:t xml:space="preserve"> 6827 del 9 luglio 2013 </w:t>
      </w:r>
      <w:r w:rsidRPr="002C2DC9">
        <w:rPr>
          <w:rFonts w:cs="Arial"/>
          <w:i/>
        </w:rPr>
        <w:t xml:space="preserve">Rapporto del Consiglio di Stato sulle mozioni 29 novembre 2010 presentata da Pelin Kandemir Bordoli e cofirmatarie </w:t>
      </w:r>
      <w:r>
        <w:rPr>
          <w:rFonts w:cs="Arial"/>
          <w:i/>
        </w:rPr>
        <w:t>"</w:t>
      </w:r>
      <w:r w:rsidRPr="002C2DC9">
        <w:rPr>
          <w:rFonts w:cs="Arial"/>
          <w:i/>
        </w:rPr>
        <w:t>Consulenze e programmi in Ticino per autori e autrici di violenza domestica</w:t>
      </w:r>
      <w:r>
        <w:rPr>
          <w:rFonts w:cs="Arial"/>
          <w:i/>
        </w:rPr>
        <w:t>"</w:t>
      </w:r>
      <w:r w:rsidRPr="002C2DC9">
        <w:rPr>
          <w:rFonts w:cs="Arial"/>
          <w:i/>
        </w:rPr>
        <w:t xml:space="preserve"> e 27 giugno 2012 presentata da Michela Delcò Petralli per il Gruppo dei Verdi </w:t>
      </w:r>
      <w:r>
        <w:rPr>
          <w:rFonts w:cs="Arial"/>
          <w:i/>
        </w:rPr>
        <w:t>"</w:t>
      </w:r>
      <w:r w:rsidRPr="002C2DC9">
        <w:rPr>
          <w:rFonts w:cs="Arial"/>
          <w:i/>
        </w:rPr>
        <w:t>Procedura in ambito di violenza domestica</w:t>
      </w:r>
      <w:r>
        <w:rPr>
          <w:rFonts w:cs="Arial"/>
          <w:i/>
        </w:rPr>
        <w:t>"</w:t>
      </w:r>
      <w:r>
        <w:rPr>
          <w:rFonts w:cs="Arial"/>
        </w:rPr>
        <w:t>, t</w:t>
      </w:r>
      <w:r w:rsidRPr="002C2DC9">
        <w:rPr>
          <w:rFonts w:cs="Arial"/>
        </w:rPr>
        <w:t xml:space="preserve">ema sul quale il nostro Parlamento si </w:t>
      </w:r>
      <w:r>
        <w:rPr>
          <w:rFonts w:cs="Arial"/>
        </w:rPr>
        <w:t xml:space="preserve">è pronunciato il </w:t>
      </w:r>
      <w:r w:rsidR="00492051">
        <w:rPr>
          <w:rFonts w:cs="Arial"/>
        </w:rPr>
        <w:br/>
      </w:r>
      <w:r>
        <w:rPr>
          <w:rFonts w:cs="Arial"/>
        </w:rPr>
        <w:t>14 aprile 2014</w:t>
      </w:r>
      <w:r w:rsidRPr="002C2DC9">
        <w:rPr>
          <w:rFonts w:cs="Arial"/>
        </w:rPr>
        <w:t xml:space="preserve"> accogliendo all</w:t>
      </w:r>
      <w:r>
        <w:rPr>
          <w:rFonts w:cs="Arial"/>
        </w:rPr>
        <w:t>'</w:t>
      </w:r>
      <w:r w:rsidRPr="002C2DC9">
        <w:rPr>
          <w:rFonts w:cs="Arial"/>
        </w:rPr>
        <w:t>unanimità dei 63 voti espressi le conclusioni del rapporto della Commissione della legislazione, con il quale si proponeva di accogliere integralmente la mozione della collega Kandemir Bordoli e parzialmente quella</w:t>
      </w:r>
      <w:r>
        <w:rPr>
          <w:rFonts w:cs="Arial"/>
        </w:rPr>
        <w:t xml:space="preserve"> della collega Delcò Petralli (</w:t>
      </w:r>
      <w:r w:rsidRPr="002C2DC9">
        <w:rPr>
          <w:rFonts w:cs="Arial"/>
        </w:rPr>
        <w:t>in parte oggetto del messaggio odierno).</w:t>
      </w:r>
    </w:p>
    <w:p w:rsidR="0050059F" w:rsidRPr="002C2DC9" w:rsidRDefault="0050059F" w:rsidP="0050059F">
      <w:pPr>
        <w:tabs>
          <w:tab w:val="left" w:pos="1985"/>
          <w:tab w:val="left" w:pos="4933"/>
        </w:tabs>
        <w:ind w:right="-1"/>
        <w:rPr>
          <w:rFonts w:cs="Arial"/>
        </w:rPr>
      </w:pPr>
    </w:p>
    <w:p w:rsidR="0050059F" w:rsidRDefault="0050059F" w:rsidP="0050059F">
      <w:pPr>
        <w:tabs>
          <w:tab w:val="left" w:pos="1985"/>
          <w:tab w:val="left" w:pos="4933"/>
        </w:tabs>
        <w:ind w:right="-1"/>
        <w:rPr>
          <w:rFonts w:cs="Arial"/>
        </w:rPr>
      </w:pPr>
      <w:r w:rsidRPr="002C2DC9">
        <w:rPr>
          <w:rFonts w:cs="Arial"/>
        </w:rPr>
        <w:t xml:space="preserve">Ciò che oggi </w:t>
      </w:r>
      <w:r>
        <w:rPr>
          <w:rFonts w:cs="Arial"/>
        </w:rPr>
        <w:t>è</w:t>
      </w:r>
      <w:r w:rsidRPr="002C2DC9">
        <w:rPr>
          <w:rFonts w:cs="Arial"/>
        </w:rPr>
        <w:t xml:space="preserve"> sottoposto alla nostra attenzione rappresenta dal punto di vista del diritto un passo ulteriore rispetto a quanto messo in atto per consentire alle forze dell</w:t>
      </w:r>
      <w:r>
        <w:rPr>
          <w:rFonts w:cs="Arial"/>
        </w:rPr>
        <w:t>'</w:t>
      </w:r>
      <w:r w:rsidRPr="002C2DC9">
        <w:rPr>
          <w:rFonts w:cs="Arial"/>
        </w:rPr>
        <w:t>ordine di procedere con l</w:t>
      </w:r>
      <w:r>
        <w:rPr>
          <w:rFonts w:cs="Arial"/>
        </w:rPr>
        <w:t>'</w:t>
      </w:r>
      <w:r w:rsidRPr="002C2DC9">
        <w:rPr>
          <w:rFonts w:cs="Arial"/>
        </w:rPr>
        <w:t>allontanamento di un autore di violenza domestica e ai servizi cantonali di proporre soluzioni di contenimento efficaci.</w:t>
      </w:r>
    </w:p>
    <w:p w:rsidR="0050059F" w:rsidRPr="002C2DC9" w:rsidRDefault="0050059F" w:rsidP="0050059F">
      <w:pPr>
        <w:tabs>
          <w:tab w:val="left" w:pos="1985"/>
          <w:tab w:val="left" w:pos="4933"/>
        </w:tabs>
        <w:ind w:right="-1"/>
        <w:rPr>
          <w:rFonts w:cs="Arial"/>
        </w:rPr>
      </w:pPr>
    </w:p>
    <w:p w:rsidR="0050059F" w:rsidRDefault="0050059F" w:rsidP="0050059F">
      <w:pPr>
        <w:tabs>
          <w:tab w:val="left" w:pos="1985"/>
          <w:tab w:val="left" w:pos="4933"/>
        </w:tabs>
        <w:ind w:right="-1"/>
        <w:rPr>
          <w:rFonts w:cs="Arial"/>
        </w:rPr>
      </w:pPr>
      <w:r w:rsidRPr="002C2DC9">
        <w:rPr>
          <w:rFonts w:cs="Arial"/>
        </w:rPr>
        <w:t>Si tratta di puntuali correzioni e riformulazioni dell</w:t>
      </w:r>
      <w:r>
        <w:rPr>
          <w:rFonts w:cs="Arial"/>
        </w:rPr>
        <w:t>'</w:t>
      </w:r>
      <w:r w:rsidRPr="002C2DC9">
        <w:rPr>
          <w:rFonts w:cs="Arial"/>
        </w:rPr>
        <w:t>art. 9a della Legge sulla polizia, concernenti il cpv.1</w:t>
      </w:r>
      <w:r>
        <w:rPr>
          <w:rFonts w:cs="Arial"/>
        </w:rPr>
        <w:t xml:space="preserve"> </w:t>
      </w:r>
      <w:r w:rsidRPr="002C2DC9">
        <w:rPr>
          <w:rFonts w:cs="Arial"/>
        </w:rPr>
        <w:t>(il termine</w:t>
      </w:r>
      <w:r>
        <w:rPr>
          <w:rFonts w:cs="Arial"/>
        </w:rPr>
        <w:t xml:space="preserve"> "</w:t>
      </w:r>
      <w:r w:rsidRPr="002C2DC9">
        <w:rPr>
          <w:rFonts w:cs="Arial"/>
        </w:rPr>
        <w:t>suo domicilio</w:t>
      </w:r>
      <w:r>
        <w:rPr>
          <w:rFonts w:cs="Arial"/>
        </w:rPr>
        <w:t>"</w:t>
      </w:r>
      <w:r w:rsidRPr="002C2DC9">
        <w:rPr>
          <w:rFonts w:cs="Arial"/>
        </w:rPr>
        <w:t xml:space="preserve"> sostituito dal </w:t>
      </w:r>
      <w:proofErr w:type="spellStart"/>
      <w:r w:rsidRPr="002C2DC9">
        <w:rPr>
          <w:rFonts w:cs="Arial"/>
        </w:rPr>
        <w:t>pi</w:t>
      </w:r>
      <w:r>
        <w:rPr>
          <w:rFonts w:cs="Arial"/>
        </w:rPr>
        <w:t>ú</w:t>
      </w:r>
      <w:proofErr w:type="spellEnd"/>
      <w:r w:rsidRPr="002C2DC9">
        <w:rPr>
          <w:rFonts w:cs="Arial"/>
        </w:rPr>
        <w:t xml:space="preserve"> appropriato </w:t>
      </w:r>
      <w:r>
        <w:rPr>
          <w:rFonts w:cs="Arial"/>
        </w:rPr>
        <w:t>"</w:t>
      </w:r>
      <w:r w:rsidRPr="002C2DC9">
        <w:rPr>
          <w:rFonts w:cs="Arial"/>
        </w:rPr>
        <w:t>abitazione comune</w:t>
      </w:r>
      <w:r>
        <w:rPr>
          <w:rFonts w:cs="Arial"/>
        </w:rPr>
        <w:t>"</w:t>
      </w:r>
      <w:r w:rsidRPr="002C2DC9">
        <w:rPr>
          <w:rFonts w:cs="Arial"/>
        </w:rPr>
        <w:t>) e il cpv. 5 (modalità circa la decisione di allontanamento)</w:t>
      </w:r>
      <w:r>
        <w:rPr>
          <w:rFonts w:cs="Arial"/>
        </w:rPr>
        <w:t>,</w:t>
      </w:r>
      <w:r w:rsidRPr="002C2DC9">
        <w:rPr>
          <w:rFonts w:cs="Arial"/>
        </w:rPr>
        <w:t xml:space="preserve"> dell</w:t>
      </w:r>
      <w:r>
        <w:rPr>
          <w:rFonts w:cs="Arial"/>
        </w:rPr>
        <w:t>'</w:t>
      </w:r>
      <w:r w:rsidRPr="002C2DC9">
        <w:rPr>
          <w:rFonts w:cs="Arial"/>
        </w:rPr>
        <w:t>introduzione di alcuni nuovi elementi, descritti nei cpv. 6 (base legale d</w:t>
      </w:r>
      <w:r>
        <w:rPr>
          <w:rFonts w:cs="Arial"/>
        </w:rPr>
        <w:t>'</w:t>
      </w:r>
      <w:r w:rsidRPr="002C2DC9">
        <w:rPr>
          <w:rFonts w:cs="Arial"/>
        </w:rPr>
        <w:t>intervento per l</w:t>
      </w:r>
      <w:r>
        <w:rPr>
          <w:rFonts w:cs="Arial"/>
        </w:rPr>
        <w:t>'</w:t>
      </w:r>
      <w:r w:rsidRPr="002C2DC9">
        <w:rPr>
          <w:rFonts w:cs="Arial"/>
        </w:rPr>
        <w:t>Ufficio di assistenza riabilitativa) e 7</w:t>
      </w:r>
      <w:r>
        <w:rPr>
          <w:rFonts w:cs="Arial"/>
        </w:rPr>
        <w:t xml:space="preserve"> (</w:t>
      </w:r>
      <w:r w:rsidRPr="002C2DC9">
        <w:rPr>
          <w:rFonts w:cs="Arial"/>
        </w:rPr>
        <w:t>coordinamento fra corpi di polizia).</w:t>
      </w:r>
    </w:p>
    <w:p w:rsidR="0050059F" w:rsidRPr="002C2DC9" w:rsidRDefault="0050059F" w:rsidP="0050059F">
      <w:pPr>
        <w:tabs>
          <w:tab w:val="left" w:pos="1985"/>
          <w:tab w:val="left" w:pos="4933"/>
        </w:tabs>
        <w:ind w:right="-1"/>
        <w:rPr>
          <w:rFonts w:cs="Arial"/>
        </w:rPr>
      </w:pPr>
    </w:p>
    <w:p w:rsidR="0050059F" w:rsidRDefault="0050059F" w:rsidP="0050059F">
      <w:pPr>
        <w:tabs>
          <w:tab w:val="left" w:pos="1985"/>
          <w:tab w:val="left" w:pos="4933"/>
        </w:tabs>
        <w:ind w:right="-1"/>
        <w:rPr>
          <w:rFonts w:cs="Arial"/>
        </w:rPr>
      </w:pPr>
      <w:r>
        <w:rPr>
          <w:rFonts w:cs="Arial"/>
        </w:rPr>
        <w:t>Sono m</w:t>
      </w:r>
      <w:r w:rsidRPr="002C2DC9">
        <w:rPr>
          <w:rFonts w:cs="Arial"/>
        </w:rPr>
        <w:t>isure impellenti, che, finché sarà il</w:t>
      </w:r>
      <w:r>
        <w:rPr>
          <w:rFonts w:cs="Arial"/>
        </w:rPr>
        <w:t xml:space="preserve"> caso</w:t>
      </w:r>
      <w:r w:rsidRPr="002C2DC9">
        <w:rPr>
          <w:rFonts w:cs="Arial"/>
        </w:rPr>
        <w:t>, dovranno far parte dell</w:t>
      </w:r>
      <w:r>
        <w:rPr>
          <w:rFonts w:cs="Arial"/>
        </w:rPr>
        <w:t>'</w:t>
      </w:r>
      <w:r w:rsidRPr="002C2DC9">
        <w:rPr>
          <w:rFonts w:cs="Arial"/>
        </w:rPr>
        <w:t>atteso progetto di revisione totale della Legge sulla polizia.</w:t>
      </w:r>
    </w:p>
    <w:p w:rsidR="0050059F" w:rsidRPr="002C2DC9" w:rsidRDefault="0050059F" w:rsidP="0050059F">
      <w:pPr>
        <w:tabs>
          <w:tab w:val="left" w:pos="1985"/>
          <w:tab w:val="left" w:pos="4933"/>
        </w:tabs>
        <w:ind w:right="-1"/>
        <w:rPr>
          <w:rFonts w:cs="Arial"/>
        </w:rPr>
      </w:pPr>
    </w:p>
    <w:p w:rsidR="0050059F" w:rsidRPr="002C2DC9" w:rsidRDefault="0050059F" w:rsidP="0050059F">
      <w:pPr>
        <w:tabs>
          <w:tab w:val="left" w:pos="1985"/>
          <w:tab w:val="left" w:pos="4933"/>
        </w:tabs>
        <w:ind w:right="-1"/>
        <w:rPr>
          <w:rFonts w:cs="Arial"/>
        </w:rPr>
      </w:pPr>
      <w:r>
        <w:rPr>
          <w:rFonts w:cs="Arial"/>
        </w:rPr>
        <w:t>E sono m</w:t>
      </w:r>
      <w:r w:rsidRPr="002C2DC9">
        <w:rPr>
          <w:rFonts w:cs="Arial"/>
        </w:rPr>
        <w:t xml:space="preserve">isure puntuali che, per taluni, in base al documento del 12 aprile 2011 </w:t>
      </w:r>
      <w:r w:rsidRPr="002C2DC9">
        <w:rPr>
          <w:rFonts w:cs="Arial"/>
          <w:i/>
        </w:rPr>
        <w:t xml:space="preserve">Convention </w:t>
      </w:r>
      <w:proofErr w:type="spellStart"/>
      <w:r w:rsidRPr="002C2DC9">
        <w:rPr>
          <w:rFonts w:cs="Arial"/>
          <w:i/>
        </w:rPr>
        <w:t>du</w:t>
      </w:r>
      <w:proofErr w:type="spellEnd"/>
      <w:r w:rsidRPr="002C2DC9">
        <w:rPr>
          <w:rFonts w:cs="Arial"/>
          <w:i/>
        </w:rPr>
        <w:t xml:space="preserve"> </w:t>
      </w:r>
      <w:proofErr w:type="spellStart"/>
      <w:r w:rsidRPr="002C2DC9">
        <w:rPr>
          <w:rFonts w:cs="Arial"/>
          <w:i/>
        </w:rPr>
        <w:t>Conseil</w:t>
      </w:r>
      <w:proofErr w:type="spellEnd"/>
      <w:r w:rsidRPr="002C2DC9">
        <w:rPr>
          <w:rFonts w:cs="Arial"/>
          <w:i/>
        </w:rPr>
        <w:t xml:space="preserve"> de l'Europe </w:t>
      </w:r>
      <w:proofErr w:type="spellStart"/>
      <w:r w:rsidRPr="002C2DC9">
        <w:rPr>
          <w:rFonts w:cs="Arial"/>
          <w:i/>
        </w:rPr>
        <w:t>sur</w:t>
      </w:r>
      <w:proofErr w:type="spellEnd"/>
      <w:r w:rsidRPr="002C2DC9">
        <w:rPr>
          <w:rFonts w:cs="Arial"/>
          <w:i/>
        </w:rPr>
        <w:t xml:space="preserve"> la </w:t>
      </w:r>
      <w:proofErr w:type="spellStart"/>
      <w:r w:rsidRPr="002C2DC9">
        <w:rPr>
          <w:rFonts w:cs="Arial"/>
          <w:i/>
        </w:rPr>
        <w:t>prévention</w:t>
      </w:r>
      <w:proofErr w:type="spellEnd"/>
      <w:r w:rsidRPr="002C2DC9">
        <w:rPr>
          <w:rFonts w:cs="Arial"/>
          <w:i/>
        </w:rPr>
        <w:t xml:space="preserve"> et la </w:t>
      </w:r>
      <w:proofErr w:type="spellStart"/>
      <w:r w:rsidRPr="002C2DC9">
        <w:rPr>
          <w:rFonts w:cs="Arial"/>
          <w:i/>
        </w:rPr>
        <w:t>lutte</w:t>
      </w:r>
      <w:proofErr w:type="spellEnd"/>
      <w:r w:rsidRPr="002C2DC9">
        <w:rPr>
          <w:rFonts w:cs="Arial"/>
          <w:i/>
        </w:rPr>
        <w:t xml:space="preserve"> </w:t>
      </w:r>
      <w:proofErr w:type="spellStart"/>
      <w:r w:rsidRPr="002C2DC9">
        <w:rPr>
          <w:rFonts w:cs="Arial"/>
          <w:i/>
        </w:rPr>
        <w:t>contre</w:t>
      </w:r>
      <w:proofErr w:type="spellEnd"/>
      <w:r w:rsidRPr="002C2DC9">
        <w:rPr>
          <w:rFonts w:cs="Arial"/>
          <w:i/>
        </w:rPr>
        <w:t xml:space="preserve"> la </w:t>
      </w:r>
      <w:proofErr w:type="spellStart"/>
      <w:r w:rsidRPr="002C2DC9">
        <w:rPr>
          <w:rFonts w:cs="Arial"/>
          <w:i/>
        </w:rPr>
        <w:t>violence</w:t>
      </w:r>
      <w:proofErr w:type="spellEnd"/>
      <w:r w:rsidRPr="002C2DC9">
        <w:rPr>
          <w:rFonts w:cs="Arial"/>
          <w:i/>
        </w:rPr>
        <w:t xml:space="preserve"> à l'</w:t>
      </w:r>
      <w:proofErr w:type="spellStart"/>
      <w:r w:rsidRPr="002C2DC9">
        <w:rPr>
          <w:rFonts w:cs="Arial"/>
          <w:i/>
        </w:rPr>
        <w:t>égard</w:t>
      </w:r>
      <w:proofErr w:type="spellEnd"/>
      <w:r w:rsidRPr="002C2DC9">
        <w:rPr>
          <w:rFonts w:cs="Arial"/>
          <w:i/>
        </w:rPr>
        <w:t xml:space="preserve"> </w:t>
      </w:r>
      <w:proofErr w:type="spellStart"/>
      <w:r w:rsidRPr="002C2DC9">
        <w:rPr>
          <w:rFonts w:cs="Arial"/>
          <w:i/>
        </w:rPr>
        <w:t>des</w:t>
      </w:r>
      <w:proofErr w:type="spellEnd"/>
      <w:r w:rsidRPr="002C2DC9">
        <w:rPr>
          <w:rFonts w:cs="Arial"/>
          <w:i/>
        </w:rPr>
        <w:t xml:space="preserve"> femmes et  la </w:t>
      </w:r>
      <w:proofErr w:type="spellStart"/>
      <w:r w:rsidRPr="002C2DC9">
        <w:rPr>
          <w:rFonts w:cs="Arial"/>
          <w:i/>
        </w:rPr>
        <w:t>violence</w:t>
      </w:r>
      <w:proofErr w:type="spellEnd"/>
      <w:r w:rsidRPr="002C2DC9">
        <w:rPr>
          <w:rFonts w:cs="Arial"/>
          <w:i/>
        </w:rPr>
        <w:t xml:space="preserve"> </w:t>
      </w:r>
      <w:proofErr w:type="spellStart"/>
      <w:r w:rsidRPr="002C2DC9">
        <w:rPr>
          <w:rFonts w:cs="Arial"/>
          <w:i/>
        </w:rPr>
        <w:t>domestique</w:t>
      </w:r>
      <w:proofErr w:type="spellEnd"/>
      <w:r w:rsidRPr="002C2DC9">
        <w:rPr>
          <w:rFonts w:cs="Arial"/>
        </w:rPr>
        <w:t>, potrebbero, anche e meglio, suggerire la proposta e formulazione di una specifica legge sul tema della violenza domestica</w:t>
      </w:r>
      <w:r>
        <w:rPr>
          <w:rFonts w:cs="Arial"/>
        </w:rPr>
        <w:t xml:space="preserve"> anch</w:t>
      </w:r>
      <w:r w:rsidRPr="002C2DC9">
        <w:rPr>
          <w:rFonts w:cs="Arial"/>
        </w:rPr>
        <w:t>e alle nostre latitudini.</w:t>
      </w:r>
    </w:p>
    <w:p w:rsidR="0050059F" w:rsidRDefault="0050059F" w:rsidP="0050059F">
      <w:pPr>
        <w:tabs>
          <w:tab w:val="left" w:pos="1985"/>
          <w:tab w:val="left" w:pos="4933"/>
        </w:tabs>
        <w:ind w:right="-1"/>
        <w:rPr>
          <w:rFonts w:cs="Arial"/>
        </w:rPr>
      </w:pPr>
    </w:p>
    <w:p w:rsidR="0050059F" w:rsidRPr="002C2DC9" w:rsidRDefault="0050059F" w:rsidP="0050059F">
      <w:pPr>
        <w:tabs>
          <w:tab w:val="left" w:pos="1985"/>
          <w:tab w:val="left" w:pos="4933"/>
        </w:tabs>
        <w:ind w:right="-1"/>
        <w:rPr>
          <w:rFonts w:cs="Arial"/>
        </w:rPr>
      </w:pPr>
    </w:p>
    <w:p w:rsidR="0050059F" w:rsidRDefault="0050059F">
      <w:pPr>
        <w:rPr>
          <w:rFonts w:ascii="Arial Grassetto" w:eastAsia="MS Mincho" w:hAnsi="Arial Grassetto" w:cs="Arial" w:hint="eastAsia"/>
          <w:b/>
          <w:caps/>
        </w:rPr>
      </w:pPr>
      <w:r>
        <w:rPr>
          <w:rFonts w:ascii="Arial Grassetto" w:eastAsia="MS Mincho" w:hAnsi="Arial Grassetto" w:cs="Arial" w:hint="eastAsia"/>
          <w:b/>
          <w:caps/>
        </w:rPr>
        <w:br w:type="page"/>
      </w:r>
    </w:p>
    <w:p w:rsidR="0050059F" w:rsidRPr="0011212D" w:rsidRDefault="0050059F" w:rsidP="0050059F">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lastRenderedPageBreak/>
        <w:t>II.</w:t>
      </w:r>
      <w:r>
        <w:rPr>
          <w:rFonts w:ascii="Arial Grassetto" w:eastAsia="MS Mincho" w:hAnsi="Arial Grassetto" w:cs="Arial"/>
          <w:b/>
          <w:caps/>
        </w:rPr>
        <w:tab/>
      </w:r>
      <w:r w:rsidRPr="0011212D">
        <w:rPr>
          <w:rFonts w:ascii="Arial Grassetto" w:eastAsia="MS Mincho" w:hAnsi="Arial Grassetto" w:cs="Arial"/>
          <w:b/>
          <w:caps/>
        </w:rPr>
        <w:t>Violenza domestica: specchio e bruciante realtà anche della nostra società</w:t>
      </w:r>
    </w:p>
    <w:p w:rsidR="0050059F" w:rsidRDefault="0050059F" w:rsidP="0050059F">
      <w:pPr>
        <w:tabs>
          <w:tab w:val="left" w:pos="1985"/>
          <w:tab w:val="left" w:pos="4933"/>
        </w:tabs>
        <w:ind w:right="-1"/>
        <w:rPr>
          <w:rFonts w:cs="Arial"/>
        </w:rPr>
      </w:pPr>
      <w:r w:rsidRPr="002C2DC9">
        <w:rPr>
          <w:rFonts w:cs="Arial"/>
        </w:rPr>
        <w:t>Mantiene purtroppo tutta la sua validità la nostra riflessione già espressa nel rapporto presentato tre anni or sono.</w:t>
      </w:r>
    </w:p>
    <w:p w:rsidR="0050059F" w:rsidRPr="002C2DC9" w:rsidRDefault="0050059F" w:rsidP="0050059F">
      <w:pPr>
        <w:tabs>
          <w:tab w:val="left" w:pos="1985"/>
          <w:tab w:val="left" w:pos="4933"/>
        </w:tabs>
        <w:ind w:right="-1"/>
        <w:rPr>
          <w:rFonts w:cs="Arial"/>
        </w:rPr>
      </w:pPr>
    </w:p>
    <w:p w:rsidR="0050059F" w:rsidRPr="002C2DC9" w:rsidRDefault="0050059F" w:rsidP="0050059F">
      <w:pPr>
        <w:tabs>
          <w:tab w:val="left" w:pos="1985"/>
          <w:tab w:val="left" w:pos="4933"/>
        </w:tabs>
        <w:ind w:right="-1"/>
        <w:rPr>
          <w:rFonts w:cs="Arial"/>
        </w:rPr>
      </w:pPr>
      <w:r w:rsidRPr="002C2DC9">
        <w:rPr>
          <w:rFonts w:cs="Arial"/>
        </w:rPr>
        <w:t xml:space="preserve">La società civile contempla anche – e non appaia per nulla una contraddizione – forme di inciviltà, di violenza e di incapacità di convivenza che lo Stato </w:t>
      </w:r>
      <w:r>
        <w:rPr>
          <w:rFonts w:cs="Arial"/>
        </w:rPr>
        <w:t>e i cittadini che lo compongono</w:t>
      </w:r>
      <w:r w:rsidRPr="002C2DC9">
        <w:rPr>
          <w:rFonts w:cs="Arial"/>
        </w:rPr>
        <w:t xml:space="preserve"> non possono fingere di non vedere. La protezione di base è offerta dai nostri Codici. I Cantoni, come peraltro il nostro, in modi diversi propongono leggi che consentono forme d</w:t>
      </w:r>
      <w:r>
        <w:rPr>
          <w:rFonts w:cs="Arial"/>
        </w:rPr>
        <w:t>'</w:t>
      </w:r>
      <w:r w:rsidRPr="002C2DC9">
        <w:rPr>
          <w:rFonts w:cs="Arial"/>
        </w:rPr>
        <w:t xml:space="preserve">intervento a tutela dei cittadini, in particolare dei </w:t>
      </w:r>
      <w:proofErr w:type="spellStart"/>
      <w:r w:rsidRPr="002C2DC9">
        <w:rPr>
          <w:rFonts w:cs="Arial"/>
        </w:rPr>
        <w:t>pi</w:t>
      </w:r>
      <w:r>
        <w:rPr>
          <w:rFonts w:cs="Arial"/>
        </w:rPr>
        <w:t>ú</w:t>
      </w:r>
      <w:proofErr w:type="spellEnd"/>
      <w:r w:rsidRPr="002C2DC9">
        <w:rPr>
          <w:rFonts w:cs="Arial"/>
        </w:rPr>
        <w:t xml:space="preserve"> deboli, a volte tuttavia giudicate non sufficientemente efficaci. In particolare preoccupa l</w:t>
      </w:r>
      <w:r>
        <w:rPr>
          <w:rFonts w:cs="Arial"/>
        </w:rPr>
        <w:t>'</w:t>
      </w:r>
      <w:r w:rsidRPr="002C2DC9">
        <w:rPr>
          <w:rFonts w:cs="Arial"/>
        </w:rPr>
        <w:t>evoluzione del fenomeno della violenza nel contesto familiare. La definizione di mura domestiche in queste circostanze denota difficoltà di varia natura nel far emergere situazioni spesso drammatiche, fatte di silenzi e di paure da parte di chi è vittima, a volte di sopportazioni (magari, quando è il caso, a protezione dei figli) rispetto ad autori o autrici incapaci di agire altrimenti.</w:t>
      </w:r>
    </w:p>
    <w:p w:rsidR="0050059F" w:rsidRPr="002C2DC9" w:rsidRDefault="0050059F" w:rsidP="0050059F">
      <w:pPr>
        <w:tabs>
          <w:tab w:val="left" w:pos="1985"/>
          <w:tab w:val="left" w:pos="4933"/>
        </w:tabs>
        <w:ind w:right="-1"/>
        <w:rPr>
          <w:rFonts w:cs="Arial"/>
        </w:rPr>
      </w:pPr>
    </w:p>
    <w:p w:rsidR="0050059F" w:rsidRPr="002C2DC9" w:rsidRDefault="0050059F" w:rsidP="0050059F">
      <w:pPr>
        <w:tabs>
          <w:tab w:val="left" w:pos="1985"/>
          <w:tab w:val="left" w:pos="4933"/>
        </w:tabs>
        <w:ind w:right="-1"/>
        <w:rPr>
          <w:rFonts w:cs="Arial"/>
        </w:rPr>
      </w:pPr>
      <w:r w:rsidRPr="002C2DC9">
        <w:rPr>
          <w:rFonts w:cs="Arial"/>
        </w:rPr>
        <w:t>Questa situazione, questo genere di violenza non fa sconti: riguarda ogni ceto sociale e a subire non sono solo le donne, seppur in prevalenza; anche i maschi in misura minore non ne sono esenti. Violenza che si manifesta, talvolta in modo subdolo ma continuato, con insulti e minacce, con privazioni e maltrattamenti, abusi e violenze sessuali, con pressioni, noncuranza e umiliazioni.</w:t>
      </w:r>
      <w:r>
        <w:rPr>
          <w:rFonts w:cs="Arial"/>
        </w:rPr>
        <w:t xml:space="preserve"> Violenza fisica che porta a</w:t>
      </w:r>
      <w:r w:rsidRPr="002C2DC9">
        <w:rPr>
          <w:rFonts w:cs="Arial"/>
        </w:rPr>
        <w:t xml:space="preserve"> estreme conseguenze, vie di fatto con ferite corporali fino e peggio ancora </w:t>
      </w:r>
      <w:r>
        <w:rPr>
          <w:rFonts w:cs="Arial"/>
        </w:rPr>
        <w:t>con la morte (</w:t>
      </w:r>
      <w:r w:rsidRPr="002C2DC9">
        <w:rPr>
          <w:rFonts w:cs="Arial"/>
        </w:rPr>
        <w:t>come purtroppo i casi estivi ad Ascona</w:t>
      </w:r>
      <w:r>
        <w:rPr>
          <w:rFonts w:cs="Arial"/>
        </w:rPr>
        <w:t xml:space="preserve"> e</w:t>
      </w:r>
      <w:r w:rsidRPr="002C2DC9">
        <w:rPr>
          <w:rFonts w:cs="Arial"/>
        </w:rPr>
        <w:t xml:space="preserve"> ancora a Bellinzona, fatta salva la presunzione di innocenza, hanno drammaticamente illustrato).</w:t>
      </w:r>
    </w:p>
    <w:p w:rsidR="0050059F" w:rsidRPr="002C2DC9" w:rsidRDefault="0050059F" w:rsidP="0050059F">
      <w:pPr>
        <w:tabs>
          <w:tab w:val="left" w:pos="1985"/>
          <w:tab w:val="left" w:pos="4933"/>
        </w:tabs>
        <w:ind w:right="-1"/>
        <w:rPr>
          <w:rFonts w:cs="Arial"/>
        </w:rPr>
      </w:pPr>
    </w:p>
    <w:p w:rsidR="0050059F" w:rsidRPr="002C2DC9" w:rsidRDefault="0050059F" w:rsidP="0050059F">
      <w:pPr>
        <w:tabs>
          <w:tab w:val="left" w:pos="1985"/>
          <w:tab w:val="left" w:pos="4933"/>
        </w:tabs>
        <w:ind w:right="-1"/>
        <w:rPr>
          <w:rFonts w:cs="Arial"/>
        </w:rPr>
      </w:pPr>
      <w:r w:rsidRPr="002C2DC9">
        <w:rPr>
          <w:rFonts w:cs="Arial"/>
        </w:rPr>
        <w:t xml:space="preserve">I dati statistici sono significativi e </w:t>
      </w:r>
      <w:r>
        <w:rPr>
          <w:rFonts w:cs="Arial"/>
        </w:rPr>
        <w:t xml:space="preserve">indicano un fenomeno </w:t>
      </w:r>
      <w:r w:rsidRPr="002C2DC9">
        <w:rPr>
          <w:rFonts w:cs="Arial"/>
        </w:rPr>
        <w:t>in crescita: 16 mila casi in Svizzera all</w:t>
      </w:r>
      <w:r>
        <w:rPr>
          <w:rFonts w:cs="Arial"/>
        </w:rPr>
        <w:t>'</w:t>
      </w:r>
      <w:r w:rsidRPr="002C2DC9">
        <w:rPr>
          <w:rFonts w:cs="Arial"/>
        </w:rPr>
        <w:t>anno</w:t>
      </w:r>
      <w:r>
        <w:rPr>
          <w:rFonts w:cs="Arial"/>
        </w:rPr>
        <w:t xml:space="preserve"> (</w:t>
      </w:r>
      <w:r w:rsidRPr="002C2DC9">
        <w:rPr>
          <w:rFonts w:cs="Arial"/>
        </w:rPr>
        <w:t>17</w:t>
      </w:r>
      <w:r>
        <w:rPr>
          <w:rFonts w:cs="Arial"/>
        </w:rPr>
        <w:t>'</w:t>
      </w:r>
      <w:r w:rsidRPr="002C2DC9">
        <w:rPr>
          <w:rFonts w:cs="Arial"/>
        </w:rPr>
        <w:t>685 nel 2016), oltre 750 in Ticino, come dire due interventi di polizia ogni giorno. Chi segue, interviene e si occupa di questo aspetto della società sostiene tuttavia che ciò rappresenti solo la punta dell</w:t>
      </w:r>
      <w:r>
        <w:rPr>
          <w:rFonts w:cs="Arial"/>
        </w:rPr>
        <w:t>'</w:t>
      </w:r>
      <w:r w:rsidRPr="002C2DC9">
        <w:rPr>
          <w:rFonts w:cs="Arial"/>
        </w:rPr>
        <w:t>iceberg.</w:t>
      </w:r>
    </w:p>
    <w:p w:rsidR="0050059F" w:rsidRPr="002C2DC9" w:rsidRDefault="0050059F" w:rsidP="0050059F">
      <w:pPr>
        <w:tabs>
          <w:tab w:val="left" w:pos="1985"/>
          <w:tab w:val="left" w:pos="4933"/>
        </w:tabs>
        <w:ind w:right="-1"/>
        <w:rPr>
          <w:rFonts w:cs="Arial"/>
        </w:rPr>
      </w:pPr>
    </w:p>
    <w:p w:rsidR="0050059F" w:rsidRPr="002C2DC9" w:rsidRDefault="0050059F" w:rsidP="0050059F">
      <w:pPr>
        <w:tabs>
          <w:tab w:val="left" w:pos="1985"/>
          <w:tab w:val="left" w:pos="4933"/>
        </w:tabs>
        <w:ind w:right="-1"/>
        <w:rPr>
          <w:rFonts w:cs="Arial"/>
        </w:rPr>
      </w:pPr>
      <w:r w:rsidRPr="002C2DC9">
        <w:rPr>
          <w:rFonts w:cs="Arial"/>
        </w:rPr>
        <w:t xml:space="preserve">Vi è ad ogni modo sempre </w:t>
      </w:r>
      <w:proofErr w:type="spellStart"/>
      <w:r w:rsidRPr="002C2DC9">
        <w:rPr>
          <w:rFonts w:cs="Arial"/>
        </w:rPr>
        <w:t>piú</w:t>
      </w:r>
      <w:proofErr w:type="spellEnd"/>
      <w:r w:rsidRPr="002C2DC9">
        <w:rPr>
          <w:rFonts w:cs="Arial"/>
        </w:rPr>
        <w:t xml:space="preserve"> la generale consapevolezza di dover affrontare con maggiore energ</w:t>
      </w:r>
      <w:r>
        <w:rPr>
          <w:rFonts w:cs="Arial"/>
        </w:rPr>
        <w:t>i</w:t>
      </w:r>
      <w:r w:rsidRPr="002C2DC9">
        <w:rPr>
          <w:rFonts w:cs="Arial"/>
        </w:rPr>
        <w:t>a e con misure puntuali di contenimento questa realtà, che caratterizza singole, delicate e tristi vicende individuali.</w:t>
      </w:r>
    </w:p>
    <w:p w:rsidR="0050059F" w:rsidRPr="002C2DC9" w:rsidRDefault="0050059F" w:rsidP="0050059F">
      <w:pPr>
        <w:tabs>
          <w:tab w:val="left" w:pos="1985"/>
          <w:tab w:val="left" w:pos="4933"/>
        </w:tabs>
        <w:ind w:right="-1"/>
        <w:rPr>
          <w:rFonts w:cs="Arial"/>
        </w:rPr>
      </w:pPr>
    </w:p>
    <w:p w:rsidR="0050059F" w:rsidRPr="002C2DC9" w:rsidRDefault="0050059F" w:rsidP="0050059F">
      <w:pPr>
        <w:tabs>
          <w:tab w:val="left" w:pos="1985"/>
          <w:tab w:val="left" w:pos="4933"/>
        </w:tabs>
        <w:ind w:right="-1"/>
        <w:rPr>
          <w:rFonts w:cs="Arial"/>
        </w:rPr>
      </w:pPr>
      <w:r w:rsidRPr="002C2DC9">
        <w:rPr>
          <w:rFonts w:cs="Arial"/>
        </w:rPr>
        <w:t xml:space="preserve">A tre anni di distanza il quadro del disagio familiare mostra cifre ancor </w:t>
      </w:r>
      <w:proofErr w:type="spellStart"/>
      <w:r w:rsidRPr="002C2DC9">
        <w:rPr>
          <w:rFonts w:cs="Arial"/>
        </w:rPr>
        <w:t>pi</w:t>
      </w:r>
      <w:r>
        <w:rPr>
          <w:rFonts w:cs="Arial"/>
        </w:rPr>
        <w:t>ú</w:t>
      </w:r>
      <w:proofErr w:type="spellEnd"/>
      <w:r w:rsidRPr="002C2DC9">
        <w:rPr>
          <w:rFonts w:cs="Arial"/>
        </w:rPr>
        <w:t xml:space="preserve"> grandi. Gli interventi di polizia sono </w:t>
      </w:r>
      <w:r>
        <w:rPr>
          <w:rFonts w:cs="Arial"/>
        </w:rPr>
        <w:t>passati giornalmente da due a tre; n</w:t>
      </w:r>
      <w:r w:rsidRPr="002C2DC9">
        <w:rPr>
          <w:rFonts w:cs="Arial"/>
        </w:rPr>
        <w:t>ei primi sei mesi del 2017 sono già saliti a</w:t>
      </w:r>
      <w:r>
        <w:rPr>
          <w:rFonts w:cs="Arial"/>
        </w:rPr>
        <w:t xml:space="preserve"> 529</w:t>
      </w:r>
      <w:r w:rsidRPr="002C2DC9">
        <w:rPr>
          <w:rFonts w:cs="Arial"/>
        </w:rPr>
        <w:t>!</w:t>
      </w:r>
    </w:p>
    <w:p w:rsidR="0050059F" w:rsidRPr="002C2DC9" w:rsidRDefault="0050059F" w:rsidP="0050059F">
      <w:pPr>
        <w:tabs>
          <w:tab w:val="left" w:pos="1985"/>
          <w:tab w:val="left" w:pos="4933"/>
        </w:tabs>
        <w:ind w:right="-1"/>
        <w:rPr>
          <w:rFonts w:cs="Arial"/>
        </w:rPr>
      </w:pPr>
    </w:p>
    <w:tbl>
      <w:tblPr>
        <w:tblStyle w:val="Grigliatabella"/>
        <w:tblW w:w="0" w:type="auto"/>
        <w:tblLayout w:type="fixed"/>
        <w:tblLook w:val="04A0" w:firstRow="1" w:lastRow="0" w:firstColumn="1" w:lastColumn="0" w:noHBand="0" w:noVBand="1"/>
      </w:tblPr>
      <w:tblGrid>
        <w:gridCol w:w="2093"/>
        <w:gridCol w:w="850"/>
        <w:gridCol w:w="851"/>
        <w:gridCol w:w="992"/>
        <w:gridCol w:w="851"/>
        <w:gridCol w:w="850"/>
        <w:gridCol w:w="851"/>
        <w:gridCol w:w="850"/>
        <w:gridCol w:w="851"/>
        <w:gridCol w:w="793"/>
      </w:tblGrid>
      <w:tr w:rsidR="0050059F" w:rsidRPr="000F49AB" w:rsidTr="00E66F1D">
        <w:tc>
          <w:tcPr>
            <w:tcW w:w="2093" w:type="dxa"/>
          </w:tcPr>
          <w:p w:rsidR="0050059F" w:rsidRPr="000F49AB" w:rsidRDefault="0050059F" w:rsidP="00E66F1D">
            <w:pPr>
              <w:rPr>
                <w:rFonts w:cs="Arial"/>
                <w:b/>
                <w:sz w:val="20"/>
                <w:szCs w:val="20"/>
              </w:rPr>
            </w:pPr>
            <w:r w:rsidRPr="000F49AB">
              <w:rPr>
                <w:rFonts w:cs="Arial"/>
                <w:b/>
                <w:sz w:val="20"/>
                <w:szCs w:val="20"/>
              </w:rPr>
              <w:t>Violenza domestica</w:t>
            </w:r>
          </w:p>
        </w:tc>
        <w:tc>
          <w:tcPr>
            <w:tcW w:w="850" w:type="dxa"/>
          </w:tcPr>
          <w:p w:rsidR="0050059F" w:rsidRPr="000F49AB" w:rsidRDefault="0050059F" w:rsidP="00E66F1D">
            <w:pPr>
              <w:rPr>
                <w:rFonts w:cs="Arial"/>
                <w:b/>
                <w:sz w:val="20"/>
                <w:szCs w:val="20"/>
              </w:rPr>
            </w:pPr>
            <w:r w:rsidRPr="000F49AB">
              <w:rPr>
                <w:rFonts w:cs="Arial"/>
                <w:b/>
                <w:sz w:val="20"/>
                <w:szCs w:val="20"/>
              </w:rPr>
              <w:t>2008</w:t>
            </w:r>
          </w:p>
        </w:tc>
        <w:tc>
          <w:tcPr>
            <w:tcW w:w="851" w:type="dxa"/>
          </w:tcPr>
          <w:p w:rsidR="0050059F" w:rsidRPr="000F49AB" w:rsidRDefault="0050059F" w:rsidP="00E66F1D">
            <w:pPr>
              <w:rPr>
                <w:rFonts w:cs="Arial"/>
                <w:b/>
                <w:sz w:val="20"/>
                <w:szCs w:val="20"/>
              </w:rPr>
            </w:pPr>
            <w:r w:rsidRPr="000F49AB">
              <w:rPr>
                <w:rFonts w:cs="Arial"/>
                <w:b/>
                <w:sz w:val="20"/>
                <w:szCs w:val="20"/>
              </w:rPr>
              <w:t>2009</w:t>
            </w:r>
          </w:p>
        </w:tc>
        <w:tc>
          <w:tcPr>
            <w:tcW w:w="992" w:type="dxa"/>
          </w:tcPr>
          <w:p w:rsidR="0050059F" w:rsidRPr="000F49AB" w:rsidRDefault="0050059F" w:rsidP="00E66F1D">
            <w:pPr>
              <w:rPr>
                <w:rFonts w:cs="Arial"/>
                <w:b/>
                <w:sz w:val="20"/>
                <w:szCs w:val="20"/>
              </w:rPr>
            </w:pPr>
            <w:r w:rsidRPr="000F49AB">
              <w:rPr>
                <w:rFonts w:cs="Arial"/>
                <w:b/>
                <w:sz w:val="20"/>
                <w:szCs w:val="20"/>
              </w:rPr>
              <w:t>2010</w:t>
            </w:r>
          </w:p>
        </w:tc>
        <w:tc>
          <w:tcPr>
            <w:tcW w:w="851" w:type="dxa"/>
          </w:tcPr>
          <w:p w:rsidR="0050059F" w:rsidRPr="000F49AB" w:rsidRDefault="0050059F" w:rsidP="00E66F1D">
            <w:pPr>
              <w:rPr>
                <w:rFonts w:cs="Arial"/>
                <w:b/>
                <w:sz w:val="20"/>
                <w:szCs w:val="20"/>
              </w:rPr>
            </w:pPr>
            <w:r w:rsidRPr="000F49AB">
              <w:rPr>
                <w:rFonts w:cs="Arial"/>
                <w:b/>
                <w:sz w:val="20"/>
                <w:szCs w:val="20"/>
              </w:rPr>
              <w:t>2011</w:t>
            </w:r>
          </w:p>
        </w:tc>
        <w:tc>
          <w:tcPr>
            <w:tcW w:w="850" w:type="dxa"/>
          </w:tcPr>
          <w:p w:rsidR="0050059F" w:rsidRPr="000F49AB" w:rsidRDefault="0050059F" w:rsidP="00E66F1D">
            <w:pPr>
              <w:rPr>
                <w:rFonts w:cs="Arial"/>
                <w:b/>
                <w:sz w:val="20"/>
                <w:szCs w:val="20"/>
              </w:rPr>
            </w:pPr>
            <w:r w:rsidRPr="000F49AB">
              <w:rPr>
                <w:rFonts w:cs="Arial"/>
                <w:b/>
                <w:sz w:val="20"/>
                <w:szCs w:val="20"/>
              </w:rPr>
              <w:t>2012</w:t>
            </w:r>
          </w:p>
        </w:tc>
        <w:tc>
          <w:tcPr>
            <w:tcW w:w="851" w:type="dxa"/>
          </w:tcPr>
          <w:p w:rsidR="0050059F" w:rsidRPr="000F49AB" w:rsidRDefault="0050059F" w:rsidP="00E66F1D">
            <w:pPr>
              <w:rPr>
                <w:rFonts w:cs="Arial"/>
                <w:b/>
                <w:sz w:val="20"/>
                <w:szCs w:val="20"/>
              </w:rPr>
            </w:pPr>
            <w:r w:rsidRPr="000F49AB">
              <w:rPr>
                <w:rFonts w:cs="Arial"/>
                <w:b/>
                <w:sz w:val="20"/>
                <w:szCs w:val="20"/>
              </w:rPr>
              <w:t>2013</w:t>
            </w:r>
          </w:p>
        </w:tc>
        <w:tc>
          <w:tcPr>
            <w:tcW w:w="850" w:type="dxa"/>
          </w:tcPr>
          <w:p w:rsidR="0050059F" w:rsidRPr="000F49AB" w:rsidRDefault="0050059F" w:rsidP="00E66F1D">
            <w:pPr>
              <w:rPr>
                <w:rFonts w:cs="Arial"/>
                <w:b/>
                <w:sz w:val="20"/>
                <w:szCs w:val="20"/>
              </w:rPr>
            </w:pPr>
            <w:r w:rsidRPr="000F49AB">
              <w:rPr>
                <w:rFonts w:cs="Arial"/>
                <w:b/>
                <w:sz w:val="20"/>
                <w:szCs w:val="20"/>
              </w:rPr>
              <w:t>2014</w:t>
            </w:r>
          </w:p>
        </w:tc>
        <w:tc>
          <w:tcPr>
            <w:tcW w:w="851" w:type="dxa"/>
          </w:tcPr>
          <w:p w:rsidR="0050059F" w:rsidRPr="000F49AB" w:rsidRDefault="0050059F" w:rsidP="00E66F1D">
            <w:pPr>
              <w:rPr>
                <w:rFonts w:cs="Arial"/>
                <w:b/>
                <w:sz w:val="20"/>
                <w:szCs w:val="20"/>
              </w:rPr>
            </w:pPr>
            <w:r w:rsidRPr="000F49AB">
              <w:rPr>
                <w:rFonts w:cs="Arial"/>
                <w:b/>
                <w:sz w:val="20"/>
                <w:szCs w:val="20"/>
              </w:rPr>
              <w:t>2015</w:t>
            </w:r>
          </w:p>
        </w:tc>
        <w:tc>
          <w:tcPr>
            <w:tcW w:w="793" w:type="dxa"/>
          </w:tcPr>
          <w:p w:rsidR="0050059F" w:rsidRPr="000F49AB" w:rsidRDefault="0050059F" w:rsidP="00E66F1D">
            <w:pPr>
              <w:rPr>
                <w:rFonts w:cs="Arial"/>
                <w:b/>
                <w:sz w:val="20"/>
                <w:szCs w:val="20"/>
              </w:rPr>
            </w:pPr>
            <w:r w:rsidRPr="000F49AB">
              <w:rPr>
                <w:rFonts w:cs="Arial"/>
                <w:b/>
                <w:sz w:val="20"/>
                <w:szCs w:val="20"/>
              </w:rPr>
              <w:t>2016</w:t>
            </w:r>
          </w:p>
        </w:tc>
      </w:tr>
      <w:tr w:rsidR="0050059F" w:rsidRPr="000F49AB" w:rsidTr="00E66F1D">
        <w:trPr>
          <w:trHeight w:val="58"/>
        </w:trPr>
        <w:tc>
          <w:tcPr>
            <w:tcW w:w="2093" w:type="dxa"/>
          </w:tcPr>
          <w:p w:rsidR="0050059F" w:rsidRPr="000F49AB" w:rsidRDefault="0050059F" w:rsidP="00E66F1D">
            <w:pPr>
              <w:rPr>
                <w:rFonts w:cs="Arial"/>
                <w:sz w:val="8"/>
                <w:szCs w:val="8"/>
              </w:rPr>
            </w:pPr>
          </w:p>
        </w:tc>
        <w:tc>
          <w:tcPr>
            <w:tcW w:w="850" w:type="dxa"/>
          </w:tcPr>
          <w:p w:rsidR="0050059F" w:rsidRPr="000F49AB" w:rsidRDefault="0050059F" w:rsidP="00E66F1D">
            <w:pPr>
              <w:rPr>
                <w:rFonts w:cs="Arial"/>
                <w:sz w:val="8"/>
                <w:szCs w:val="8"/>
              </w:rPr>
            </w:pPr>
          </w:p>
        </w:tc>
        <w:tc>
          <w:tcPr>
            <w:tcW w:w="851" w:type="dxa"/>
          </w:tcPr>
          <w:p w:rsidR="0050059F" w:rsidRPr="000F49AB" w:rsidRDefault="0050059F" w:rsidP="00E66F1D">
            <w:pPr>
              <w:rPr>
                <w:rFonts w:cs="Arial"/>
                <w:sz w:val="8"/>
                <w:szCs w:val="8"/>
              </w:rPr>
            </w:pPr>
          </w:p>
        </w:tc>
        <w:tc>
          <w:tcPr>
            <w:tcW w:w="992" w:type="dxa"/>
          </w:tcPr>
          <w:p w:rsidR="0050059F" w:rsidRPr="000F49AB" w:rsidRDefault="0050059F" w:rsidP="00E66F1D">
            <w:pPr>
              <w:rPr>
                <w:rFonts w:cs="Arial"/>
                <w:sz w:val="8"/>
                <w:szCs w:val="8"/>
              </w:rPr>
            </w:pPr>
          </w:p>
        </w:tc>
        <w:tc>
          <w:tcPr>
            <w:tcW w:w="851" w:type="dxa"/>
          </w:tcPr>
          <w:p w:rsidR="0050059F" w:rsidRPr="000F49AB" w:rsidRDefault="0050059F" w:rsidP="00E66F1D">
            <w:pPr>
              <w:rPr>
                <w:rFonts w:cs="Arial"/>
                <w:sz w:val="8"/>
                <w:szCs w:val="8"/>
              </w:rPr>
            </w:pPr>
          </w:p>
        </w:tc>
        <w:tc>
          <w:tcPr>
            <w:tcW w:w="850" w:type="dxa"/>
          </w:tcPr>
          <w:p w:rsidR="0050059F" w:rsidRPr="000F49AB" w:rsidRDefault="0050059F" w:rsidP="00E66F1D">
            <w:pPr>
              <w:rPr>
                <w:rFonts w:cs="Arial"/>
                <w:sz w:val="8"/>
                <w:szCs w:val="8"/>
              </w:rPr>
            </w:pPr>
          </w:p>
        </w:tc>
        <w:tc>
          <w:tcPr>
            <w:tcW w:w="851" w:type="dxa"/>
          </w:tcPr>
          <w:p w:rsidR="0050059F" w:rsidRPr="000F49AB" w:rsidRDefault="0050059F" w:rsidP="00E66F1D">
            <w:pPr>
              <w:rPr>
                <w:rFonts w:cs="Arial"/>
                <w:sz w:val="8"/>
                <w:szCs w:val="8"/>
              </w:rPr>
            </w:pPr>
          </w:p>
        </w:tc>
        <w:tc>
          <w:tcPr>
            <w:tcW w:w="850" w:type="dxa"/>
          </w:tcPr>
          <w:p w:rsidR="0050059F" w:rsidRPr="000F49AB" w:rsidRDefault="0050059F" w:rsidP="00E66F1D">
            <w:pPr>
              <w:rPr>
                <w:rFonts w:cs="Arial"/>
                <w:sz w:val="8"/>
                <w:szCs w:val="8"/>
              </w:rPr>
            </w:pPr>
          </w:p>
        </w:tc>
        <w:tc>
          <w:tcPr>
            <w:tcW w:w="851" w:type="dxa"/>
          </w:tcPr>
          <w:p w:rsidR="0050059F" w:rsidRPr="000F49AB" w:rsidRDefault="0050059F" w:rsidP="00E66F1D">
            <w:pPr>
              <w:rPr>
                <w:rFonts w:cs="Arial"/>
                <w:sz w:val="8"/>
                <w:szCs w:val="8"/>
              </w:rPr>
            </w:pPr>
          </w:p>
        </w:tc>
        <w:tc>
          <w:tcPr>
            <w:tcW w:w="793" w:type="dxa"/>
          </w:tcPr>
          <w:p w:rsidR="0050059F" w:rsidRPr="000F49AB" w:rsidRDefault="0050059F" w:rsidP="00E66F1D">
            <w:pPr>
              <w:rPr>
                <w:rFonts w:cs="Arial"/>
                <w:sz w:val="8"/>
                <w:szCs w:val="8"/>
              </w:rPr>
            </w:pPr>
          </w:p>
        </w:tc>
      </w:tr>
      <w:tr w:rsidR="0050059F" w:rsidRPr="00730BB3" w:rsidTr="00E66F1D">
        <w:tc>
          <w:tcPr>
            <w:tcW w:w="2093" w:type="dxa"/>
          </w:tcPr>
          <w:p w:rsidR="0050059F" w:rsidRPr="002C2DC9" w:rsidRDefault="0050059F" w:rsidP="00E66F1D">
            <w:pPr>
              <w:rPr>
                <w:rFonts w:cs="Arial"/>
                <w:sz w:val="20"/>
                <w:szCs w:val="20"/>
              </w:rPr>
            </w:pPr>
            <w:r w:rsidRPr="002C2DC9">
              <w:rPr>
                <w:rFonts w:cs="Arial"/>
                <w:sz w:val="20"/>
                <w:szCs w:val="20"/>
              </w:rPr>
              <w:t>Totale interventi</w:t>
            </w:r>
          </w:p>
        </w:tc>
        <w:tc>
          <w:tcPr>
            <w:tcW w:w="850" w:type="dxa"/>
          </w:tcPr>
          <w:p w:rsidR="0050059F" w:rsidRPr="002C2DC9" w:rsidRDefault="0050059F" w:rsidP="00E66F1D">
            <w:pPr>
              <w:rPr>
                <w:rFonts w:cs="Arial"/>
                <w:sz w:val="20"/>
                <w:szCs w:val="20"/>
              </w:rPr>
            </w:pPr>
            <w:r w:rsidRPr="002C2DC9">
              <w:rPr>
                <w:rFonts w:cs="Arial"/>
                <w:sz w:val="20"/>
                <w:szCs w:val="20"/>
              </w:rPr>
              <w:t>539</w:t>
            </w:r>
          </w:p>
        </w:tc>
        <w:tc>
          <w:tcPr>
            <w:tcW w:w="851" w:type="dxa"/>
          </w:tcPr>
          <w:p w:rsidR="0050059F" w:rsidRPr="002C2DC9" w:rsidRDefault="0050059F" w:rsidP="00E66F1D">
            <w:pPr>
              <w:rPr>
                <w:rFonts w:cs="Arial"/>
                <w:sz w:val="20"/>
                <w:szCs w:val="20"/>
              </w:rPr>
            </w:pPr>
            <w:r w:rsidRPr="002C2DC9">
              <w:rPr>
                <w:rFonts w:cs="Arial"/>
                <w:sz w:val="20"/>
                <w:szCs w:val="20"/>
              </w:rPr>
              <w:t>540</w:t>
            </w:r>
          </w:p>
        </w:tc>
        <w:tc>
          <w:tcPr>
            <w:tcW w:w="992" w:type="dxa"/>
          </w:tcPr>
          <w:p w:rsidR="0050059F" w:rsidRPr="002C2DC9" w:rsidRDefault="0050059F" w:rsidP="00E66F1D">
            <w:pPr>
              <w:rPr>
                <w:rFonts w:cs="Arial"/>
                <w:sz w:val="20"/>
                <w:szCs w:val="20"/>
              </w:rPr>
            </w:pPr>
            <w:r w:rsidRPr="002C2DC9">
              <w:rPr>
                <w:rFonts w:cs="Arial"/>
                <w:sz w:val="20"/>
                <w:szCs w:val="20"/>
              </w:rPr>
              <w:t>789</w:t>
            </w:r>
          </w:p>
        </w:tc>
        <w:tc>
          <w:tcPr>
            <w:tcW w:w="851" w:type="dxa"/>
          </w:tcPr>
          <w:p w:rsidR="0050059F" w:rsidRPr="002C2DC9" w:rsidRDefault="0050059F" w:rsidP="00E66F1D">
            <w:pPr>
              <w:rPr>
                <w:rFonts w:cs="Arial"/>
                <w:sz w:val="20"/>
                <w:szCs w:val="20"/>
              </w:rPr>
            </w:pPr>
            <w:r w:rsidRPr="002C2DC9">
              <w:rPr>
                <w:rFonts w:cs="Arial"/>
                <w:sz w:val="20"/>
                <w:szCs w:val="20"/>
              </w:rPr>
              <w:t>746</w:t>
            </w:r>
          </w:p>
        </w:tc>
        <w:tc>
          <w:tcPr>
            <w:tcW w:w="850" w:type="dxa"/>
          </w:tcPr>
          <w:p w:rsidR="0050059F" w:rsidRPr="002C2DC9" w:rsidRDefault="0050059F" w:rsidP="00E66F1D">
            <w:pPr>
              <w:rPr>
                <w:rFonts w:cs="Arial"/>
                <w:sz w:val="20"/>
                <w:szCs w:val="20"/>
              </w:rPr>
            </w:pPr>
            <w:r w:rsidRPr="002C2DC9">
              <w:rPr>
                <w:rFonts w:cs="Arial"/>
                <w:sz w:val="20"/>
                <w:szCs w:val="20"/>
              </w:rPr>
              <w:t>789</w:t>
            </w:r>
          </w:p>
        </w:tc>
        <w:tc>
          <w:tcPr>
            <w:tcW w:w="851" w:type="dxa"/>
          </w:tcPr>
          <w:p w:rsidR="0050059F" w:rsidRPr="002C2DC9" w:rsidRDefault="0050059F" w:rsidP="00E66F1D">
            <w:pPr>
              <w:rPr>
                <w:rFonts w:cs="Arial"/>
                <w:sz w:val="20"/>
                <w:szCs w:val="20"/>
              </w:rPr>
            </w:pPr>
            <w:r w:rsidRPr="002C2DC9">
              <w:rPr>
                <w:rFonts w:cs="Arial"/>
                <w:sz w:val="20"/>
                <w:szCs w:val="20"/>
              </w:rPr>
              <w:t>794</w:t>
            </w:r>
          </w:p>
        </w:tc>
        <w:tc>
          <w:tcPr>
            <w:tcW w:w="850" w:type="dxa"/>
          </w:tcPr>
          <w:p w:rsidR="0050059F" w:rsidRPr="002C2DC9" w:rsidRDefault="0050059F" w:rsidP="00E66F1D">
            <w:pPr>
              <w:rPr>
                <w:rFonts w:cs="Arial"/>
                <w:sz w:val="20"/>
                <w:szCs w:val="20"/>
              </w:rPr>
            </w:pPr>
            <w:r w:rsidRPr="002C2DC9">
              <w:rPr>
                <w:rFonts w:cs="Arial"/>
                <w:sz w:val="20"/>
                <w:szCs w:val="20"/>
              </w:rPr>
              <w:t>844</w:t>
            </w:r>
          </w:p>
        </w:tc>
        <w:tc>
          <w:tcPr>
            <w:tcW w:w="851" w:type="dxa"/>
          </w:tcPr>
          <w:p w:rsidR="0050059F" w:rsidRPr="002C2DC9" w:rsidRDefault="0050059F" w:rsidP="00E66F1D">
            <w:pPr>
              <w:rPr>
                <w:rFonts w:cs="Arial"/>
                <w:sz w:val="20"/>
                <w:szCs w:val="20"/>
              </w:rPr>
            </w:pPr>
            <w:r w:rsidRPr="002C2DC9">
              <w:rPr>
                <w:rFonts w:cs="Arial"/>
                <w:sz w:val="20"/>
                <w:szCs w:val="20"/>
              </w:rPr>
              <w:t>732</w:t>
            </w:r>
          </w:p>
        </w:tc>
        <w:tc>
          <w:tcPr>
            <w:tcW w:w="793" w:type="dxa"/>
          </w:tcPr>
          <w:p w:rsidR="0050059F" w:rsidRPr="002C2DC9" w:rsidRDefault="0050059F" w:rsidP="00E66F1D">
            <w:pPr>
              <w:rPr>
                <w:rFonts w:cs="Arial"/>
                <w:sz w:val="20"/>
                <w:szCs w:val="20"/>
              </w:rPr>
            </w:pPr>
            <w:r w:rsidRPr="002C2DC9">
              <w:rPr>
                <w:rFonts w:cs="Arial"/>
                <w:sz w:val="20"/>
                <w:szCs w:val="20"/>
              </w:rPr>
              <w:t>829</w:t>
            </w:r>
          </w:p>
        </w:tc>
      </w:tr>
      <w:tr w:rsidR="0050059F" w:rsidRPr="00730BB3" w:rsidTr="00E66F1D">
        <w:tc>
          <w:tcPr>
            <w:tcW w:w="2093" w:type="dxa"/>
          </w:tcPr>
          <w:p w:rsidR="0050059F" w:rsidRPr="002C2DC9" w:rsidRDefault="0050059F" w:rsidP="00E66F1D">
            <w:pPr>
              <w:rPr>
                <w:rFonts w:cs="Arial"/>
                <w:sz w:val="20"/>
                <w:szCs w:val="20"/>
              </w:rPr>
            </w:pPr>
            <w:r w:rsidRPr="002C2DC9">
              <w:rPr>
                <w:rFonts w:cs="Arial"/>
                <w:sz w:val="20"/>
                <w:szCs w:val="20"/>
              </w:rPr>
              <w:t>Famiglie svizzere</w:t>
            </w:r>
          </w:p>
        </w:tc>
        <w:tc>
          <w:tcPr>
            <w:tcW w:w="850" w:type="dxa"/>
          </w:tcPr>
          <w:p w:rsidR="0050059F" w:rsidRPr="002C2DC9" w:rsidRDefault="0050059F" w:rsidP="00E66F1D">
            <w:pPr>
              <w:rPr>
                <w:rFonts w:cs="Arial"/>
                <w:sz w:val="20"/>
                <w:szCs w:val="20"/>
              </w:rPr>
            </w:pPr>
            <w:r w:rsidRPr="002C2DC9">
              <w:rPr>
                <w:rFonts w:cs="Arial"/>
                <w:sz w:val="20"/>
                <w:szCs w:val="20"/>
              </w:rPr>
              <w:t>189</w:t>
            </w:r>
          </w:p>
        </w:tc>
        <w:tc>
          <w:tcPr>
            <w:tcW w:w="851" w:type="dxa"/>
          </w:tcPr>
          <w:p w:rsidR="0050059F" w:rsidRPr="002C2DC9" w:rsidRDefault="0050059F" w:rsidP="00E66F1D">
            <w:pPr>
              <w:rPr>
                <w:rFonts w:cs="Arial"/>
                <w:sz w:val="20"/>
                <w:szCs w:val="20"/>
              </w:rPr>
            </w:pPr>
            <w:r w:rsidRPr="002C2DC9">
              <w:rPr>
                <w:rFonts w:cs="Arial"/>
                <w:sz w:val="20"/>
                <w:szCs w:val="20"/>
              </w:rPr>
              <w:t>170</w:t>
            </w:r>
          </w:p>
        </w:tc>
        <w:tc>
          <w:tcPr>
            <w:tcW w:w="992" w:type="dxa"/>
          </w:tcPr>
          <w:p w:rsidR="0050059F" w:rsidRPr="002C2DC9" w:rsidRDefault="0050059F" w:rsidP="00E66F1D">
            <w:pPr>
              <w:rPr>
                <w:rFonts w:cs="Arial"/>
                <w:sz w:val="20"/>
                <w:szCs w:val="20"/>
              </w:rPr>
            </w:pPr>
            <w:r w:rsidRPr="002C2DC9">
              <w:rPr>
                <w:rFonts w:cs="Arial"/>
                <w:sz w:val="20"/>
                <w:szCs w:val="20"/>
              </w:rPr>
              <w:t>254</w:t>
            </w:r>
          </w:p>
        </w:tc>
        <w:tc>
          <w:tcPr>
            <w:tcW w:w="851" w:type="dxa"/>
          </w:tcPr>
          <w:p w:rsidR="0050059F" w:rsidRPr="002C2DC9" w:rsidRDefault="0050059F" w:rsidP="00E66F1D">
            <w:pPr>
              <w:rPr>
                <w:rFonts w:cs="Arial"/>
                <w:sz w:val="20"/>
                <w:szCs w:val="20"/>
              </w:rPr>
            </w:pPr>
            <w:r w:rsidRPr="002C2DC9">
              <w:rPr>
                <w:rFonts w:cs="Arial"/>
                <w:sz w:val="20"/>
                <w:szCs w:val="20"/>
              </w:rPr>
              <w:t>237</w:t>
            </w:r>
          </w:p>
        </w:tc>
        <w:tc>
          <w:tcPr>
            <w:tcW w:w="850" w:type="dxa"/>
          </w:tcPr>
          <w:p w:rsidR="0050059F" w:rsidRPr="002C2DC9" w:rsidRDefault="0050059F" w:rsidP="00E66F1D">
            <w:pPr>
              <w:rPr>
                <w:rFonts w:cs="Arial"/>
                <w:sz w:val="20"/>
                <w:szCs w:val="20"/>
              </w:rPr>
            </w:pPr>
            <w:r w:rsidRPr="002C2DC9">
              <w:rPr>
                <w:rFonts w:cs="Arial"/>
                <w:sz w:val="20"/>
                <w:szCs w:val="20"/>
              </w:rPr>
              <w:t>285</w:t>
            </w:r>
          </w:p>
        </w:tc>
        <w:tc>
          <w:tcPr>
            <w:tcW w:w="851" w:type="dxa"/>
          </w:tcPr>
          <w:p w:rsidR="0050059F" w:rsidRPr="002C2DC9" w:rsidRDefault="0050059F" w:rsidP="00E66F1D">
            <w:pPr>
              <w:rPr>
                <w:rFonts w:cs="Arial"/>
                <w:sz w:val="20"/>
                <w:szCs w:val="20"/>
              </w:rPr>
            </w:pPr>
            <w:r w:rsidRPr="002C2DC9">
              <w:rPr>
                <w:rFonts w:cs="Arial"/>
                <w:sz w:val="20"/>
                <w:szCs w:val="20"/>
              </w:rPr>
              <w:t>245</w:t>
            </w:r>
          </w:p>
        </w:tc>
        <w:tc>
          <w:tcPr>
            <w:tcW w:w="850" w:type="dxa"/>
          </w:tcPr>
          <w:p w:rsidR="0050059F" w:rsidRPr="002C2DC9" w:rsidRDefault="0050059F" w:rsidP="00E66F1D">
            <w:pPr>
              <w:rPr>
                <w:rFonts w:cs="Arial"/>
                <w:sz w:val="20"/>
                <w:szCs w:val="20"/>
              </w:rPr>
            </w:pPr>
            <w:r w:rsidRPr="002C2DC9">
              <w:rPr>
                <w:rFonts w:cs="Arial"/>
                <w:sz w:val="20"/>
                <w:szCs w:val="20"/>
              </w:rPr>
              <w:t>300</w:t>
            </w:r>
          </w:p>
        </w:tc>
        <w:tc>
          <w:tcPr>
            <w:tcW w:w="851" w:type="dxa"/>
          </w:tcPr>
          <w:p w:rsidR="0050059F" w:rsidRPr="002C2DC9" w:rsidRDefault="0050059F" w:rsidP="00E66F1D">
            <w:pPr>
              <w:rPr>
                <w:rFonts w:cs="Arial"/>
                <w:sz w:val="20"/>
                <w:szCs w:val="20"/>
              </w:rPr>
            </w:pPr>
            <w:r w:rsidRPr="002C2DC9">
              <w:rPr>
                <w:rFonts w:cs="Arial"/>
                <w:sz w:val="20"/>
                <w:szCs w:val="20"/>
              </w:rPr>
              <w:t>243</w:t>
            </w:r>
          </w:p>
        </w:tc>
        <w:tc>
          <w:tcPr>
            <w:tcW w:w="793" w:type="dxa"/>
          </w:tcPr>
          <w:p w:rsidR="0050059F" w:rsidRPr="002C2DC9" w:rsidRDefault="0050059F" w:rsidP="00E66F1D">
            <w:pPr>
              <w:rPr>
                <w:rFonts w:cs="Arial"/>
                <w:sz w:val="20"/>
                <w:szCs w:val="20"/>
              </w:rPr>
            </w:pPr>
            <w:r w:rsidRPr="002C2DC9">
              <w:rPr>
                <w:rFonts w:cs="Arial"/>
                <w:sz w:val="20"/>
                <w:szCs w:val="20"/>
              </w:rPr>
              <w:t>282</w:t>
            </w:r>
          </w:p>
        </w:tc>
      </w:tr>
      <w:tr w:rsidR="0050059F" w:rsidRPr="00730BB3" w:rsidTr="00E66F1D">
        <w:tc>
          <w:tcPr>
            <w:tcW w:w="2093" w:type="dxa"/>
          </w:tcPr>
          <w:p w:rsidR="0050059F" w:rsidRPr="002C2DC9" w:rsidRDefault="0050059F" w:rsidP="00E66F1D">
            <w:pPr>
              <w:rPr>
                <w:rFonts w:cs="Arial"/>
                <w:sz w:val="20"/>
                <w:szCs w:val="20"/>
              </w:rPr>
            </w:pPr>
            <w:r w:rsidRPr="002C2DC9">
              <w:rPr>
                <w:rFonts w:cs="Arial"/>
                <w:sz w:val="20"/>
                <w:szCs w:val="20"/>
              </w:rPr>
              <w:t>Famiglie miste</w:t>
            </w:r>
          </w:p>
        </w:tc>
        <w:tc>
          <w:tcPr>
            <w:tcW w:w="850" w:type="dxa"/>
          </w:tcPr>
          <w:p w:rsidR="0050059F" w:rsidRPr="002C2DC9" w:rsidRDefault="0050059F" w:rsidP="00E66F1D">
            <w:pPr>
              <w:rPr>
                <w:rFonts w:cs="Arial"/>
                <w:sz w:val="20"/>
                <w:szCs w:val="20"/>
              </w:rPr>
            </w:pPr>
            <w:r w:rsidRPr="002C2DC9">
              <w:rPr>
                <w:rFonts w:cs="Arial"/>
                <w:sz w:val="20"/>
                <w:szCs w:val="20"/>
              </w:rPr>
              <w:t>147</w:t>
            </w:r>
          </w:p>
        </w:tc>
        <w:tc>
          <w:tcPr>
            <w:tcW w:w="851" w:type="dxa"/>
          </w:tcPr>
          <w:p w:rsidR="0050059F" w:rsidRPr="002C2DC9" w:rsidRDefault="0050059F" w:rsidP="00E66F1D">
            <w:pPr>
              <w:rPr>
                <w:rFonts w:cs="Arial"/>
                <w:sz w:val="20"/>
                <w:szCs w:val="20"/>
              </w:rPr>
            </w:pPr>
            <w:r w:rsidRPr="002C2DC9">
              <w:rPr>
                <w:rFonts w:cs="Arial"/>
                <w:sz w:val="20"/>
                <w:szCs w:val="20"/>
              </w:rPr>
              <w:t>186</w:t>
            </w:r>
          </w:p>
        </w:tc>
        <w:tc>
          <w:tcPr>
            <w:tcW w:w="992" w:type="dxa"/>
          </w:tcPr>
          <w:p w:rsidR="0050059F" w:rsidRPr="002C2DC9" w:rsidRDefault="0050059F" w:rsidP="00E66F1D">
            <w:pPr>
              <w:rPr>
                <w:rFonts w:cs="Arial"/>
                <w:sz w:val="20"/>
                <w:szCs w:val="20"/>
              </w:rPr>
            </w:pPr>
            <w:r w:rsidRPr="002C2DC9">
              <w:rPr>
                <w:rFonts w:cs="Arial"/>
                <w:sz w:val="20"/>
                <w:szCs w:val="20"/>
              </w:rPr>
              <w:t>213</w:t>
            </w:r>
          </w:p>
        </w:tc>
        <w:tc>
          <w:tcPr>
            <w:tcW w:w="851" w:type="dxa"/>
          </w:tcPr>
          <w:p w:rsidR="0050059F" w:rsidRPr="002C2DC9" w:rsidRDefault="0050059F" w:rsidP="00E66F1D">
            <w:pPr>
              <w:rPr>
                <w:rFonts w:cs="Arial"/>
                <w:sz w:val="20"/>
                <w:szCs w:val="20"/>
              </w:rPr>
            </w:pPr>
            <w:r w:rsidRPr="002C2DC9">
              <w:rPr>
                <w:rFonts w:cs="Arial"/>
                <w:sz w:val="20"/>
                <w:szCs w:val="20"/>
              </w:rPr>
              <w:t>240</w:t>
            </w:r>
          </w:p>
        </w:tc>
        <w:tc>
          <w:tcPr>
            <w:tcW w:w="850" w:type="dxa"/>
          </w:tcPr>
          <w:p w:rsidR="0050059F" w:rsidRPr="002C2DC9" w:rsidRDefault="0050059F" w:rsidP="00E66F1D">
            <w:pPr>
              <w:rPr>
                <w:rFonts w:cs="Arial"/>
                <w:sz w:val="20"/>
                <w:szCs w:val="20"/>
              </w:rPr>
            </w:pPr>
            <w:r w:rsidRPr="002C2DC9">
              <w:rPr>
                <w:rFonts w:cs="Arial"/>
                <w:sz w:val="20"/>
                <w:szCs w:val="20"/>
              </w:rPr>
              <w:t>205</w:t>
            </w:r>
          </w:p>
        </w:tc>
        <w:tc>
          <w:tcPr>
            <w:tcW w:w="851" w:type="dxa"/>
          </w:tcPr>
          <w:p w:rsidR="0050059F" w:rsidRPr="002C2DC9" w:rsidRDefault="0050059F" w:rsidP="00E66F1D">
            <w:pPr>
              <w:rPr>
                <w:rFonts w:cs="Arial"/>
                <w:sz w:val="20"/>
                <w:szCs w:val="20"/>
              </w:rPr>
            </w:pPr>
            <w:r w:rsidRPr="002C2DC9">
              <w:rPr>
                <w:rFonts w:cs="Arial"/>
                <w:sz w:val="20"/>
                <w:szCs w:val="20"/>
              </w:rPr>
              <w:t>247</w:t>
            </w:r>
          </w:p>
        </w:tc>
        <w:tc>
          <w:tcPr>
            <w:tcW w:w="850" w:type="dxa"/>
          </w:tcPr>
          <w:p w:rsidR="0050059F" w:rsidRPr="002C2DC9" w:rsidRDefault="0050059F" w:rsidP="00E66F1D">
            <w:pPr>
              <w:rPr>
                <w:rFonts w:cs="Arial"/>
                <w:sz w:val="20"/>
                <w:szCs w:val="20"/>
              </w:rPr>
            </w:pPr>
            <w:r w:rsidRPr="002C2DC9">
              <w:rPr>
                <w:rFonts w:cs="Arial"/>
                <w:sz w:val="20"/>
                <w:szCs w:val="20"/>
              </w:rPr>
              <w:t>242</w:t>
            </w:r>
          </w:p>
        </w:tc>
        <w:tc>
          <w:tcPr>
            <w:tcW w:w="851" w:type="dxa"/>
          </w:tcPr>
          <w:p w:rsidR="0050059F" w:rsidRPr="002C2DC9" w:rsidRDefault="0050059F" w:rsidP="00E66F1D">
            <w:pPr>
              <w:rPr>
                <w:rFonts w:cs="Arial"/>
                <w:sz w:val="20"/>
                <w:szCs w:val="20"/>
              </w:rPr>
            </w:pPr>
            <w:r w:rsidRPr="002C2DC9">
              <w:rPr>
                <w:rFonts w:cs="Arial"/>
                <w:sz w:val="20"/>
                <w:szCs w:val="20"/>
              </w:rPr>
              <w:t>193</w:t>
            </w:r>
          </w:p>
        </w:tc>
        <w:tc>
          <w:tcPr>
            <w:tcW w:w="793" w:type="dxa"/>
          </w:tcPr>
          <w:p w:rsidR="0050059F" w:rsidRPr="002C2DC9" w:rsidRDefault="0050059F" w:rsidP="00E66F1D">
            <w:pPr>
              <w:rPr>
                <w:rFonts w:cs="Arial"/>
                <w:sz w:val="20"/>
                <w:szCs w:val="20"/>
              </w:rPr>
            </w:pPr>
            <w:r w:rsidRPr="002C2DC9">
              <w:rPr>
                <w:rFonts w:cs="Arial"/>
                <w:sz w:val="20"/>
                <w:szCs w:val="20"/>
              </w:rPr>
              <w:t>252</w:t>
            </w:r>
          </w:p>
        </w:tc>
      </w:tr>
      <w:tr w:rsidR="0050059F" w:rsidRPr="00730BB3" w:rsidTr="00E66F1D">
        <w:tc>
          <w:tcPr>
            <w:tcW w:w="2093" w:type="dxa"/>
          </w:tcPr>
          <w:p w:rsidR="0050059F" w:rsidRPr="002C2DC9" w:rsidRDefault="0050059F" w:rsidP="00E66F1D">
            <w:pPr>
              <w:rPr>
                <w:rFonts w:cs="Arial"/>
                <w:sz w:val="20"/>
                <w:szCs w:val="20"/>
              </w:rPr>
            </w:pPr>
            <w:r w:rsidRPr="002C2DC9">
              <w:rPr>
                <w:rFonts w:cs="Arial"/>
                <w:sz w:val="20"/>
                <w:szCs w:val="20"/>
              </w:rPr>
              <w:t>Famiglie straniere</w:t>
            </w:r>
          </w:p>
        </w:tc>
        <w:tc>
          <w:tcPr>
            <w:tcW w:w="850" w:type="dxa"/>
          </w:tcPr>
          <w:p w:rsidR="0050059F" w:rsidRPr="002C2DC9" w:rsidRDefault="0050059F" w:rsidP="00E66F1D">
            <w:pPr>
              <w:rPr>
                <w:rFonts w:cs="Arial"/>
                <w:sz w:val="20"/>
                <w:szCs w:val="20"/>
              </w:rPr>
            </w:pPr>
            <w:r w:rsidRPr="002C2DC9">
              <w:rPr>
                <w:rFonts w:cs="Arial"/>
                <w:sz w:val="20"/>
                <w:szCs w:val="20"/>
              </w:rPr>
              <w:t>200</w:t>
            </w:r>
          </w:p>
        </w:tc>
        <w:tc>
          <w:tcPr>
            <w:tcW w:w="851" w:type="dxa"/>
          </w:tcPr>
          <w:p w:rsidR="0050059F" w:rsidRPr="002C2DC9" w:rsidRDefault="0050059F" w:rsidP="00E66F1D">
            <w:pPr>
              <w:rPr>
                <w:rFonts w:cs="Arial"/>
                <w:sz w:val="20"/>
                <w:szCs w:val="20"/>
              </w:rPr>
            </w:pPr>
            <w:r w:rsidRPr="002C2DC9">
              <w:rPr>
                <w:rFonts w:cs="Arial"/>
                <w:sz w:val="20"/>
                <w:szCs w:val="20"/>
              </w:rPr>
              <w:t>180</w:t>
            </w:r>
          </w:p>
        </w:tc>
        <w:tc>
          <w:tcPr>
            <w:tcW w:w="992" w:type="dxa"/>
          </w:tcPr>
          <w:p w:rsidR="0050059F" w:rsidRPr="002C2DC9" w:rsidRDefault="0050059F" w:rsidP="00E66F1D">
            <w:pPr>
              <w:rPr>
                <w:rFonts w:cs="Arial"/>
                <w:sz w:val="20"/>
                <w:szCs w:val="20"/>
              </w:rPr>
            </w:pPr>
            <w:r w:rsidRPr="002C2DC9">
              <w:rPr>
                <w:rFonts w:cs="Arial"/>
                <w:sz w:val="20"/>
                <w:szCs w:val="20"/>
              </w:rPr>
              <w:t>321</w:t>
            </w:r>
          </w:p>
        </w:tc>
        <w:tc>
          <w:tcPr>
            <w:tcW w:w="851" w:type="dxa"/>
          </w:tcPr>
          <w:p w:rsidR="0050059F" w:rsidRPr="002C2DC9" w:rsidRDefault="0050059F" w:rsidP="00E66F1D">
            <w:pPr>
              <w:rPr>
                <w:rFonts w:cs="Arial"/>
                <w:sz w:val="20"/>
                <w:szCs w:val="20"/>
              </w:rPr>
            </w:pPr>
            <w:r w:rsidRPr="002C2DC9">
              <w:rPr>
                <w:rFonts w:cs="Arial"/>
                <w:sz w:val="20"/>
                <w:szCs w:val="20"/>
              </w:rPr>
              <w:t>264</w:t>
            </w:r>
          </w:p>
        </w:tc>
        <w:tc>
          <w:tcPr>
            <w:tcW w:w="850" w:type="dxa"/>
          </w:tcPr>
          <w:p w:rsidR="0050059F" w:rsidRPr="002C2DC9" w:rsidRDefault="0050059F" w:rsidP="00E66F1D">
            <w:pPr>
              <w:rPr>
                <w:rFonts w:cs="Arial"/>
                <w:sz w:val="20"/>
                <w:szCs w:val="20"/>
              </w:rPr>
            </w:pPr>
            <w:r w:rsidRPr="002C2DC9">
              <w:rPr>
                <w:rFonts w:cs="Arial"/>
                <w:sz w:val="20"/>
                <w:szCs w:val="20"/>
              </w:rPr>
              <w:t>299</w:t>
            </w:r>
          </w:p>
        </w:tc>
        <w:tc>
          <w:tcPr>
            <w:tcW w:w="851" w:type="dxa"/>
          </w:tcPr>
          <w:p w:rsidR="0050059F" w:rsidRPr="002C2DC9" w:rsidRDefault="0050059F" w:rsidP="00E66F1D">
            <w:pPr>
              <w:rPr>
                <w:rFonts w:cs="Arial"/>
                <w:sz w:val="20"/>
                <w:szCs w:val="20"/>
              </w:rPr>
            </w:pPr>
            <w:r w:rsidRPr="002C2DC9">
              <w:rPr>
                <w:rFonts w:cs="Arial"/>
                <w:sz w:val="20"/>
                <w:szCs w:val="20"/>
              </w:rPr>
              <w:t>302</w:t>
            </w:r>
          </w:p>
        </w:tc>
        <w:tc>
          <w:tcPr>
            <w:tcW w:w="850" w:type="dxa"/>
          </w:tcPr>
          <w:p w:rsidR="0050059F" w:rsidRPr="002C2DC9" w:rsidRDefault="0050059F" w:rsidP="00E66F1D">
            <w:pPr>
              <w:rPr>
                <w:rFonts w:cs="Arial"/>
                <w:sz w:val="20"/>
                <w:szCs w:val="20"/>
              </w:rPr>
            </w:pPr>
            <w:r w:rsidRPr="002C2DC9">
              <w:rPr>
                <w:rFonts w:cs="Arial"/>
                <w:sz w:val="20"/>
                <w:szCs w:val="20"/>
              </w:rPr>
              <w:t>302</w:t>
            </w:r>
          </w:p>
        </w:tc>
        <w:tc>
          <w:tcPr>
            <w:tcW w:w="851" w:type="dxa"/>
          </w:tcPr>
          <w:p w:rsidR="0050059F" w:rsidRPr="002C2DC9" w:rsidRDefault="0050059F" w:rsidP="00E66F1D">
            <w:pPr>
              <w:rPr>
                <w:rFonts w:cs="Arial"/>
                <w:sz w:val="20"/>
                <w:szCs w:val="20"/>
              </w:rPr>
            </w:pPr>
            <w:r w:rsidRPr="002C2DC9">
              <w:rPr>
                <w:rFonts w:cs="Arial"/>
                <w:sz w:val="20"/>
                <w:szCs w:val="20"/>
              </w:rPr>
              <w:t>218</w:t>
            </w:r>
          </w:p>
        </w:tc>
        <w:tc>
          <w:tcPr>
            <w:tcW w:w="793" w:type="dxa"/>
          </w:tcPr>
          <w:p w:rsidR="0050059F" w:rsidRPr="002C2DC9" w:rsidRDefault="0050059F" w:rsidP="00E66F1D">
            <w:pPr>
              <w:rPr>
                <w:rFonts w:cs="Arial"/>
                <w:sz w:val="20"/>
                <w:szCs w:val="20"/>
              </w:rPr>
            </w:pPr>
            <w:r w:rsidRPr="002C2DC9">
              <w:rPr>
                <w:rFonts w:cs="Arial"/>
                <w:sz w:val="20"/>
                <w:szCs w:val="20"/>
              </w:rPr>
              <w:t>295</w:t>
            </w:r>
          </w:p>
        </w:tc>
      </w:tr>
    </w:tbl>
    <w:p w:rsidR="0050059F" w:rsidRPr="000F49AB" w:rsidRDefault="0050059F" w:rsidP="0050059F">
      <w:pPr>
        <w:tabs>
          <w:tab w:val="left" w:pos="1985"/>
          <w:tab w:val="left" w:pos="4933"/>
        </w:tabs>
        <w:ind w:right="-1"/>
        <w:rPr>
          <w:rFonts w:cs="Arial"/>
        </w:rPr>
      </w:pPr>
    </w:p>
    <w:p w:rsidR="0050059F" w:rsidRPr="000F49AB" w:rsidRDefault="0050059F" w:rsidP="0050059F">
      <w:pPr>
        <w:tabs>
          <w:tab w:val="left" w:pos="1985"/>
          <w:tab w:val="left" w:pos="4933"/>
        </w:tabs>
        <w:ind w:right="-1"/>
        <w:rPr>
          <w:rFonts w:cs="Arial"/>
        </w:rPr>
      </w:pPr>
      <w:r w:rsidRPr="000F49AB">
        <w:rPr>
          <w:rFonts w:cs="Arial"/>
        </w:rPr>
        <w:t xml:space="preserve">La tabella, fornitaci dal Dipartimento delle istituzioni e dalla polizia cantonale, mostra anche altri aspetti di dettaglio, in parte ripresi </w:t>
      </w:r>
      <w:proofErr w:type="spellStart"/>
      <w:r w:rsidRPr="000F49AB">
        <w:rPr>
          <w:rFonts w:cs="Arial"/>
        </w:rPr>
        <w:t>piú</w:t>
      </w:r>
      <w:proofErr w:type="spellEnd"/>
      <w:r w:rsidRPr="000F49AB">
        <w:rPr>
          <w:rFonts w:cs="Arial"/>
        </w:rPr>
        <w:t xml:space="preserve"> oltre. Accanto al numero in crescita</w:t>
      </w:r>
      <w:r>
        <w:rPr>
          <w:rFonts w:cs="Arial"/>
        </w:rPr>
        <w:t xml:space="preserve"> degli interventi</w:t>
      </w:r>
      <w:r w:rsidRPr="000F49AB">
        <w:rPr>
          <w:rFonts w:cs="Arial"/>
        </w:rPr>
        <w:t xml:space="preserve"> valga</w:t>
      </w:r>
      <w:r>
        <w:rPr>
          <w:rFonts w:cs="Arial"/>
        </w:rPr>
        <w:t>,</w:t>
      </w:r>
      <w:r w:rsidRPr="000F49AB">
        <w:rPr>
          <w:rFonts w:cs="Arial"/>
        </w:rPr>
        <w:t xml:space="preserve"> quale conferma, l'aspetto sociologico che indica come la violenza domesti</w:t>
      </w:r>
      <w:r>
        <w:rPr>
          <w:rFonts w:cs="Arial"/>
        </w:rPr>
        <w:t>ca non appartiene per statuto a</w:t>
      </w:r>
      <w:r w:rsidRPr="000F49AB">
        <w:rPr>
          <w:rFonts w:cs="Arial"/>
        </w:rPr>
        <w:t xml:space="preserve"> uno specifico gruppo, ma è un preoccupante fenomeno generale</w:t>
      </w:r>
      <w:r>
        <w:rPr>
          <w:rFonts w:cs="Arial"/>
        </w:rPr>
        <w:t>.</w:t>
      </w:r>
    </w:p>
    <w:p w:rsidR="0050059F" w:rsidRDefault="0050059F" w:rsidP="0050059F">
      <w:pPr>
        <w:tabs>
          <w:tab w:val="left" w:pos="1985"/>
          <w:tab w:val="left" w:pos="4933"/>
        </w:tabs>
        <w:ind w:right="-1"/>
        <w:rPr>
          <w:rFonts w:cs="Arial"/>
        </w:rPr>
      </w:pPr>
    </w:p>
    <w:p w:rsidR="0050059F" w:rsidRPr="0011212D" w:rsidRDefault="0050059F" w:rsidP="0050059F">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lastRenderedPageBreak/>
        <w:t>III.</w:t>
      </w:r>
      <w:r>
        <w:rPr>
          <w:rFonts w:ascii="Arial Grassetto" w:eastAsia="MS Mincho" w:hAnsi="Arial Grassetto" w:cs="Arial"/>
          <w:b/>
          <w:caps/>
        </w:rPr>
        <w:tab/>
      </w:r>
      <w:r w:rsidRPr="0011212D">
        <w:rPr>
          <w:rFonts w:ascii="Arial Grassetto" w:eastAsia="MS Mincho" w:hAnsi="Arial Grassetto" w:cs="Arial"/>
          <w:b/>
          <w:caps/>
        </w:rPr>
        <w:t>La modifica di legge proposta</w:t>
      </w:r>
    </w:p>
    <w:p w:rsidR="0050059F" w:rsidRPr="000F49AB" w:rsidRDefault="0050059F" w:rsidP="0050059F">
      <w:pPr>
        <w:tabs>
          <w:tab w:val="left" w:pos="1985"/>
          <w:tab w:val="left" w:pos="4933"/>
        </w:tabs>
        <w:ind w:right="-1"/>
        <w:rPr>
          <w:rFonts w:cs="Arial"/>
        </w:rPr>
      </w:pPr>
      <w:r w:rsidRPr="000F49AB">
        <w:rPr>
          <w:rFonts w:cs="Arial"/>
        </w:rPr>
        <w:t>L'esperienza</w:t>
      </w:r>
      <w:r>
        <w:rPr>
          <w:rFonts w:cs="Arial"/>
        </w:rPr>
        <w:t xml:space="preserve"> maturata in questi ultimi anni</w:t>
      </w:r>
      <w:r w:rsidRPr="000F49AB">
        <w:rPr>
          <w:rFonts w:cs="Arial"/>
        </w:rPr>
        <w:t xml:space="preserve"> e la necessità di assicurare tempestività ed efficacia, soprattutto in merito alla decisione formale relativa all'allontanamento e alla separazione momentanea delle parti in conflitto, hanno consigliato di applicare alcune correzioni. Da sottolineare: modalità di intervento sempre di natura preventiva, anziché repressiva. Misure suggerite e condivise dallo speciale gruppo d'intervento interdisciplinare, presieduto dall'avv. Marilena Fontaine: </w:t>
      </w:r>
      <w:r>
        <w:rPr>
          <w:rFonts w:cs="Arial"/>
        </w:rPr>
        <w:t>il Gruppo</w:t>
      </w:r>
      <w:r w:rsidRPr="000F49AB">
        <w:rPr>
          <w:rFonts w:cs="Arial"/>
        </w:rPr>
        <w:t xml:space="preserve"> di accompagnamento permanente in materia di violenza domestica</w:t>
      </w:r>
      <w:r>
        <w:rPr>
          <w:rStyle w:val="Rimandonotaapidipagina"/>
          <w:rFonts w:cs="Arial"/>
        </w:rPr>
        <w:footnoteReference w:id="1"/>
      </w:r>
      <w:r w:rsidRPr="000F49AB">
        <w:rPr>
          <w:rFonts w:cs="Arial"/>
        </w:rPr>
        <w:t>.</w:t>
      </w:r>
    </w:p>
    <w:p w:rsidR="0050059F" w:rsidRDefault="0050059F" w:rsidP="0050059F">
      <w:pPr>
        <w:tabs>
          <w:tab w:val="left" w:pos="1985"/>
          <w:tab w:val="left" w:pos="4933"/>
        </w:tabs>
        <w:ind w:right="-1"/>
        <w:rPr>
          <w:rFonts w:cs="Arial"/>
        </w:rPr>
      </w:pPr>
    </w:p>
    <w:p w:rsidR="0050059F" w:rsidRPr="000F49AB" w:rsidRDefault="0050059F" w:rsidP="0050059F">
      <w:pPr>
        <w:tabs>
          <w:tab w:val="left" w:pos="1985"/>
          <w:tab w:val="left" w:pos="4933"/>
        </w:tabs>
        <w:ind w:right="-1"/>
        <w:rPr>
          <w:rFonts w:cs="Arial"/>
        </w:rPr>
      </w:pPr>
    </w:p>
    <w:p w:rsidR="0050059F" w:rsidRPr="000F49AB" w:rsidRDefault="0050059F" w:rsidP="0050059F">
      <w:pPr>
        <w:tabs>
          <w:tab w:val="left" w:pos="1985"/>
          <w:tab w:val="left" w:pos="4933"/>
        </w:tabs>
        <w:ind w:right="-1"/>
        <w:rPr>
          <w:rFonts w:cs="Arial"/>
          <w:b/>
        </w:rPr>
      </w:pPr>
      <w:r w:rsidRPr="000F49AB">
        <w:rPr>
          <w:rFonts w:cs="Arial"/>
          <w:b/>
        </w:rPr>
        <w:t xml:space="preserve">Modifica della Legge sulla polizia del 12 dicembre 1989 concernente l'allontanamento e il divieto di rientro in ambito di violenza domestica di cui </w:t>
      </w:r>
      <w:r>
        <w:rPr>
          <w:rFonts w:cs="Arial"/>
          <w:b/>
        </w:rPr>
        <w:br/>
      </w:r>
      <w:r w:rsidRPr="000F49AB">
        <w:rPr>
          <w:rFonts w:cs="Arial"/>
          <w:b/>
        </w:rPr>
        <w:t>all'</w:t>
      </w:r>
      <w:r>
        <w:rPr>
          <w:rFonts w:cs="Arial"/>
          <w:b/>
        </w:rPr>
        <w:t xml:space="preserve">art. </w:t>
      </w:r>
      <w:r w:rsidRPr="000F49AB">
        <w:rPr>
          <w:rFonts w:cs="Arial"/>
          <w:b/>
        </w:rPr>
        <w:t>9a</w:t>
      </w:r>
    </w:p>
    <w:p w:rsidR="0050059F" w:rsidRPr="000F49AB" w:rsidRDefault="0050059F" w:rsidP="0050059F">
      <w:pPr>
        <w:tabs>
          <w:tab w:val="left" w:pos="1985"/>
          <w:tab w:val="left" w:pos="4933"/>
        </w:tabs>
        <w:ind w:right="-1"/>
        <w:rPr>
          <w:rFonts w:cs="Arial"/>
        </w:rPr>
      </w:pPr>
    </w:p>
    <w:tbl>
      <w:tblPr>
        <w:tblStyle w:val="Grigliatabella"/>
        <w:tblW w:w="0" w:type="auto"/>
        <w:tblLook w:val="04A0" w:firstRow="1" w:lastRow="0" w:firstColumn="1" w:lastColumn="0" w:noHBand="0" w:noVBand="1"/>
      </w:tblPr>
      <w:tblGrid>
        <w:gridCol w:w="4927"/>
        <w:gridCol w:w="4927"/>
      </w:tblGrid>
      <w:tr w:rsidR="0050059F" w:rsidTr="00E66F1D">
        <w:tc>
          <w:tcPr>
            <w:tcW w:w="7213" w:type="dxa"/>
          </w:tcPr>
          <w:p w:rsidR="0050059F" w:rsidRPr="0050059F" w:rsidRDefault="0050059F" w:rsidP="0095164D">
            <w:pPr>
              <w:spacing w:before="60" w:after="120"/>
              <w:jc w:val="both"/>
              <w:rPr>
                <w:b/>
                <w:sz w:val="20"/>
                <w:szCs w:val="20"/>
              </w:rPr>
            </w:pPr>
            <w:r w:rsidRPr="0050059F">
              <w:rPr>
                <w:b/>
                <w:sz w:val="20"/>
                <w:szCs w:val="20"/>
              </w:rPr>
              <w:t>Art. 9a</w:t>
            </w:r>
          </w:p>
          <w:p w:rsidR="0050059F" w:rsidRPr="0050059F" w:rsidRDefault="0050059F" w:rsidP="00E66F1D">
            <w:pPr>
              <w:jc w:val="both"/>
              <w:rPr>
                <w:b/>
                <w:sz w:val="20"/>
                <w:szCs w:val="20"/>
              </w:rPr>
            </w:pPr>
            <w:r w:rsidRPr="0050059F">
              <w:rPr>
                <w:b/>
                <w:sz w:val="20"/>
                <w:szCs w:val="20"/>
              </w:rPr>
              <w:t>Allontanamento e divieto di rientro in ambito di violenza domestica (attuale)</w:t>
            </w:r>
          </w:p>
          <w:p w:rsidR="0050059F" w:rsidRPr="0050059F" w:rsidRDefault="0050059F" w:rsidP="00E66F1D">
            <w:pPr>
              <w:jc w:val="both"/>
              <w:rPr>
                <w:sz w:val="20"/>
                <w:szCs w:val="20"/>
              </w:rPr>
            </w:pPr>
          </w:p>
          <w:p w:rsidR="0050059F" w:rsidRPr="0050059F" w:rsidRDefault="0050059F" w:rsidP="00E66F1D">
            <w:pPr>
              <w:jc w:val="both"/>
              <w:rPr>
                <w:sz w:val="20"/>
                <w:szCs w:val="20"/>
              </w:rPr>
            </w:pPr>
            <w:r w:rsidRPr="0050059F">
              <w:rPr>
                <w:sz w:val="20"/>
                <w:szCs w:val="20"/>
                <w:vertAlign w:val="superscript"/>
              </w:rPr>
              <w:t>1</w:t>
            </w:r>
            <w:r w:rsidRPr="0050059F">
              <w:rPr>
                <w:sz w:val="20"/>
                <w:szCs w:val="20"/>
              </w:rPr>
              <w:t xml:space="preserve">L'ufficiale di polizia può decidere l'allontanamento per dieci giorni di una persona </w:t>
            </w:r>
            <w:r w:rsidRPr="0050059F">
              <w:rPr>
                <w:b/>
                <w:sz w:val="20"/>
                <w:szCs w:val="20"/>
              </w:rPr>
              <w:t>dal suo domicilio</w:t>
            </w:r>
            <w:r w:rsidRPr="0050059F">
              <w:rPr>
                <w:sz w:val="20"/>
                <w:szCs w:val="20"/>
              </w:rPr>
              <w:t xml:space="preserve"> e dalle sue immediate vicinanze, come pure vietarle l'accesso a determinati locali e luoghi, se lei rappresenta un serio pericolo per l'integrità fisica, psichica o sessuale di altre persone facenti parte della stessa comunione domestica. </w:t>
            </w:r>
          </w:p>
          <w:p w:rsidR="0050059F" w:rsidRPr="00A95178" w:rsidRDefault="0050059F" w:rsidP="00E66F1D">
            <w:pPr>
              <w:jc w:val="both"/>
              <w:rPr>
                <w:sz w:val="12"/>
                <w:szCs w:val="12"/>
              </w:rPr>
            </w:pPr>
          </w:p>
        </w:tc>
        <w:tc>
          <w:tcPr>
            <w:tcW w:w="7214" w:type="dxa"/>
          </w:tcPr>
          <w:p w:rsidR="0050059F" w:rsidRPr="0050059F" w:rsidRDefault="0050059F" w:rsidP="0095164D">
            <w:pPr>
              <w:spacing w:before="60" w:after="120"/>
              <w:jc w:val="both"/>
              <w:rPr>
                <w:b/>
                <w:sz w:val="20"/>
                <w:szCs w:val="20"/>
              </w:rPr>
            </w:pPr>
            <w:r w:rsidRPr="0050059F">
              <w:rPr>
                <w:b/>
                <w:sz w:val="20"/>
                <w:szCs w:val="20"/>
              </w:rPr>
              <w:t>Art. 9a</w:t>
            </w:r>
          </w:p>
          <w:p w:rsidR="0050059F" w:rsidRPr="0050059F" w:rsidRDefault="0050059F" w:rsidP="00E66F1D">
            <w:pPr>
              <w:jc w:val="both"/>
              <w:rPr>
                <w:b/>
                <w:sz w:val="20"/>
                <w:szCs w:val="20"/>
              </w:rPr>
            </w:pPr>
            <w:r w:rsidRPr="0050059F">
              <w:rPr>
                <w:b/>
                <w:sz w:val="20"/>
                <w:szCs w:val="20"/>
              </w:rPr>
              <w:t>Allontanamento e divieto di rientro in ambito di violenza domestica ( proposta di modifica)</w:t>
            </w:r>
          </w:p>
          <w:p w:rsidR="0050059F" w:rsidRPr="0050059F" w:rsidRDefault="0050059F" w:rsidP="00E66F1D">
            <w:pPr>
              <w:jc w:val="both"/>
              <w:rPr>
                <w:sz w:val="20"/>
                <w:szCs w:val="20"/>
              </w:rPr>
            </w:pPr>
          </w:p>
          <w:p w:rsidR="0050059F" w:rsidRPr="0050059F" w:rsidRDefault="0050059F" w:rsidP="00E66F1D">
            <w:pPr>
              <w:tabs>
                <w:tab w:val="left" w:pos="214"/>
              </w:tabs>
              <w:jc w:val="both"/>
              <w:rPr>
                <w:sz w:val="20"/>
                <w:szCs w:val="20"/>
              </w:rPr>
            </w:pPr>
            <w:r w:rsidRPr="0050059F">
              <w:rPr>
                <w:sz w:val="20"/>
                <w:szCs w:val="20"/>
                <w:vertAlign w:val="superscript"/>
              </w:rPr>
              <w:t>1</w:t>
            </w:r>
            <w:r w:rsidRPr="0050059F">
              <w:rPr>
                <w:sz w:val="20"/>
                <w:szCs w:val="20"/>
              </w:rPr>
              <w:t xml:space="preserve">L'ufficiale di polizia può decidere l'allontanamento per dieci giorni di una persona </w:t>
            </w:r>
            <w:r w:rsidRPr="0050059F">
              <w:rPr>
                <w:b/>
                <w:sz w:val="20"/>
                <w:szCs w:val="20"/>
              </w:rPr>
              <w:t>dall'abitazione comune</w:t>
            </w:r>
            <w:r w:rsidRPr="0050059F">
              <w:rPr>
                <w:sz w:val="20"/>
                <w:szCs w:val="20"/>
              </w:rPr>
              <w:t xml:space="preserve"> e dalle sue immediate vicinanze, come pure vietarle l'accesso a determinati locali e luoghi, se lei rappresenta un serio pericolo per l'integrità fisica, psichica o sessuale di altre persone facenti parte della stessa comunione domestica.</w:t>
            </w:r>
          </w:p>
          <w:p w:rsidR="0050059F" w:rsidRPr="00A95178" w:rsidRDefault="0050059F" w:rsidP="00E66F1D">
            <w:pPr>
              <w:jc w:val="both"/>
              <w:rPr>
                <w:sz w:val="12"/>
                <w:szCs w:val="12"/>
              </w:rPr>
            </w:pPr>
          </w:p>
        </w:tc>
      </w:tr>
      <w:tr w:rsidR="0050059F" w:rsidTr="00E66F1D">
        <w:tc>
          <w:tcPr>
            <w:tcW w:w="7213" w:type="dxa"/>
          </w:tcPr>
          <w:p w:rsidR="0050059F" w:rsidRPr="0050059F" w:rsidRDefault="0050059F" w:rsidP="00A95178">
            <w:pPr>
              <w:spacing w:before="60"/>
              <w:jc w:val="both"/>
              <w:rPr>
                <w:sz w:val="20"/>
                <w:szCs w:val="20"/>
              </w:rPr>
            </w:pPr>
            <w:r w:rsidRPr="0050059F">
              <w:rPr>
                <w:sz w:val="20"/>
                <w:szCs w:val="20"/>
                <w:vertAlign w:val="superscript"/>
              </w:rPr>
              <w:t>2</w:t>
            </w:r>
            <w:r w:rsidRPr="0050059F">
              <w:rPr>
                <w:sz w:val="20"/>
                <w:szCs w:val="20"/>
              </w:rPr>
              <w:t>…</w:t>
            </w:r>
          </w:p>
          <w:p w:rsidR="0050059F" w:rsidRPr="00A95178" w:rsidRDefault="0050059F" w:rsidP="00A95178">
            <w:pPr>
              <w:jc w:val="both"/>
              <w:rPr>
                <w:sz w:val="16"/>
                <w:szCs w:val="16"/>
              </w:rPr>
            </w:pPr>
          </w:p>
        </w:tc>
        <w:tc>
          <w:tcPr>
            <w:tcW w:w="7214" w:type="dxa"/>
          </w:tcPr>
          <w:p w:rsidR="0050059F" w:rsidRPr="0050059F" w:rsidRDefault="0050059F" w:rsidP="00A95178">
            <w:pPr>
              <w:spacing w:before="60"/>
              <w:jc w:val="both"/>
              <w:rPr>
                <w:sz w:val="20"/>
                <w:szCs w:val="20"/>
              </w:rPr>
            </w:pPr>
          </w:p>
        </w:tc>
      </w:tr>
      <w:tr w:rsidR="0050059F" w:rsidTr="00E66F1D">
        <w:tc>
          <w:tcPr>
            <w:tcW w:w="7213" w:type="dxa"/>
          </w:tcPr>
          <w:p w:rsidR="0050059F" w:rsidRPr="0050059F" w:rsidRDefault="0050059F" w:rsidP="00A95178">
            <w:pPr>
              <w:spacing w:before="60"/>
              <w:jc w:val="both"/>
              <w:rPr>
                <w:sz w:val="20"/>
                <w:szCs w:val="20"/>
              </w:rPr>
            </w:pPr>
            <w:r w:rsidRPr="0050059F">
              <w:rPr>
                <w:sz w:val="20"/>
                <w:szCs w:val="20"/>
                <w:vertAlign w:val="superscript"/>
              </w:rPr>
              <w:t>3</w:t>
            </w:r>
            <w:r w:rsidRPr="0050059F">
              <w:rPr>
                <w:sz w:val="20"/>
                <w:szCs w:val="20"/>
              </w:rPr>
              <w:t xml:space="preserve">La polizia si fa consegnare dalla persona allontanata le chiavi dell'abitazione e la invita a designare un recapito. La persona allontanata ha la possibilità di prendere con sé gli effetti personali strettamente necessari per la durata dell'allontanamento. </w:t>
            </w:r>
          </w:p>
          <w:p w:rsidR="0050059F" w:rsidRPr="00A95178" w:rsidRDefault="0050059F" w:rsidP="00A95178">
            <w:pPr>
              <w:jc w:val="both"/>
              <w:rPr>
                <w:sz w:val="12"/>
                <w:szCs w:val="12"/>
                <w:vertAlign w:val="superscript"/>
              </w:rPr>
            </w:pPr>
          </w:p>
        </w:tc>
        <w:tc>
          <w:tcPr>
            <w:tcW w:w="7214" w:type="dxa"/>
          </w:tcPr>
          <w:p w:rsidR="0050059F" w:rsidRPr="0050059F" w:rsidRDefault="0050059F" w:rsidP="00A95178">
            <w:pPr>
              <w:tabs>
                <w:tab w:val="left" w:pos="214"/>
              </w:tabs>
              <w:spacing w:before="60"/>
              <w:jc w:val="both"/>
              <w:rPr>
                <w:sz w:val="20"/>
                <w:szCs w:val="20"/>
              </w:rPr>
            </w:pPr>
            <w:r w:rsidRPr="0050059F">
              <w:rPr>
                <w:sz w:val="20"/>
                <w:szCs w:val="20"/>
                <w:vertAlign w:val="superscript"/>
              </w:rPr>
              <w:t>2</w:t>
            </w:r>
            <w:r w:rsidRPr="0050059F">
              <w:rPr>
                <w:sz w:val="20"/>
                <w:szCs w:val="20"/>
              </w:rPr>
              <w:t>La polizia cantonale si fa consegnare dalla persona allontanata le chiavi dell'abitazione e la invita a designare un recapito. La persona allontanata ha la possibilità di prendere con sé gli effetti personali strettamente necessari per la durata dell'allontanamento.</w:t>
            </w:r>
          </w:p>
          <w:p w:rsidR="0050059F" w:rsidRPr="00A95178" w:rsidRDefault="0050059F" w:rsidP="00A95178">
            <w:pPr>
              <w:tabs>
                <w:tab w:val="left" w:pos="214"/>
              </w:tabs>
              <w:jc w:val="both"/>
              <w:rPr>
                <w:sz w:val="12"/>
                <w:szCs w:val="12"/>
                <w:vertAlign w:val="superscript"/>
              </w:rPr>
            </w:pPr>
          </w:p>
        </w:tc>
      </w:tr>
      <w:tr w:rsidR="0050059F" w:rsidTr="00E66F1D">
        <w:tc>
          <w:tcPr>
            <w:tcW w:w="7213" w:type="dxa"/>
          </w:tcPr>
          <w:p w:rsidR="0050059F" w:rsidRPr="0050059F" w:rsidRDefault="0050059F" w:rsidP="00A95178">
            <w:pPr>
              <w:spacing w:before="60"/>
              <w:jc w:val="both"/>
              <w:rPr>
                <w:sz w:val="20"/>
                <w:szCs w:val="20"/>
              </w:rPr>
            </w:pPr>
            <w:r w:rsidRPr="0050059F">
              <w:rPr>
                <w:sz w:val="20"/>
                <w:szCs w:val="20"/>
                <w:vertAlign w:val="superscript"/>
              </w:rPr>
              <w:t>4</w:t>
            </w:r>
            <w:r w:rsidRPr="0050059F">
              <w:rPr>
                <w:sz w:val="20"/>
                <w:szCs w:val="20"/>
              </w:rPr>
              <w:t xml:space="preserve">La polizia informa la vittima e la persona allontanata sui centri di consulenza e sostegno e sulle offerte di terapia. La vittima viene informata anche sulla possibilità di rivolgersi entro il termine della misura dell'allontanamento, al giudice, affinché la stessa possa essere prolungata e possano essere pronunciate altre misure. </w:t>
            </w:r>
          </w:p>
          <w:p w:rsidR="0050059F" w:rsidRPr="00A95178" w:rsidRDefault="0050059F" w:rsidP="00A95178">
            <w:pPr>
              <w:jc w:val="both"/>
              <w:rPr>
                <w:sz w:val="12"/>
                <w:szCs w:val="12"/>
                <w:vertAlign w:val="superscript"/>
              </w:rPr>
            </w:pPr>
          </w:p>
        </w:tc>
        <w:tc>
          <w:tcPr>
            <w:tcW w:w="7214" w:type="dxa"/>
          </w:tcPr>
          <w:p w:rsidR="0050059F" w:rsidRPr="0050059F" w:rsidRDefault="0050059F" w:rsidP="00A95178">
            <w:pPr>
              <w:tabs>
                <w:tab w:val="left" w:pos="214"/>
              </w:tabs>
              <w:spacing w:before="60"/>
              <w:jc w:val="both"/>
              <w:rPr>
                <w:sz w:val="20"/>
                <w:szCs w:val="20"/>
              </w:rPr>
            </w:pPr>
            <w:r w:rsidRPr="0050059F">
              <w:rPr>
                <w:sz w:val="20"/>
                <w:szCs w:val="20"/>
                <w:vertAlign w:val="superscript"/>
              </w:rPr>
              <w:t>3</w:t>
            </w:r>
            <w:r w:rsidRPr="0050059F">
              <w:rPr>
                <w:sz w:val="20"/>
                <w:szCs w:val="20"/>
              </w:rPr>
              <w:t>La polizia cantonale informa la vittima e la persona allontanata sui centri di consulenza e sostegno e sulle offerte di terapia. La vittima viene informata anche sulla possibilità di rivolgersi entro il termine della misura dell'allontanamento, al giudice, affinché la stessa possa essere prolungata e possano essere pronunciate altre misure.</w:t>
            </w:r>
          </w:p>
          <w:p w:rsidR="0050059F" w:rsidRPr="00A95178" w:rsidRDefault="0050059F" w:rsidP="00A95178">
            <w:pPr>
              <w:jc w:val="both"/>
              <w:rPr>
                <w:sz w:val="12"/>
                <w:szCs w:val="12"/>
              </w:rPr>
            </w:pPr>
          </w:p>
        </w:tc>
      </w:tr>
      <w:tr w:rsidR="0050059F" w:rsidTr="00E66F1D">
        <w:tc>
          <w:tcPr>
            <w:tcW w:w="7213" w:type="dxa"/>
          </w:tcPr>
          <w:p w:rsidR="0050059F" w:rsidRPr="00250F2E" w:rsidRDefault="0050059F" w:rsidP="00A95178">
            <w:pPr>
              <w:spacing w:before="60"/>
              <w:jc w:val="both"/>
              <w:rPr>
                <w:sz w:val="12"/>
                <w:szCs w:val="12"/>
                <w:vertAlign w:val="superscript"/>
              </w:rPr>
            </w:pPr>
            <w:r w:rsidRPr="0050059F">
              <w:rPr>
                <w:sz w:val="20"/>
                <w:szCs w:val="20"/>
                <w:vertAlign w:val="superscript"/>
              </w:rPr>
              <w:t>5</w:t>
            </w:r>
            <w:r w:rsidRPr="0050059F">
              <w:rPr>
                <w:sz w:val="20"/>
                <w:szCs w:val="20"/>
              </w:rPr>
              <w:t xml:space="preserve">L'ufficiale di polizia comunica per iscritto entro ventiquattro ore alla persona allontanata la decisione indicante i motivi di allontanamento, i luoghi del divieto e le conseguenze dell'inosservanza delle decisioni dell'autorità. Copia della decisione viene trasmessa immediatamente alle altre persone coinvolte </w:t>
            </w:r>
            <w:r w:rsidRPr="0050059F">
              <w:rPr>
                <w:b/>
                <w:sz w:val="20"/>
                <w:szCs w:val="20"/>
              </w:rPr>
              <w:t>e al pretore, il quale esamina la decisione sulla base degli atti e può ordinare un dibattimento orale. Egli decide entro tre giorni</w:t>
            </w:r>
            <w:r w:rsidRPr="0050059F">
              <w:rPr>
                <w:sz w:val="20"/>
                <w:szCs w:val="20"/>
              </w:rPr>
              <w:t xml:space="preserve">. </w:t>
            </w:r>
            <w:r w:rsidR="0095164D">
              <w:rPr>
                <w:sz w:val="20"/>
                <w:szCs w:val="20"/>
              </w:rPr>
              <w:br/>
            </w:r>
          </w:p>
        </w:tc>
        <w:tc>
          <w:tcPr>
            <w:tcW w:w="7214" w:type="dxa"/>
          </w:tcPr>
          <w:p w:rsidR="0050059F" w:rsidRPr="0050059F" w:rsidRDefault="0050059F" w:rsidP="00A95178">
            <w:pPr>
              <w:tabs>
                <w:tab w:val="left" w:pos="214"/>
              </w:tabs>
              <w:spacing w:before="60"/>
              <w:jc w:val="both"/>
              <w:rPr>
                <w:b/>
                <w:sz w:val="20"/>
                <w:szCs w:val="20"/>
              </w:rPr>
            </w:pPr>
            <w:r w:rsidRPr="0050059F">
              <w:rPr>
                <w:sz w:val="20"/>
                <w:szCs w:val="20"/>
                <w:vertAlign w:val="superscript"/>
              </w:rPr>
              <w:t>4</w:t>
            </w:r>
            <w:r w:rsidRPr="0050059F">
              <w:rPr>
                <w:sz w:val="20"/>
                <w:szCs w:val="20"/>
              </w:rPr>
              <w:t xml:space="preserve">L'ufficiale di polizia comunica per iscritto entro 24 ore alla persona allontanata la decisione indicante i motivi dell'allontanamento, i luoghi del divieto e le conseguenze dell'inosservanza delle decisioni dell'autorità. Copia della decisione viene trasmessa immediatamente alle altre persone coinvolte </w:t>
            </w:r>
            <w:r w:rsidRPr="0050059F">
              <w:rPr>
                <w:b/>
                <w:sz w:val="20"/>
                <w:szCs w:val="20"/>
              </w:rPr>
              <w:t xml:space="preserve">e all'Ufficio dell'assistenza riabilitativa. </w:t>
            </w:r>
          </w:p>
          <w:p w:rsidR="0050059F" w:rsidRPr="00A95178" w:rsidRDefault="0050059F" w:rsidP="00A95178">
            <w:pPr>
              <w:spacing w:before="60"/>
              <w:jc w:val="both"/>
              <w:rPr>
                <w:sz w:val="20"/>
                <w:szCs w:val="20"/>
              </w:rPr>
            </w:pPr>
          </w:p>
        </w:tc>
      </w:tr>
      <w:tr w:rsidR="0095164D" w:rsidTr="00E66F1D">
        <w:tc>
          <w:tcPr>
            <w:tcW w:w="7213" w:type="dxa"/>
          </w:tcPr>
          <w:p w:rsidR="0095164D" w:rsidRPr="0050059F" w:rsidRDefault="0095164D" w:rsidP="00250F2E">
            <w:pPr>
              <w:spacing w:before="60"/>
              <w:jc w:val="both"/>
              <w:rPr>
                <w:sz w:val="20"/>
                <w:szCs w:val="20"/>
              </w:rPr>
            </w:pPr>
            <w:r w:rsidRPr="0050059F">
              <w:rPr>
                <w:sz w:val="20"/>
                <w:szCs w:val="20"/>
              </w:rPr>
              <w:lastRenderedPageBreak/>
              <w:t>Sono applicabili per analogia gli articoli 261 e seguenti del codice di procedura civile del 19 dicembre 2008. Gli atti vengono notificati alla persona allontanata per il tramite della polizia.</w:t>
            </w:r>
          </w:p>
          <w:p w:rsidR="0095164D" w:rsidRPr="0050059F" w:rsidRDefault="0095164D" w:rsidP="00E66F1D">
            <w:pPr>
              <w:rPr>
                <w:sz w:val="20"/>
                <w:szCs w:val="20"/>
                <w:vertAlign w:val="superscript"/>
              </w:rPr>
            </w:pPr>
          </w:p>
        </w:tc>
        <w:tc>
          <w:tcPr>
            <w:tcW w:w="7214" w:type="dxa"/>
          </w:tcPr>
          <w:p w:rsidR="0095164D" w:rsidRPr="0050059F" w:rsidRDefault="0095164D" w:rsidP="00250F2E">
            <w:pPr>
              <w:tabs>
                <w:tab w:val="left" w:pos="214"/>
              </w:tabs>
              <w:spacing w:before="60"/>
              <w:jc w:val="both"/>
              <w:rPr>
                <w:sz w:val="20"/>
                <w:szCs w:val="20"/>
              </w:rPr>
            </w:pPr>
            <w:r w:rsidRPr="0050059F">
              <w:rPr>
                <w:b/>
                <w:sz w:val="20"/>
                <w:szCs w:val="20"/>
                <w:vertAlign w:val="superscript"/>
              </w:rPr>
              <w:t>5</w:t>
            </w:r>
            <w:r w:rsidRPr="0050059F">
              <w:rPr>
                <w:b/>
                <w:sz w:val="20"/>
                <w:szCs w:val="20"/>
              </w:rPr>
              <w:t>La decisione di allontanamento e divieto di rientro può essere contestata, entro 3 giorni dalla notifica, davanti al pretore, il quale la esamina sulla base degli atti e può ordinare un dibattimento orale. Egli decide entro 3 giorni.</w:t>
            </w:r>
            <w:r w:rsidRPr="0050059F">
              <w:rPr>
                <w:sz w:val="20"/>
                <w:szCs w:val="20"/>
              </w:rPr>
              <w:t xml:space="preserve"> Sono applicabili per analogia gli articoli 261 e seguenti del codice di procedura civile del 19 dicembre 2008. Gli atti vengono notificati alla persona allontanata per il tramite della polizia.</w:t>
            </w:r>
          </w:p>
          <w:p w:rsidR="0095164D" w:rsidRPr="0050059F" w:rsidRDefault="0095164D" w:rsidP="0095164D">
            <w:pPr>
              <w:jc w:val="both"/>
              <w:rPr>
                <w:sz w:val="20"/>
                <w:szCs w:val="20"/>
              </w:rPr>
            </w:pPr>
          </w:p>
          <w:p w:rsidR="0095164D" w:rsidRPr="0050059F" w:rsidRDefault="0095164D" w:rsidP="0095164D">
            <w:pPr>
              <w:tabs>
                <w:tab w:val="left" w:pos="214"/>
              </w:tabs>
              <w:jc w:val="both"/>
              <w:rPr>
                <w:b/>
                <w:sz w:val="20"/>
                <w:szCs w:val="20"/>
              </w:rPr>
            </w:pPr>
            <w:r w:rsidRPr="0050059F">
              <w:rPr>
                <w:b/>
                <w:sz w:val="20"/>
                <w:szCs w:val="20"/>
                <w:vertAlign w:val="superscript"/>
              </w:rPr>
              <w:t>6</w:t>
            </w:r>
            <w:r w:rsidRPr="0050059F">
              <w:rPr>
                <w:b/>
                <w:sz w:val="20"/>
                <w:szCs w:val="20"/>
              </w:rPr>
              <w:t>L'Ufficio dell'assistenza riabilitativa</w:t>
            </w:r>
            <w:r w:rsidRPr="0050059F" w:rsidDel="002A3694">
              <w:rPr>
                <w:b/>
                <w:sz w:val="20"/>
                <w:szCs w:val="20"/>
              </w:rPr>
              <w:t xml:space="preserve"> </w:t>
            </w:r>
            <w:r w:rsidRPr="0050059F">
              <w:rPr>
                <w:b/>
                <w:sz w:val="20"/>
                <w:szCs w:val="20"/>
              </w:rPr>
              <w:t>prende immediatamente contatto con la persona allontanata; se quest'ultima non desidera consulenza la documentazione ricevuta viene distrutta.</w:t>
            </w:r>
          </w:p>
          <w:p w:rsidR="0095164D" w:rsidRPr="0050059F" w:rsidRDefault="0095164D" w:rsidP="0095164D">
            <w:pPr>
              <w:jc w:val="both"/>
              <w:rPr>
                <w:sz w:val="20"/>
                <w:szCs w:val="20"/>
              </w:rPr>
            </w:pPr>
          </w:p>
          <w:p w:rsidR="0095164D" w:rsidRPr="0050059F" w:rsidRDefault="0095164D" w:rsidP="00250F2E">
            <w:pPr>
              <w:tabs>
                <w:tab w:val="left" w:pos="214"/>
              </w:tabs>
              <w:spacing w:after="60"/>
              <w:jc w:val="both"/>
              <w:rPr>
                <w:sz w:val="20"/>
                <w:szCs w:val="20"/>
                <w:vertAlign w:val="superscript"/>
              </w:rPr>
            </w:pPr>
            <w:r w:rsidRPr="0050059F">
              <w:rPr>
                <w:b/>
                <w:sz w:val="20"/>
                <w:szCs w:val="20"/>
                <w:vertAlign w:val="superscript"/>
              </w:rPr>
              <w:t>7</w:t>
            </w:r>
            <w:r w:rsidRPr="0050059F">
              <w:rPr>
                <w:b/>
                <w:sz w:val="20"/>
                <w:szCs w:val="20"/>
              </w:rPr>
              <w:t xml:space="preserve">La polizia comunale è tenuta a trasmettere </w:t>
            </w:r>
            <w:proofErr w:type="spellStart"/>
            <w:r w:rsidRPr="0050059F">
              <w:rPr>
                <w:b/>
                <w:sz w:val="20"/>
                <w:szCs w:val="20"/>
              </w:rPr>
              <w:t>indilatamente</w:t>
            </w:r>
            <w:proofErr w:type="spellEnd"/>
            <w:r w:rsidRPr="0050059F">
              <w:rPr>
                <w:b/>
                <w:sz w:val="20"/>
                <w:szCs w:val="20"/>
              </w:rPr>
              <w:t xml:space="preserve"> alla polizia cantonale copia della documentazione concernente i suoi interventi in ambito di conflitti domestici.</w:t>
            </w:r>
          </w:p>
        </w:tc>
      </w:tr>
    </w:tbl>
    <w:p w:rsidR="0050059F" w:rsidRDefault="0050059F" w:rsidP="0050059F"/>
    <w:p w:rsidR="0095164D" w:rsidRDefault="0095164D" w:rsidP="0050059F"/>
    <w:p w:rsidR="0050059F" w:rsidRDefault="0050059F" w:rsidP="0050059F"/>
    <w:p w:rsidR="0050059F" w:rsidRPr="0011212D" w:rsidRDefault="0050059F" w:rsidP="0050059F">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IV.</w:t>
      </w:r>
      <w:r>
        <w:rPr>
          <w:rFonts w:ascii="Arial Grassetto" w:eastAsia="MS Mincho" w:hAnsi="Arial Grassetto" w:cs="Arial"/>
          <w:b/>
          <w:caps/>
        </w:rPr>
        <w:tab/>
      </w:r>
      <w:r w:rsidRPr="0011212D">
        <w:rPr>
          <w:rFonts w:ascii="Arial Grassetto" w:eastAsia="MS Mincho" w:hAnsi="Arial Grassetto" w:cs="Arial"/>
          <w:b/>
          <w:caps/>
        </w:rPr>
        <w:t>Audizioni</w:t>
      </w:r>
      <w:r>
        <w:rPr>
          <w:rFonts w:ascii="Arial Grassetto" w:eastAsia="MS Mincho" w:hAnsi="Arial Grassetto" w:cs="Arial"/>
          <w:b/>
          <w:caps/>
        </w:rPr>
        <w:t xml:space="preserve"> e considerazioni commissionali</w:t>
      </w:r>
    </w:p>
    <w:p w:rsidR="0050059F" w:rsidRDefault="0050059F" w:rsidP="0050059F">
      <w:pPr>
        <w:tabs>
          <w:tab w:val="left" w:pos="1985"/>
          <w:tab w:val="left" w:pos="4933"/>
        </w:tabs>
        <w:ind w:right="-1"/>
        <w:rPr>
          <w:rFonts w:cs="Arial"/>
        </w:rPr>
      </w:pPr>
      <w:r w:rsidRPr="00305926">
        <w:rPr>
          <w:rFonts w:cs="Arial"/>
        </w:rPr>
        <w:t>Nonostante i contenuti della richiesta di modifica in s</w:t>
      </w:r>
      <w:r>
        <w:rPr>
          <w:rFonts w:cs="Arial"/>
        </w:rPr>
        <w:t>é</w:t>
      </w:r>
      <w:r w:rsidRPr="00305926">
        <w:rPr>
          <w:rFonts w:cs="Arial"/>
        </w:rPr>
        <w:t xml:space="preserve"> risultino semplici, il contesto è delicato, particolare e sensibile. La sua disanima ha consigliato di sentire in audizione, per fugare dubbi e perple</w:t>
      </w:r>
      <w:r>
        <w:rPr>
          <w:rFonts w:cs="Arial"/>
        </w:rPr>
        <w:t>ssità, alcuni membri del</w:t>
      </w:r>
      <w:r w:rsidRPr="00305926">
        <w:rPr>
          <w:rFonts w:cs="Arial"/>
        </w:rPr>
        <w:t xml:space="preserve"> </w:t>
      </w:r>
      <w:r>
        <w:rPr>
          <w:rFonts w:cs="Arial"/>
        </w:rPr>
        <w:t>Gruppo</w:t>
      </w:r>
      <w:r w:rsidRPr="00305926">
        <w:rPr>
          <w:rFonts w:cs="Arial"/>
        </w:rPr>
        <w:t xml:space="preserve"> di accompagnamento permanente in materia di violenza domestica</w:t>
      </w:r>
      <w:r>
        <w:rPr>
          <w:rFonts w:cs="Arial"/>
        </w:rPr>
        <w:t xml:space="preserve">: </w:t>
      </w:r>
      <w:proofErr w:type="spellStart"/>
      <w:r>
        <w:rPr>
          <w:rFonts w:cs="Arial"/>
        </w:rPr>
        <w:t>m</w:t>
      </w:r>
      <w:r w:rsidRPr="00305926">
        <w:rPr>
          <w:rFonts w:cs="Arial"/>
        </w:rPr>
        <w:t>ercoledí</w:t>
      </w:r>
      <w:proofErr w:type="spellEnd"/>
      <w:r w:rsidRPr="00305926">
        <w:rPr>
          <w:rFonts w:cs="Arial"/>
        </w:rPr>
        <w:t xml:space="preserve"> 17 maggio 2017 </w:t>
      </w:r>
      <w:r>
        <w:rPr>
          <w:rFonts w:cs="Arial"/>
        </w:rPr>
        <w:t>, la presidente del</w:t>
      </w:r>
      <w:r w:rsidRPr="00305926">
        <w:rPr>
          <w:rFonts w:cs="Arial"/>
        </w:rPr>
        <w:t xml:space="preserve"> </w:t>
      </w:r>
      <w:r>
        <w:rPr>
          <w:rFonts w:cs="Arial"/>
        </w:rPr>
        <w:t>Gruppo</w:t>
      </w:r>
      <w:r w:rsidRPr="00305926">
        <w:rPr>
          <w:rFonts w:cs="Arial"/>
        </w:rPr>
        <w:t xml:space="preserve"> avv. Marilena Fontaine, già responsabile dell'Ufficio della legislazione e delle pari opportunità, e il signor Pierluigi </w:t>
      </w:r>
      <w:proofErr w:type="spellStart"/>
      <w:r w:rsidRPr="00305926">
        <w:rPr>
          <w:rFonts w:cs="Arial"/>
        </w:rPr>
        <w:t>Vaerini</w:t>
      </w:r>
      <w:proofErr w:type="spellEnd"/>
      <w:r w:rsidRPr="00305926">
        <w:rPr>
          <w:rFonts w:cs="Arial"/>
        </w:rPr>
        <w:t>, capitano della polizia cantonale</w:t>
      </w:r>
      <w:r>
        <w:rPr>
          <w:rFonts w:cs="Arial"/>
        </w:rPr>
        <w:t xml:space="preserve">; </w:t>
      </w:r>
      <w:proofErr w:type="spellStart"/>
      <w:r>
        <w:rPr>
          <w:rFonts w:cs="Arial"/>
        </w:rPr>
        <w:t>m</w:t>
      </w:r>
      <w:r w:rsidRPr="00305926">
        <w:rPr>
          <w:rFonts w:cs="Arial"/>
        </w:rPr>
        <w:t>ercoledí</w:t>
      </w:r>
      <w:proofErr w:type="spellEnd"/>
      <w:r w:rsidRPr="00305926">
        <w:rPr>
          <w:rFonts w:cs="Arial"/>
        </w:rPr>
        <w:t xml:space="preserve"> 24 maggio 2017, le signore Cristiana Finzi, delegata per l'aiuto delle vittime di reati (DSS) e la signora Luisella De Martini, capo dell'Ufficio dell'assistenza riabilitativa (DI).</w:t>
      </w:r>
      <w:r>
        <w:rPr>
          <w:rFonts w:cs="Arial"/>
        </w:rPr>
        <w:t xml:space="preserve"> Le a</w:t>
      </w:r>
      <w:r w:rsidRPr="00305926">
        <w:rPr>
          <w:rFonts w:cs="Arial"/>
        </w:rPr>
        <w:t xml:space="preserve">udizioni hanno consentito di rammentare compiti e attività della Commissione </w:t>
      </w:r>
      <w:r>
        <w:rPr>
          <w:rFonts w:cs="Arial"/>
        </w:rPr>
        <w:t>permanente.</w:t>
      </w:r>
    </w:p>
    <w:p w:rsidR="0050059F" w:rsidRPr="00305926" w:rsidRDefault="0050059F" w:rsidP="0050059F">
      <w:pPr>
        <w:tabs>
          <w:tab w:val="left" w:pos="1985"/>
          <w:tab w:val="left" w:pos="4933"/>
        </w:tabs>
        <w:ind w:right="-1"/>
        <w:rPr>
          <w:rFonts w:cs="Arial"/>
        </w:rPr>
      </w:pPr>
    </w:p>
    <w:p w:rsidR="0050059F" w:rsidRDefault="0050059F" w:rsidP="0050059F">
      <w:pPr>
        <w:tabs>
          <w:tab w:val="left" w:pos="1985"/>
          <w:tab w:val="left" w:pos="4933"/>
        </w:tabs>
        <w:ind w:right="-1"/>
        <w:rPr>
          <w:rFonts w:cs="Arial"/>
        </w:rPr>
      </w:pPr>
      <w:r w:rsidRPr="00305926">
        <w:rPr>
          <w:rFonts w:cs="Arial"/>
        </w:rPr>
        <w:t>Come ci ha ricordato la signora Fontaine</w:t>
      </w:r>
      <w:r>
        <w:rPr>
          <w:rFonts w:cs="Arial"/>
        </w:rPr>
        <w:t xml:space="preserve">, </w:t>
      </w:r>
      <w:r w:rsidRPr="0095164D">
        <w:rPr>
          <w:rFonts w:cs="Arial"/>
          <w:i/>
          <w:sz w:val="23"/>
          <w:szCs w:val="23"/>
        </w:rPr>
        <w:t>«il gruppo di accompagnamento violenza domestica è nato in seguito all'introduzione della misura dell'allontanamento degli autori di questo tipo di violenza, nel 2007, con i compiti di coadiuvare la polizia cantonale nell'esercizio di questo nuovo e non semplice impegno, e di formulare proposte concrete per quanto concerne gli interventi sugli autori di violenze, aspetto fino ad allora trascurato; il terzo compito consiste nell'informazione e nella sensibilizzazione del pubblico. La violenza domestica è un fenomeno sommerso, motivo per cui l'informazione è molto importante. La commissione si riunisce circa cinque volte all'anno ed è l'occasione per i suoi membri di scambiarsi le esperienze acquisite nei rispettive campi di attività. Fra l'altro ha contribuito all'allestimento di documentazione (opuscoli, eccetera) su questo tema e alla formazione specifica degli agenti di polizia, che prosegue ancora oggi. Per quanto concerne gli autori di violenze domestiche, dopo l'esame effettuato, d'accordo il DI,  si è giunti alla conclusione di incaricare l'Ufficio per l'assistenza riabilitativa di occuparsene. Dal 2011 il servizio è offerto agli autori di violenze che ne fanno richiesta e dal 2014 è possibile collocarli in alloggi temporanei. La commissione fa parte della rete nazionale dei progetti di riferimento contro la violenza domestica, che riunisce tutte le iniziative prese a livello federale e cantonale su questo tema; quando ci è possibile partecipiamo a eventi specifici. Siamo poi coinvolti in occasione delle consultazioni, come quella recente volta a migliorare la legge federale per la protezione delle vittime di violenza o di altre in risposta ad atti parlamentari che denunciano una situazione di generale insoddisfazione»</w:t>
      </w:r>
      <w:r w:rsidRPr="0095164D">
        <w:rPr>
          <w:rFonts w:cs="Arial"/>
          <w:sz w:val="23"/>
          <w:szCs w:val="23"/>
        </w:rPr>
        <w:t>.</w:t>
      </w:r>
    </w:p>
    <w:p w:rsidR="0050059F" w:rsidRPr="00305926" w:rsidRDefault="0050059F" w:rsidP="0050059F">
      <w:pPr>
        <w:tabs>
          <w:tab w:val="left" w:pos="1985"/>
          <w:tab w:val="left" w:pos="4933"/>
        </w:tabs>
        <w:ind w:right="-1"/>
        <w:rPr>
          <w:rFonts w:cs="Arial"/>
        </w:rPr>
      </w:pPr>
    </w:p>
    <w:p w:rsidR="0050059F" w:rsidRPr="00305926" w:rsidRDefault="0050059F" w:rsidP="0050059F">
      <w:pPr>
        <w:tabs>
          <w:tab w:val="left" w:pos="1985"/>
          <w:tab w:val="left" w:pos="4933"/>
        </w:tabs>
        <w:ind w:right="-1"/>
        <w:rPr>
          <w:rFonts w:cs="Arial"/>
        </w:rPr>
      </w:pPr>
      <w:r>
        <w:rPr>
          <w:rFonts w:cs="Arial"/>
        </w:rPr>
        <w:t xml:space="preserve">Inoltre il cap. </w:t>
      </w:r>
      <w:proofErr w:type="spellStart"/>
      <w:r>
        <w:rPr>
          <w:rFonts w:cs="Arial"/>
        </w:rPr>
        <w:t>Vaerini</w:t>
      </w:r>
      <w:proofErr w:type="spellEnd"/>
      <w:r>
        <w:rPr>
          <w:rFonts w:cs="Arial"/>
        </w:rPr>
        <w:t xml:space="preserve"> ha tenuto a sottolineare che </w:t>
      </w:r>
      <w:r w:rsidRPr="0095164D">
        <w:rPr>
          <w:rFonts w:cs="Arial"/>
          <w:i/>
          <w:sz w:val="23"/>
          <w:szCs w:val="23"/>
        </w:rPr>
        <w:t>«a livello di formazione degli agenti di polizia cantonale e comunale esiste un capitolo specifico sulla violenza domestica che è materia d'esame federale. La tendenza ci dice che, se lo scorso anno vi erano due interventi al giorno, negli ultimi mesi si sta passando a tre interventi giornalieri in media. Gli agenti devono valutare in un primo momento se sussiste un pericolo e se sia opportuno separare le parti ed evitare ulteriori violenze, oltre che valutare se vi sono reati perseguibili d'ufficio (come prevede la recente modifica del CP)»</w:t>
      </w:r>
      <w:r w:rsidRPr="00305926">
        <w:rPr>
          <w:rFonts w:cs="Arial"/>
        </w:rPr>
        <w:t>.</w:t>
      </w:r>
    </w:p>
    <w:p w:rsidR="0050059F" w:rsidRPr="00305926" w:rsidRDefault="0050059F" w:rsidP="0050059F">
      <w:pPr>
        <w:tabs>
          <w:tab w:val="left" w:pos="1985"/>
          <w:tab w:val="left" w:pos="4933"/>
        </w:tabs>
        <w:ind w:right="-1"/>
        <w:rPr>
          <w:rFonts w:cs="Arial"/>
        </w:rPr>
      </w:pPr>
    </w:p>
    <w:p w:rsidR="0050059F" w:rsidRDefault="0050059F" w:rsidP="0050059F">
      <w:pPr>
        <w:tabs>
          <w:tab w:val="left" w:pos="1985"/>
          <w:tab w:val="left" w:pos="4933"/>
        </w:tabs>
        <w:ind w:right="-1"/>
        <w:rPr>
          <w:rFonts w:cs="Arial"/>
        </w:rPr>
      </w:pPr>
    </w:p>
    <w:p w:rsidR="0095164D" w:rsidRPr="00305926" w:rsidRDefault="0095164D" w:rsidP="0050059F">
      <w:pPr>
        <w:tabs>
          <w:tab w:val="left" w:pos="1985"/>
          <w:tab w:val="left" w:pos="4933"/>
        </w:tabs>
        <w:ind w:right="-1"/>
        <w:rPr>
          <w:rFonts w:cs="Arial"/>
        </w:rPr>
      </w:pPr>
    </w:p>
    <w:p w:rsidR="0050059F" w:rsidRPr="0011212D" w:rsidRDefault="0050059F" w:rsidP="0050059F">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V.</w:t>
      </w:r>
      <w:r>
        <w:rPr>
          <w:rFonts w:ascii="Arial Grassetto" w:eastAsia="MS Mincho" w:hAnsi="Arial Grassetto" w:cs="Arial"/>
          <w:b/>
          <w:caps/>
        </w:rPr>
        <w:tab/>
      </w:r>
      <w:r w:rsidRPr="0011212D">
        <w:rPr>
          <w:rFonts w:ascii="Arial Grassetto" w:eastAsia="MS Mincho" w:hAnsi="Arial Grassetto" w:cs="Arial"/>
          <w:b/>
          <w:caps/>
        </w:rPr>
        <w:t>La modifica di le</w:t>
      </w:r>
      <w:r>
        <w:rPr>
          <w:rFonts w:ascii="Arial Grassetto" w:eastAsia="MS Mincho" w:hAnsi="Arial Grassetto" w:cs="Arial"/>
          <w:b/>
          <w:caps/>
        </w:rPr>
        <w:t>gge: tre aspetti e precisazioni</w:t>
      </w:r>
    </w:p>
    <w:p w:rsidR="0050059F" w:rsidRDefault="0050059F" w:rsidP="0050059F">
      <w:pPr>
        <w:pStyle w:val="Titolo2"/>
      </w:pPr>
      <w:r>
        <w:t>La liceità dell'intervento unico dell'ufficiale di polizia ( art. 9a cpv. 5)</w:t>
      </w:r>
    </w:p>
    <w:p w:rsidR="0050059F" w:rsidRDefault="0050059F" w:rsidP="0050059F">
      <w:pPr>
        <w:tabs>
          <w:tab w:val="left" w:pos="1985"/>
          <w:tab w:val="left" w:pos="4933"/>
        </w:tabs>
        <w:ind w:right="-1"/>
        <w:rPr>
          <w:rFonts w:cs="Arial"/>
        </w:rPr>
      </w:pPr>
      <w:r w:rsidRPr="0011212D">
        <w:rPr>
          <w:rFonts w:cs="Arial"/>
        </w:rPr>
        <w:t xml:space="preserve">Il Consiglio di Stato, sollecitato dalla nostra Commissione, ha preso posizione con lettera del 7 giugno 2017 , nella quale sottolinea per finire che </w:t>
      </w:r>
      <w:r w:rsidRPr="0011212D">
        <w:rPr>
          <w:rFonts w:cs="Arial"/>
          <w:i/>
        </w:rPr>
        <w:t xml:space="preserve">«la rinuncia al coinvolgimento obbligatorio del Magistrato </w:t>
      </w:r>
      <w:r>
        <w:rPr>
          <w:rFonts w:cs="Arial"/>
          <w:i/>
        </w:rPr>
        <w:t>(</w:t>
      </w:r>
      <w:proofErr w:type="spellStart"/>
      <w:r w:rsidRPr="0011212D">
        <w:rPr>
          <w:rFonts w:cs="Arial"/>
          <w:i/>
        </w:rPr>
        <w:t>ndr</w:t>
      </w:r>
      <w:proofErr w:type="spellEnd"/>
      <w:r w:rsidRPr="0011212D">
        <w:rPr>
          <w:rFonts w:cs="Arial"/>
          <w:i/>
        </w:rPr>
        <w:t>. il Pretore, in quanto l'allontanamento è considerata misura amministrativa) costituisce uno sgravio per lo stesso, ritenuto che la misura di allontanamento potrà comunque essere contestata, ciò che permette la salvaguardia dei diritti delle persone interessate»</w:t>
      </w:r>
      <w:r w:rsidRPr="0011212D">
        <w:rPr>
          <w:rFonts w:cs="Arial"/>
        </w:rPr>
        <w:t>.</w:t>
      </w:r>
    </w:p>
    <w:p w:rsidR="0050059F" w:rsidRPr="0011212D" w:rsidRDefault="0050059F" w:rsidP="0050059F">
      <w:pPr>
        <w:tabs>
          <w:tab w:val="left" w:pos="1985"/>
          <w:tab w:val="left" w:pos="4933"/>
        </w:tabs>
        <w:ind w:right="-1"/>
        <w:rPr>
          <w:rFonts w:cs="Arial"/>
        </w:rPr>
      </w:pPr>
    </w:p>
    <w:p w:rsidR="0050059F" w:rsidRDefault="0050059F" w:rsidP="0050059F">
      <w:pPr>
        <w:tabs>
          <w:tab w:val="left" w:pos="1985"/>
          <w:tab w:val="left" w:pos="4933"/>
        </w:tabs>
        <w:ind w:right="-1"/>
        <w:rPr>
          <w:rFonts w:cs="Arial"/>
        </w:rPr>
      </w:pPr>
      <w:r w:rsidRPr="0011212D">
        <w:rPr>
          <w:rFonts w:cs="Arial"/>
        </w:rPr>
        <w:t>Per fugare ogni ulteriore dubbio</w:t>
      </w:r>
      <w:r>
        <w:rPr>
          <w:rFonts w:cs="Arial"/>
        </w:rPr>
        <w:t xml:space="preserve"> (</w:t>
      </w:r>
      <w:r w:rsidRPr="0011212D">
        <w:rPr>
          <w:rFonts w:cs="Arial"/>
        </w:rPr>
        <w:t>il tema è stato oggetto di molte discussioni fra i commissari e in occasione delle audizioni con gli esperti), si è ritenuto opportuno avvalersi del parere del consulente giuridico del Gran Consiglio, avv. Tiziano Veronelli.</w:t>
      </w:r>
    </w:p>
    <w:p w:rsidR="0050059F" w:rsidRPr="0011212D" w:rsidRDefault="0050059F" w:rsidP="0050059F">
      <w:pPr>
        <w:tabs>
          <w:tab w:val="left" w:pos="1985"/>
          <w:tab w:val="left" w:pos="4933"/>
        </w:tabs>
        <w:ind w:right="-1"/>
        <w:rPr>
          <w:rFonts w:cs="Arial"/>
        </w:rPr>
      </w:pPr>
    </w:p>
    <w:p w:rsidR="0050059F" w:rsidRPr="0011212D" w:rsidRDefault="0050059F" w:rsidP="0050059F">
      <w:pPr>
        <w:tabs>
          <w:tab w:val="left" w:pos="1985"/>
          <w:tab w:val="left" w:pos="4933"/>
        </w:tabs>
        <w:ind w:right="-1"/>
        <w:rPr>
          <w:rFonts w:cs="Arial"/>
        </w:rPr>
      </w:pPr>
      <w:r>
        <w:rPr>
          <w:rFonts w:cs="Arial"/>
        </w:rPr>
        <w:t>Queste le sue conclusioni:</w:t>
      </w:r>
    </w:p>
    <w:p w:rsidR="0050059F" w:rsidRPr="0095164D" w:rsidRDefault="0050059F" w:rsidP="0050059F">
      <w:pPr>
        <w:rPr>
          <w:sz w:val="18"/>
          <w:szCs w:val="18"/>
        </w:rPr>
      </w:pPr>
    </w:p>
    <w:p w:rsidR="0050059F" w:rsidRPr="0095164D" w:rsidRDefault="0050059F" w:rsidP="0050059F">
      <w:pPr>
        <w:pStyle w:val="Paragrafoelenco"/>
        <w:numPr>
          <w:ilvl w:val="0"/>
          <w:numId w:val="5"/>
        </w:numPr>
        <w:ind w:left="425" w:hanging="425"/>
        <w:contextualSpacing/>
        <w:rPr>
          <w:rFonts w:cs="Arial"/>
          <w:i/>
          <w:color w:val="000000" w:themeColor="text1"/>
          <w:sz w:val="22"/>
        </w:rPr>
      </w:pPr>
      <w:r w:rsidRPr="0095164D">
        <w:rPr>
          <w:rFonts w:cs="Arial"/>
          <w:i/>
          <w:color w:val="000000" w:themeColor="text1"/>
          <w:sz w:val="22"/>
        </w:rPr>
        <w:t xml:space="preserve">«Dal profilo del </w:t>
      </w:r>
      <w:r w:rsidRPr="0095164D">
        <w:rPr>
          <w:rFonts w:cs="Arial"/>
          <w:b/>
          <w:i/>
          <w:color w:val="000000" w:themeColor="text1"/>
          <w:sz w:val="22"/>
        </w:rPr>
        <w:t>diritto costituzionale</w:t>
      </w:r>
      <w:r w:rsidRPr="0095164D">
        <w:rPr>
          <w:rFonts w:cs="Arial"/>
          <w:i/>
          <w:color w:val="000000" w:themeColor="text1"/>
          <w:sz w:val="22"/>
        </w:rPr>
        <w:t xml:space="preserve">, trattandosi di </w:t>
      </w:r>
      <w:r w:rsidRPr="0095164D">
        <w:rPr>
          <w:rFonts w:cs="Arial"/>
          <w:b/>
          <w:i/>
          <w:color w:val="000000" w:themeColor="text1"/>
          <w:sz w:val="22"/>
        </w:rPr>
        <w:t>una misura di restringimento della libertà personale e del diritto alla protezione della sfera privata dell'autore della violenza</w:t>
      </w:r>
      <w:r w:rsidRPr="0095164D">
        <w:rPr>
          <w:rFonts w:cs="Arial"/>
          <w:i/>
          <w:color w:val="000000" w:themeColor="text1"/>
          <w:sz w:val="22"/>
        </w:rPr>
        <w:t xml:space="preserve">, è indispensabile che l'allontanamento e il divieto di rientro siano </w:t>
      </w:r>
      <w:r w:rsidRPr="0095164D">
        <w:rPr>
          <w:rFonts w:cs="Arial"/>
          <w:b/>
          <w:i/>
          <w:color w:val="000000" w:themeColor="text1"/>
          <w:sz w:val="22"/>
        </w:rPr>
        <w:t>ancorati in una base legale in senso formale</w:t>
      </w:r>
      <w:r w:rsidRPr="0095164D">
        <w:rPr>
          <w:rFonts w:cs="Arial"/>
          <w:i/>
          <w:color w:val="000000" w:themeColor="text1"/>
          <w:sz w:val="22"/>
        </w:rPr>
        <w:t xml:space="preserve"> (ciò che è palesemente il caso nella fattispecie); tale misura dovrà inoltre essere </w:t>
      </w:r>
      <w:r w:rsidRPr="0095164D">
        <w:rPr>
          <w:rFonts w:cs="Arial"/>
          <w:b/>
          <w:i/>
          <w:color w:val="000000" w:themeColor="text1"/>
          <w:sz w:val="22"/>
        </w:rPr>
        <w:t>proporzionata</w:t>
      </w:r>
      <w:r w:rsidRPr="0095164D">
        <w:rPr>
          <w:rFonts w:cs="Arial"/>
          <w:i/>
          <w:color w:val="000000" w:themeColor="text1"/>
          <w:sz w:val="22"/>
        </w:rPr>
        <w:t xml:space="preserve"> (ossia idonea e necessaria a proteggere la vittima di violenza) e basata su di un </w:t>
      </w:r>
      <w:r w:rsidRPr="0095164D">
        <w:rPr>
          <w:rFonts w:cs="Arial"/>
          <w:b/>
          <w:i/>
          <w:color w:val="000000" w:themeColor="text1"/>
          <w:sz w:val="22"/>
        </w:rPr>
        <w:t>interesse pubblico</w:t>
      </w:r>
      <w:r w:rsidRPr="0095164D">
        <w:rPr>
          <w:rFonts w:cs="Arial"/>
          <w:i/>
          <w:color w:val="000000" w:themeColor="text1"/>
          <w:sz w:val="22"/>
        </w:rPr>
        <w:t xml:space="preserve"> (in </w:t>
      </w:r>
      <w:proofErr w:type="spellStart"/>
      <w:r w:rsidRPr="0095164D">
        <w:rPr>
          <w:rFonts w:cs="Arial"/>
          <w:i/>
          <w:color w:val="000000" w:themeColor="text1"/>
          <w:sz w:val="22"/>
        </w:rPr>
        <w:t>casu</w:t>
      </w:r>
      <w:proofErr w:type="spellEnd"/>
      <w:r w:rsidRPr="0095164D">
        <w:rPr>
          <w:rFonts w:cs="Arial"/>
          <w:i/>
          <w:color w:val="000000" w:themeColor="text1"/>
          <w:sz w:val="22"/>
        </w:rPr>
        <w:t xml:space="preserve"> la protezione delle vittime in generale). La decisione andrà infine </w:t>
      </w:r>
      <w:r w:rsidRPr="0095164D">
        <w:rPr>
          <w:rFonts w:cs="Arial"/>
          <w:b/>
          <w:i/>
          <w:color w:val="000000" w:themeColor="text1"/>
          <w:sz w:val="22"/>
        </w:rPr>
        <w:t>motivata</w:t>
      </w:r>
      <w:r w:rsidRPr="0095164D">
        <w:rPr>
          <w:rFonts w:cs="Arial"/>
          <w:i/>
          <w:color w:val="000000" w:themeColor="text1"/>
          <w:sz w:val="22"/>
        </w:rPr>
        <w:t xml:space="preserve"> (diritto dedotto dall'art. 29 </w:t>
      </w:r>
      <w:proofErr w:type="spellStart"/>
      <w:r w:rsidRPr="0095164D">
        <w:rPr>
          <w:rFonts w:cs="Arial"/>
          <w:i/>
          <w:color w:val="000000" w:themeColor="text1"/>
          <w:sz w:val="22"/>
        </w:rPr>
        <w:t>Cost</w:t>
      </w:r>
      <w:proofErr w:type="spellEnd"/>
      <w:r w:rsidRPr="0095164D">
        <w:rPr>
          <w:rFonts w:cs="Arial"/>
          <w:i/>
          <w:color w:val="000000" w:themeColor="text1"/>
          <w:sz w:val="22"/>
        </w:rPr>
        <w:t xml:space="preserve">. </w:t>
      </w:r>
      <w:proofErr w:type="spellStart"/>
      <w:r w:rsidRPr="0095164D">
        <w:rPr>
          <w:rFonts w:cs="Arial"/>
          <w:i/>
          <w:color w:val="000000" w:themeColor="text1"/>
          <w:sz w:val="22"/>
        </w:rPr>
        <w:t>fed</w:t>
      </w:r>
      <w:proofErr w:type="spellEnd"/>
      <w:r w:rsidRPr="0095164D">
        <w:rPr>
          <w:rFonts w:cs="Arial"/>
          <w:i/>
          <w:color w:val="000000" w:themeColor="text1"/>
          <w:sz w:val="22"/>
        </w:rPr>
        <w:t>, relativo al diritto di essere sentito).</w:t>
      </w:r>
    </w:p>
    <w:p w:rsidR="0050059F" w:rsidRPr="0095164D" w:rsidRDefault="0050059F" w:rsidP="0050059F">
      <w:pPr>
        <w:autoSpaceDE w:val="0"/>
        <w:autoSpaceDN w:val="0"/>
        <w:adjustRightInd w:val="0"/>
        <w:ind w:left="426"/>
        <w:rPr>
          <w:rFonts w:cs="Arial"/>
          <w:i/>
          <w:color w:val="000000" w:themeColor="text1"/>
          <w:sz w:val="22"/>
        </w:rPr>
      </w:pPr>
      <w:r w:rsidRPr="0095164D">
        <w:rPr>
          <w:rFonts w:cs="Arial"/>
          <w:i/>
          <w:color w:val="000000" w:themeColor="text1"/>
          <w:sz w:val="22"/>
        </w:rPr>
        <w:t xml:space="preserve">La misura s'iscrive nel quadro legale definito all'art. 28b cpv. 4 del Codice civile svizzero (CC; RS 210) in vigore dal 1. luglio 2007, che </w:t>
      </w:r>
      <w:r w:rsidRPr="0095164D">
        <w:rPr>
          <w:rFonts w:cs="Arial"/>
          <w:b/>
          <w:i/>
          <w:color w:val="000000" w:themeColor="text1"/>
          <w:sz w:val="22"/>
        </w:rPr>
        <w:t xml:space="preserve">accorda ai cantoni un </w:t>
      </w:r>
      <w:r w:rsidRPr="0095164D">
        <w:rPr>
          <w:rFonts w:cs="Arial"/>
          <w:b/>
          <w:i/>
          <w:color w:val="000000" w:themeColor="text1"/>
          <w:sz w:val="22"/>
          <w:u w:val="single"/>
        </w:rPr>
        <w:t>ampio margine di manovra</w:t>
      </w:r>
      <w:r w:rsidRPr="0095164D">
        <w:rPr>
          <w:rFonts w:cs="Arial"/>
          <w:i/>
          <w:color w:val="000000" w:themeColor="text1"/>
          <w:sz w:val="22"/>
        </w:rPr>
        <w:t xml:space="preserve">, sia </w:t>
      </w:r>
      <w:r w:rsidRPr="0095164D">
        <w:rPr>
          <w:rFonts w:cs="Arial"/>
          <w:b/>
          <w:i/>
          <w:color w:val="000000" w:themeColor="text1"/>
          <w:sz w:val="22"/>
        </w:rPr>
        <w:t>dal profilo dell'autorità chiamata ad adottare la misura di polizia</w:t>
      </w:r>
      <w:r w:rsidRPr="0095164D">
        <w:rPr>
          <w:rFonts w:cs="Arial"/>
          <w:i/>
          <w:color w:val="000000" w:themeColor="text1"/>
          <w:sz w:val="22"/>
        </w:rPr>
        <w:t xml:space="preserve">, sia </w:t>
      </w:r>
      <w:r w:rsidRPr="0095164D">
        <w:rPr>
          <w:rFonts w:cs="Arial"/>
          <w:b/>
          <w:i/>
          <w:color w:val="000000" w:themeColor="text1"/>
          <w:sz w:val="22"/>
        </w:rPr>
        <w:t>di quello della procedura</w:t>
      </w:r>
      <w:r w:rsidRPr="0095164D">
        <w:rPr>
          <w:rFonts w:cs="Arial"/>
          <w:i/>
          <w:color w:val="000000" w:themeColor="text1"/>
          <w:sz w:val="22"/>
        </w:rPr>
        <w:t xml:space="preserve"> per la sua attuazione; per questo motivo la modifica in esame appare in linea con il diritto federale superiore e non rappresenta, da questo punto di vista, problemi particolari. Infatti, secondo tale norma i Cantoni sono liberi di designare "</w:t>
      </w:r>
      <w:r w:rsidRPr="0095164D">
        <w:rPr>
          <w:rFonts w:cs="Arial"/>
          <w:b/>
          <w:i/>
          <w:color w:val="000000" w:themeColor="text1"/>
          <w:sz w:val="22"/>
        </w:rPr>
        <w:t>un servizio</w:t>
      </w:r>
      <w:r w:rsidRPr="0095164D">
        <w:rPr>
          <w:rFonts w:cs="Arial"/>
          <w:i/>
          <w:color w:val="000000" w:themeColor="text1"/>
          <w:sz w:val="22"/>
        </w:rPr>
        <w:t xml:space="preserve"> che può decidere l'allontanamento immediato dell'autore della lesione dall'abitazione comune in caso di crisi e </w:t>
      </w:r>
      <w:r w:rsidRPr="0095164D">
        <w:rPr>
          <w:rFonts w:cs="Arial"/>
          <w:b/>
          <w:i/>
          <w:color w:val="000000" w:themeColor="text1"/>
          <w:sz w:val="22"/>
        </w:rPr>
        <w:t>disciplinano la procedura</w:t>
      </w:r>
      <w:r w:rsidRPr="0095164D">
        <w:rPr>
          <w:rFonts w:cs="Arial"/>
          <w:i/>
          <w:color w:val="000000" w:themeColor="text1"/>
          <w:sz w:val="22"/>
        </w:rPr>
        <w:t>". A tale proposito rinvio a quanto precisato nel Rapporto della Commissione degli affari giuridici del Consiglio Nazionale del 18 agosto 2005 sull'Iniziativa parlamentare "Protezione contro la violenza nella famiglia e nella coppia" (in FF 2005 6127), che conferma integralmente quanto appena esposto.</w:t>
      </w:r>
    </w:p>
    <w:p w:rsidR="0050059F" w:rsidRPr="0095164D" w:rsidRDefault="0050059F" w:rsidP="0050059F">
      <w:pPr>
        <w:autoSpaceDE w:val="0"/>
        <w:autoSpaceDN w:val="0"/>
        <w:adjustRightInd w:val="0"/>
        <w:ind w:left="426"/>
        <w:rPr>
          <w:rFonts w:ascii="TimesNewRoman" w:hAnsi="TimesNewRoman" w:cs="TimesNewRoman"/>
          <w:i/>
          <w:color w:val="000000" w:themeColor="text1"/>
          <w:sz w:val="18"/>
          <w:szCs w:val="18"/>
        </w:rPr>
      </w:pPr>
    </w:p>
    <w:p w:rsidR="0050059F" w:rsidRPr="0095164D" w:rsidRDefault="0050059F" w:rsidP="0050059F">
      <w:pPr>
        <w:autoSpaceDE w:val="0"/>
        <w:autoSpaceDN w:val="0"/>
        <w:adjustRightInd w:val="0"/>
        <w:ind w:left="426"/>
        <w:rPr>
          <w:rFonts w:cs="Arial"/>
          <w:i/>
          <w:color w:val="000000" w:themeColor="text1"/>
          <w:sz w:val="22"/>
        </w:rPr>
      </w:pPr>
      <w:r w:rsidRPr="0095164D">
        <w:rPr>
          <w:rFonts w:cs="Arial"/>
          <w:i/>
          <w:color w:val="000000" w:themeColor="text1"/>
          <w:sz w:val="22"/>
        </w:rPr>
        <w:t xml:space="preserve">L'articolo 28b capoverso 4 CC incarica i Cantoni di </w:t>
      </w:r>
      <w:r w:rsidRPr="0095164D">
        <w:rPr>
          <w:rFonts w:cs="Arial"/>
          <w:b/>
          <w:i/>
          <w:color w:val="000000" w:themeColor="text1"/>
          <w:sz w:val="22"/>
        </w:rPr>
        <w:t>designare un servizio</w:t>
      </w:r>
      <w:r w:rsidRPr="0095164D">
        <w:rPr>
          <w:rFonts w:cs="Arial"/>
          <w:i/>
          <w:color w:val="000000" w:themeColor="text1"/>
          <w:sz w:val="22"/>
        </w:rPr>
        <w:t xml:space="preserve"> </w:t>
      </w:r>
      <w:r w:rsidRPr="0095164D">
        <w:rPr>
          <w:rFonts w:cs="Arial"/>
          <w:b/>
          <w:i/>
          <w:color w:val="000000" w:themeColor="text1"/>
          <w:sz w:val="22"/>
        </w:rPr>
        <w:t>che può pronunciare</w:t>
      </w:r>
      <w:r w:rsidRPr="0095164D">
        <w:rPr>
          <w:rFonts w:cs="Arial"/>
          <w:i/>
          <w:color w:val="000000" w:themeColor="text1"/>
          <w:sz w:val="22"/>
        </w:rPr>
        <w:t xml:space="preserve"> </w:t>
      </w:r>
      <w:r w:rsidRPr="0095164D">
        <w:rPr>
          <w:rFonts w:cs="Arial"/>
          <w:b/>
          <w:i/>
          <w:color w:val="000000" w:themeColor="text1"/>
          <w:sz w:val="22"/>
        </w:rPr>
        <w:t>l'espulsione immediata</w:t>
      </w:r>
      <w:r w:rsidRPr="0095164D">
        <w:rPr>
          <w:rFonts w:cs="Arial"/>
          <w:i/>
          <w:color w:val="000000" w:themeColor="text1"/>
          <w:sz w:val="22"/>
        </w:rPr>
        <w:t xml:space="preserve"> dall'abitazione comune in caso di crisi («provvedimenti </w:t>
      </w:r>
      <w:proofErr w:type="spellStart"/>
      <w:r w:rsidRPr="0095164D">
        <w:rPr>
          <w:rFonts w:cs="Arial"/>
          <w:i/>
          <w:color w:val="000000" w:themeColor="text1"/>
          <w:sz w:val="22"/>
        </w:rPr>
        <w:t>supersuperprovvisionali</w:t>
      </w:r>
      <w:proofErr w:type="spellEnd"/>
      <w:r w:rsidRPr="0095164D">
        <w:rPr>
          <w:rFonts w:cs="Arial"/>
          <w:i/>
          <w:color w:val="000000" w:themeColor="text1"/>
          <w:sz w:val="22"/>
        </w:rPr>
        <w:t xml:space="preserve">» in materia di protezione della personalità). </w:t>
      </w:r>
      <w:r w:rsidRPr="0095164D">
        <w:rPr>
          <w:rFonts w:cs="Arial"/>
          <w:b/>
          <w:i/>
          <w:color w:val="000000" w:themeColor="text1"/>
          <w:sz w:val="22"/>
        </w:rPr>
        <w:t>Il servizio</w:t>
      </w:r>
      <w:r w:rsidRPr="0095164D">
        <w:rPr>
          <w:rFonts w:cs="Arial"/>
          <w:i/>
          <w:color w:val="000000" w:themeColor="text1"/>
          <w:sz w:val="22"/>
        </w:rPr>
        <w:t xml:space="preserve">, in casi seri e indipendentemente dal momento in cui scoppia la crisi, vale a dire senza tener conto delle ore di apertura degli uffici o dei giorni feriali o festivi, deve poter essere chiamato a intervenire sul posto, giudicare la situazione e prendere le misure previste dalla legge. </w:t>
      </w:r>
      <w:r w:rsidRPr="0095164D">
        <w:rPr>
          <w:rFonts w:cs="Arial"/>
          <w:b/>
          <w:i/>
          <w:color w:val="000000" w:themeColor="text1"/>
          <w:sz w:val="22"/>
        </w:rPr>
        <w:t xml:space="preserve">Si fa riferimento in primo luogo alla polizia. I Cantoni sono tuttavia liberi di designare un altro servizio per </w:t>
      </w:r>
      <w:r w:rsidRPr="0095164D">
        <w:rPr>
          <w:rFonts w:cs="Arial"/>
          <w:b/>
          <w:i/>
          <w:color w:val="000000" w:themeColor="text1"/>
          <w:sz w:val="22"/>
        </w:rPr>
        <w:lastRenderedPageBreak/>
        <w:t>svolgere questo compito</w:t>
      </w:r>
      <w:r w:rsidRPr="0095164D">
        <w:rPr>
          <w:rFonts w:cs="Arial"/>
          <w:i/>
          <w:color w:val="000000" w:themeColor="text1"/>
          <w:sz w:val="22"/>
        </w:rPr>
        <w:t xml:space="preserve">. </w:t>
      </w:r>
      <w:r w:rsidRPr="0095164D">
        <w:rPr>
          <w:rFonts w:cs="Arial"/>
          <w:b/>
          <w:i/>
          <w:color w:val="000000" w:themeColor="text1"/>
          <w:sz w:val="22"/>
        </w:rPr>
        <w:t xml:space="preserve">Il diritto federale si limita a definire lo scopo. </w:t>
      </w:r>
      <w:r w:rsidRPr="0095164D">
        <w:rPr>
          <w:rFonts w:cs="Arial"/>
          <w:b/>
          <w:i/>
          <w:color w:val="000000" w:themeColor="text1"/>
          <w:sz w:val="22"/>
          <w:u w:val="single"/>
        </w:rPr>
        <w:t>I Cantoni sono competenti di disciplinare i dettagli della procedura.</w:t>
      </w:r>
      <w:r w:rsidRPr="0095164D">
        <w:rPr>
          <w:rFonts w:cs="Arial"/>
          <w:i/>
          <w:color w:val="000000" w:themeColor="text1"/>
          <w:sz w:val="22"/>
        </w:rPr>
        <w:t xml:space="preserve"> La durata massima dell'espulsione che il servizio può ordinare deve in particolare essere stabilita. </w:t>
      </w:r>
      <w:r w:rsidRPr="0095164D">
        <w:rPr>
          <w:rFonts w:cs="Arial"/>
          <w:b/>
          <w:i/>
          <w:color w:val="000000" w:themeColor="text1"/>
          <w:sz w:val="22"/>
        </w:rPr>
        <w:t>Occorre inoltre decidere se l'approvazione dell'espulsione da parte dell'autorità giudiziaria è obbligatoria o ha luogo solo su domanda della persona espulsa</w:t>
      </w:r>
      <w:r w:rsidRPr="0095164D">
        <w:rPr>
          <w:rFonts w:cs="Arial"/>
          <w:i/>
          <w:color w:val="000000" w:themeColor="text1"/>
          <w:sz w:val="22"/>
        </w:rPr>
        <w:t>.</w:t>
      </w:r>
    </w:p>
    <w:p w:rsidR="0050059F" w:rsidRPr="0095164D" w:rsidRDefault="0050059F" w:rsidP="0050059F">
      <w:pPr>
        <w:ind w:left="426"/>
        <w:rPr>
          <w:rFonts w:cs="Arial"/>
          <w:i/>
          <w:color w:val="000000" w:themeColor="text1"/>
          <w:sz w:val="22"/>
        </w:rPr>
      </w:pPr>
    </w:p>
    <w:p w:rsidR="0050059F" w:rsidRPr="0095164D" w:rsidRDefault="0050059F" w:rsidP="0050059F">
      <w:pPr>
        <w:pStyle w:val="Paragrafoelenco"/>
        <w:numPr>
          <w:ilvl w:val="0"/>
          <w:numId w:val="5"/>
        </w:numPr>
        <w:ind w:left="425" w:hanging="425"/>
        <w:contextualSpacing/>
        <w:rPr>
          <w:rFonts w:cs="Arial"/>
          <w:i/>
          <w:color w:val="000000" w:themeColor="text1"/>
          <w:sz w:val="22"/>
        </w:rPr>
      </w:pPr>
      <w:r w:rsidRPr="0095164D">
        <w:rPr>
          <w:rFonts w:cs="Arial"/>
          <w:i/>
          <w:color w:val="000000" w:themeColor="text1"/>
          <w:sz w:val="22"/>
        </w:rPr>
        <w:t xml:space="preserve">A </w:t>
      </w:r>
      <w:r w:rsidRPr="0095164D">
        <w:rPr>
          <w:rFonts w:cs="Arial"/>
          <w:b/>
          <w:i/>
          <w:color w:val="000000" w:themeColor="text1"/>
          <w:sz w:val="22"/>
        </w:rPr>
        <w:t xml:space="preserve">titolo </w:t>
      </w:r>
      <w:proofErr w:type="spellStart"/>
      <w:r w:rsidRPr="0095164D">
        <w:rPr>
          <w:rFonts w:cs="Arial"/>
          <w:b/>
          <w:i/>
          <w:color w:val="000000" w:themeColor="text1"/>
          <w:sz w:val="22"/>
        </w:rPr>
        <w:t>abbondanziale</w:t>
      </w:r>
      <w:proofErr w:type="spellEnd"/>
      <w:r w:rsidRPr="0095164D">
        <w:rPr>
          <w:rFonts w:cs="Arial"/>
          <w:b/>
          <w:i/>
          <w:color w:val="000000" w:themeColor="text1"/>
          <w:sz w:val="22"/>
        </w:rPr>
        <w:t xml:space="preserve"> e comparativo</w:t>
      </w:r>
      <w:r w:rsidRPr="0095164D">
        <w:rPr>
          <w:rFonts w:cs="Arial"/>
          <w:i/>
          <w:color w:val="000000" w:themeColor="text1"/>
          <w:sz w:val="22"/>
        </w:rPr>
        <w:t xml:space="preserve">, ricordo che nei Cantoni di San Gallo e Appenzello Esterno sono state adottate analoghe disposizioni legislative in materia di polizia. Dal 1° gennaio 2003, la polizia di questi Cantoni può infatti ingiungere all'autore di violenze domestiche di lasciare l'abitazione e le sue immediate vicinanze e vietargli di farvi ritorno per dieci giorni (art. 43 </w:t>
      </w:r>
      <w:proofErr w:type="spellStart"/>
      <w:r w:rsidRPr="0095164D">
        <w:rPr>
          <w:rFonts w:cs="Arial"/>
          <w:i/>
          <w:color w:val="000000" w:themeColor="text1"/>
          <w:sz w:val="22"/>
        </w:rPr>
        <w:t>Polizeigesetz</w:t>
      </w:r>
      <w:proofErr w:type="spellEnd"/>
      <w:r w:rsidRPr="0095164D">
        <w:rPr>
          <w:rFonts w:cs="Arial"/>
          <w:i/>
          <w:color w:val="000000" w:themeColor="text1"/>
          <w:sz w:val="22"/>
        </w:rPr>
        <w:t xml:space="preserve"> del Cantone di San Gallo e art. 17 </w:t>
      </w:r>
      <w:proofErr w:type="spellStart"/>
      <w:r w:rsidRPr="0095164D">
        <w:rPr>
          <w:rFonts w:cs="Arial"/>
          <w:i/>
          <w:color w:val="000000" w:themeColor="text1"/>
          <w:sz w:val="22"/>
        </w:rPr>
        <w:t>Polizeigesetz</w:t>
      </w:r>
      <w:proofErr w:type="spellEnd"/>
      <w:r w:rsidRPr="0095164D">
        <w:rPr>
          <w:rFonts w:cs="Arial"/>
          <w:i/>
          <w:color w:val="000000" w:themeColor="text1"/>
          <w:sz w:val="22"/>
        </w:rPr>
        <w:t xml:space="preserve"> del Cantone di Appenzello Esterno). Nel Canton San Gallo, l'autorità giudiziaria (Tribunale dei provvedimenti coercitivi) controlla e conferma la decisione al </w:t>
      </w:r>
      <w:proofErr w:type="spellStart"/>
      <w:r w:rsidRPr="0095164D">
        <w:rPr>
          <w:rFonts w:cs="Arial"/>
          <w:i/>
          <w:color w:val="000000" w:themeColor="text1"/>
          <w:sz w:val="22"/>
        </w:rPr>
        <w:t>piú</w:t>
      </w:r>
      <w:proofErr w:type="spellEnd"/>
      <w:r w:rsidRPr="0095164D">
        <w:rPr>
          <w:rFonts w:cs="Arial"/>
          <w:i/>
          <w:color w:val="000000" w:themeColor="text1"/>
          <w:sz w:val="22"/>
        </w:rPr>
        <w:t xml:space="preserve"> tardi tre giorni dopo l'espulsione dall'abitazione (art. 43quater) che diventa definitiva; nel Canton Appenzello Esterno spetta invece all'autore contestare, se del caso, la decisione (art. 20).</w:t>
      </w:r>
    </w:p>
    <w:p w:rsidR="0050059F" w:rsidRPr="0095164D" w:rsidRDefault="0050059F" w:rsidP="0050059F">
      <w:pPr>
        <w:autoSpaceDE w:val="0"/>
        <w:autoSpaceDN w:val="0"/>
        <w:adjustRightInd w:val="0"/>
        <w:ind w:left="426"/>
        <w:rPr>
          <w:rFonts w:ascii="TimesNewRoman" w:hAnsi="TimesNewRoman" w:cs="TimesNewRoman"/>
          <w:i/>
          <w:color w:val="000000" w:themeColor="text1"/>
          <w:sz w:val="18"/>
          <w:szCs w:val="18"/>
        </w:rPr>
      </w:pPr>
    </w:p>
    <w:p w:rsidR="0050059F" w:rsidRPr="0095164D" w:rsidRDefault="0050059F" w:rsidP="0050059F">
      <w:pPr>
        <w:autoSpaceDE w:val="0"/>
        <w:autoSpaceDN w:val="0"/>
        <w:adjustRightInd w:val="0"/>
        <w:ind w:left="426"/>
        <w:rPr>
          <w:rFonts w:cs="Arial"/>
          <w:i/>
          <w:color w:val="000000" w:themeColor="text1"/>
          <w:sz w:val="22"/>
        </w:rPr>
      </w:pPr>
      <w:r w:rsidRPr="0095164D">
        <w:rPr>
          <w:rFonts w:cs="Arial"/>
          <w:i/>
          <w:color w:val="000000" w:themeColor="text1"/>
          <w:sz w:val="22"/>
        </w:rPr>
        <w:t xml:space="preserve">Nel Canton Neuchâtel, la </w:t>
      </w:r>
      <w:proofErr w:type="spellStart"/>
      <w:r w:rsidRPr="0095164D">
        <w:rPr>
          <w:rFonts w:cs="Arial"/>
          <w:i/>
          <w:color w:val="000000" w:themeColor="text1"/>
          <w:sz w:val="22"/>
        </w:rPr>
        <w:t>Loi</w:t>
      </w:r>
      <w:proofErr w:type="spellEnd"/>
      <w:r w:rsidRPr="0095164D">
        <w:rPr>
          <w:rFonts w:cs="Arial"/>
          <w:i/>
          <w:color w:val="000000" w:themeColor="text1"/>
          <w:sz w:val="22"/>
        </w:rPr>
        <w:t xml:space="preserve"> </w:t>
      </w:r>
      <w:proofErr w:type="spellStart"/>
      <w:r w:rsidRPr="0095164D">
        <w:rPr>
          <w:rFonts w:cs="Arial"/>
          <w:i/>
          <w:color w:val="000000" w:themeColor="text1"/>
          <w:sz w:val="22"/>
        </w:rPr>
        <w:t>sur</w:t>
      </w:r>
      <w:proofErr w:type="spellEnd"/>
      <w:r w:rsidRPr="0095164D">
        <w:rPr>
          <w:rFonts w:cs="Arial"/>
          <w:i/>
          <w:color w:val="000000" w:themeColor="text1"/>
          <w:sz w:val="22"/>
        </w:rPr>
        <w:t xml:space="preserve"> la </w:t>
      </w:r>
      <w:proofErr w:type="spellStart"/>
      <w:r w:rsidRPr="0095164D">
        <w:rPr>
          <w:rFonts w:cs="Arial"/>
          <w:i/>
          <w:color w:val="000000" w:themeColor="text1"/>
          <w:sz w:val="22"/>
        </w:rPr>
        <w:t>police</w:t>
      </w:r>
      <w:proofErr w:type="spellEnd"/>
      <w:r w:rsidRPr="0095164D">
        <w:rPr>
          <w:rFonts w:cs="Arial"/>
          <w:i/>
          <w:color w:val="000000" w:themeColor="text1"/>
          <w:sz w:val="22"/>
        </w:rPr>
        <w:t xml:space="preserve"> del 4 novembre 2014 attribuisce all'Ufficiale di polizia la facoltà di allontanare una persona dalla propria abitazione per una durata massima di 30 giorni (art. 57). Quest'ultima dispone quindi della facoltà di rivolgersi al Tribunale delle misure coercitive (per iscritto ed entro un termine di 30 giorni) chiedendo una verifica della decisione (art. 59 cpv. 1). Qualora tuttavia la misura pronunciata dalla Polizia fosse superiore ai 10 giorni, l'Ufficiale di polizia trasmette d'ufficio ed entro 24 ore un esemplare della decisione al predetto Tribunale, per approvazione (art. 59 cpv. 2).</w:t>
      </w:r>
    </w:p>
    <w:p w:rsidR="0050059F" w:rsidRPr="0095164D" w:rsidRDefault="0050059F" w:rsidP="0050059F">
      <w:pPr>
        <w:autoSpaceDE w:val="0"/>
        <w:autoSpaceDN w:val="0"/>
        <w:adjustRightInd w:val="0"/>
        <w:ind w:left="426"/>
        <w:rPr>
          <w:rFonts w:cs="Arial"/>
          <w:i/>
          <w:color w:val="000000" w:themeColor="text1"/>
          <w:sz w:val="22"/>
        </w:rPr>
      </w:pPr>
      <w:r w:rsidRPr="0095164D">
        <w:rPr>
          <w:rFonts w:cs="Arial"/>
          <w:i/>
          <w:color w:val="000000" w:themeColor="text1"/>
          <w:sz w:val="22"/>
        </w:rPr>
        <w:t xml:space="preserve">Il Canton Ginevra, ha promulgato la </w:t>
      </w:r>
      <w:proofErr w:type="spellStart"/>
      <w:r w:rsidRPr="0095164D">
        <w:rPr>
          <w:rFonts w:cs="Arial"/>
          <w:i/>
          <w:color w:val="000000" w:themeColor="text1"/>
          <w:sz w:val="22"/>
        </w:rPr>
        <w:t>Loi</w:t>
      </w:r>
      <w:proofErr w:type="spellEnd"/>
      <w:r w:rsidRPr="0095164D">
        <w:rPr>
          <w:rFonts w:cs="Arial"/>
          <w:i/>
          <w:color w:val="000000" w:themeColor="text1"/>
          <w:sz w:val="22"/>
        </w:rPr>
        <w:t xml:space="preserve"> </w:t>
      </w:r>
      <w:proofErr w:type="spellStart"/>
      <w:r w:rsidRPr="0095164D">
        <w:rPr>
          <w:rFonts w:cs="Arial"/>
          <w:i/>
          <w:color w:val="000000" w:themeColor="text1"/>
          <w:sz w:val="22"/>
        </w:rPr>
        <w:t>sur</w:t>
      </w:r>
      <w:proofErr w:type="spellEnd"/>
      <w:r w:rsidRPr="0095164D">
        <w:rPr>
          <w:rFonts w:cs="Arial"/>
          <w:i/>
          <w:color w:val="000000" w:themeColor="text1"/>
          <w:sz w:val="22"/>
        </w:rPr>
        <w:t xml:space="preserve"> </w:t>
      </w:r>
      <w:proofErr w:type="spellStart"/>
      <w:r w:rsidRPr="0095164D">
        <w:rPr>
          <w:rFonts w:cs="Arial"/>
          <w:i/>
          <w:color w:val="000000" w:themeColor="text1"/>
          <w:sz w:val="22"/>
        </w:rPr>
        <w:t>les</w:t>
      </w:r>
      <w:proofErr w:type="spellEnd"/>
      <w:r w:rsidRPr="0095164D">
        <w:rPr>
          <w:rFonts w:cs="Arial"/>
          <w:i/>
          <w:color w:val="000000" w:themeColor="text1"/>
          <w:sz w:val="22"/>
        </w:rPr>
        <w:t xml:space="preserve"> </w:t>
      </w:r>
      <w:proofErr w:type="spellStart"/>
      <w:r w:rsidRPr="0095164D">
        <w:rPr>
          <w:rFonts w:cs="Arial"/>
          <w:i/>
          <w:color w:val="000000" w:themeColor="text1"/>
          <w:sz w:val="22"/>
        </w:rPr>
        <w:t>violences</w:t>
      </w:r>
      <w:proofErr w:type="spellEnd"/>
      <w:r w:rsidRPr="0095164D">
        <w:rPr>
          <w:rFonts w:cs="Arial"/>
          <w:i/>
          <w:color w:val="000000" w:themeColor="text1"/>
          <w:sz w:val="22"/>
        </w:rPr>
        <w:t xml:space="preserve"> </w:t>
      </w:r>
      <w:proofErr w:type="spellStart"/>
      <w:r w:rsidRPr="0095164D">
        <w:rPr>
          <w:rFonts w:cs="Arial"/>
          <w:i/>
          <w:color w:val="000000" w:themeColor="text1"/>
          <w:sz w:val="22"/>
        </w:rPr>
        <w:t>domestiques</w:t>
      </w:r>
      <w:proofErr w:type="spellEnd"/>
      <w:r w:rsidRPr="0095164D">
        <w:rPr>
          <w:rFonts w:cs="Arial"/>
          <w:i/>
          <w:color w:val="000000" w:themeColor="text1"/>
          <w:sz w:val="22"/>
        </w:rPr>
        <w:t xml:space="preserve"> del 16 settembre 2005, che affida alla Polizia il compito di pronunciare le decisioni di allontanamento (art. 8 cpv. 1). L'Ufficiale pronuncia la misura dopo aver sentito le parti interessate e un formulario d'opposizione è consegnato alla persona allontanata al momento della notifica (art. 9), che potrà essere trasmessa entro 6 giorni al Tribunale amministrativo di prima istanza, il quale è tenuto a pronunciarsi entro 4 giorni (art. 11).</w:t>
      </w:r>
    </w:p>
    <w:p w:rsidR="0050059F" w:rsidRPr="0095164D" w:rsidRDefault="0050059F" w:rsidP="0050059F">
      <w:pPr>
        <w:autoSpaceDE w:val="0"/>
        <w:autoSpaceDN w:val="0"/>
        <w:adjustRightInd w:val="0"/>
        <w:ind w:left="426"/>
        <w:rPr>
          <w:rFonts w:cs="Arial"/>
          <w:i/>
          <w:color w:val="000000" w:themeColor="text1"/>
          <w:sz w:val="22"/>
        </w:rPr>
      </w:pPr>
      <w:r w:rsidRPr="0095164D">
        <w:rPr>
          <w:rFonts w:cs="Arial"/>
          <w:i/>
          <w:color w:val="000000" w:themeColor="text1"/>
          <w:sz w:val="22"/>
        </w:rPr>
        <w:t xml:space="preserve">Il Canton Giura ha optato per un sistema analogo a quello proposto con la modifica legislativa ticinese, attribuendo agli ufficiali della Polizia giudiziaria la competenza esclusiva di pronunciare la misura di allontanamento (art. 59 </w:t>
      </w:r>
      <w:proofErr w:type="spellStart"/>
      <w:r w:rsidRPr="0095164D">
        <w:rPr>
          <w:rFonts w:cs="Arial"/>
          <w:i/>
          <w:color w:val="000000" w:themeColor="text1"/>
          <w:sz w:val="22"/>
        </w:rPr>
        <w:t>Loi</w:t>
      </w:r>
      <w:proofErr w:type="spellEnd"/>
      <w:r w:rsidRPr="0095164D">
        <w:rPr>
          <w:rFonts w:cs="Arial"/>
          <w:i/>
          <w:color w:val="000000" w:themeColor="text1"/>
          <w:sz w:val="22"/>
        </w:rPr>
        <w:t xml:space="preserve"> </w:t>
      </w:r>
      <w:proofErr w:type="spellStart"/>
      <w:r w:rsidRPr="0095164D">
        <w:rPr>
          <w:rFonts w:cs="Arial"/>
          <w:i/>
          <w:color w:val="000000" w:themeColor="text1"/>
          <w:sz w:val="22"/>
        </w:rPr>
        <w:t>sur</w:t>
      </w:r>
      <w:proofErr w:type="spellEnd"/>
      <w:r w:rsidRPr="0095164D">
        <w:rPr>
          <w:rFonts w:cs="Arial"/>
          <w:i/>
          <w:color w:val="000000" w:themeColor="text1"/>
          <w:sz w:val="22"/>
        </w:rPr>
        <w:t xml:space="preserve"> la Police cantonale).</w:t>
      </w:r>
    </w:p>
    <w:p w:rsidR="0050059F" w:rsidRPr="0095164D" w:rsidRDefault="0050059F" w:rsidP="0050059F">
      <w:pPr>
        <w:autoSpaceDE w:val="0"/>
        <w:autoSpaceDN w:val="0"/>
        <w:adjustRightInd w:val="0"/>
        <w:ind w:left="426"/>
        <w:rPr>
          <w:rFonts w:cs="Arial"/>
          <w:i/>
          <w:color w:val="000000" w:themeColor="text1"/>
          <w:sz w:val="22"/>
        </w:rPr>
      </w:pPr>
      <w:r w:rsidRPr="0095164D">
        <w:rPr>
          <w:rFonts w:cs="Arial"/>
          <w:i/>
          <w:color w:val="000000" w:themeColor="text1"/>
          <w:sz w:val="22"/>
        </w:rPr>
        <w:t xml:space="preserve">Anche la </w:t>
      </w:r>
      <w:proofErr w:type="spellStart"/>
      <w:r w:rsidRPr="0095164D">
        <w:rPr>
          <w:rFonts w:cs="Arial"/>
          <w:i/>
          <w:color w:val="000000" w:themeColor="text1"/>
          <w:sz w:val="22"/>
        </w:rPr>
        <w:t>Loi</w:t>
      </w:r>
      <w:proofErr w:type="spellEnd"/>
      <w:r w:rsidRPr="0095164D">
        <w:rPr>
          <w:rFonts w:cs="Arial"/>
          <w:i/>
          <w:color w:val="000000" w:themeColor="text1"/>
          <w:sz w:val="22"/>
        </w:rPr>
        <w:t xml:space="preserve"> </w:t>
      </w:r>
      <w:proofErr w:type="spellStart"/>
      <w:r w:rsidRPr="0095164D">
        <w:rPr>
          <w:rFonts w:cs="Arial"/>
          <w:i/>
          <w:color w:val="000000" w:themeColor="text1"/>
          <w:sz w:val="22"/>
        </w:rPr>
        <w:t>sur</w:t>
      </w:r>
      <w:proofErr w:type="spellEnd"/>
      <w:r w:rsidRPr="0095164D">
        <w:rPr>
          <w:rFonts w:cs="Arial"/>
          <w:i/>
          <w:color w:val="000000" w:themeColor="text1"/>
          <w:sz w:val="22"/>
        </w:rPr>
        <w:t xml:space="preserve"> la </w:t>
      </w:r>
      <w:proofErr w:type="spellStart"/>
      <w:r w:rsidRPr="0095164D">
        <w:rPr>
          <w:rFonts w:cs="Arial"/>
          <w:i/>
          <w:color w:val="000000" w:themeColor="text1"/>
          <w:sz w:val="22"/>
        </w:rPr>
        <w:t>police</w:t>
      </w:r>
      <w:proofErr w:type="spellEnd"/>
      <w:r w:rsidRPr="0095164D">
        <w:rPr>
          <w:rFonts w:cs="Arial"/>
          <w:i/>
          <w:color w:val="000000" w:themeColor="text1"/>
          <w:sz w:val="22"/>
        </w:rPr>
        <w:t xml:space="preserve"> del Canton Berna (art. 29 segg.) disciplina in maniera similare l'allontanamento: l'Ufficiale pronuncia la decisione (durata massima di 14 giorni), contro la quale è possibile ricorrere presso l'Autorità indicata nella decisione.</w:t>
      </w:r>
    </w:p>
    <w:p w:rsidR="0050059F" w:rsidRPr="0095164D" w:rsidRDefault="0050059F" w:rsidP="0050059F">
      <w:pPr>
        <w:ind w:left="426"/>
        <w:rPr>
          <w:rFonts w:cs="Arial"/>
          <w:i/>
          <w:color w:val="000000" w:themeColor="text1"/>
          <w:sz w:val="22"/>
        </w:rPr>
      </w:pPr>
      <w:r w:rsidRPr="0095164D">
        <w:rPr>
          <w:rFonts w:cs="Arial"/>
          <w:i/>
          <w:color w:val="000000" w:themeColor="text1"/>
          <w:sz w:val="22"/>
        </w:rPr>
        <w:t>Altri Cantoni hanno adottato disposizioni simili ai modelli di San Gallo e di Appenzello (in particolare Lucerna, Uri e Sciaffusa (</w:t>
      </w:r>
      <w:proofErr w:type="spellStart"/>
      <w:r w:rsidRPr="0095164D">
        <w:rPr>
          <w:rFonts w:cs="Arial"/>
          <w:i/>
          <w:color w:val="000000" w:themeColor="text1"/>
          <w:sz w:val="22"/>
        </w:rPr>
        <w:t>Polizeigesetz</w:t>
      </w:r>
      <w:proofErr w:type="spellEnd"/>
      <w:r w:rsidRPr="0095164D">
        <w:rPr>
          <w:rFonts w:cs="Arial"/>
          <w:i/>
          <w:color w:val="000000" w:themeColor="text1"/>
          <w:sz w:val="22"/>
        </w:rPr>
        <w:t>, art. 24a che al cpv. 5 attribuisce la facoltà esclusiva di emanare decisione di allontanamento agli Ufficiali di Polizia e ai sottoufficiali espressamente autorizzati dal Consiglio di Stato).</w:t>
      </w:r>
    </w:p>
    <w:p w:rsidR="0050059F" w:rsidRPr="0095164D" w:rsidRDefault="0050059F" w:rsidP="0050059F">
      <w:pPr>
        <w:ind w:left="426"/>
        <w:rPr>
          <w:rFonts w:cs="Arial"/>
          <w:i/>
          <w:color w:val="000000" w:themeColor="text1"/>
          <w:sz w:val="22"/>
        </w:rPr>
      </w:pPr>
    </w:p>
    <w:p w:rsidR="0050059F" w:rsidRPr="0095164D" w:rsidRDefault="0050059F" w:rsidP="0050059F">
      <w:pPr>
        <w:pStyle w:val="Paragrafoelenco"/>
        <w:numPr>
          <w:ilvl w:val="0"/>
          <w:numId w:val="5"/>
        </w:numPr>
        <w:spacing w:after="160" w:line="254" w:lineRule="auto"/>
        <w:ind w:left="426" w:hanging="426"/>
        <w:contextualSpacing/>
        <w:rPr>
          <w:rFonts w:cs="Arial"/>
          <w:i/>
          <w:color w:val="000000" w:themeColor="text1"/>
          <w:sz w:val="22"/>
        </w:rPr>
      </w:pPr>
      <w:r w:rsidRPr="0095164D">
        <w:rPr>
          <w:rFonts w:cs="Arial"/>
          <w:i/>
          <w:color w:val="000000" w:themeColor="text1"/>
          <w:sz w:val="22"/>
        </w:rPr>
        <w:t xml:space="preserve">Da notare, infine, che la modifica in oggetto non influirà sulla competenza di cui il Pretore dispone nell'adozione di quelle misure protettive </w:t>
      </w:r>
      <w:r w:rsidRPr="0095164D">
        <w:rPr>
          <w:rFonts w:cs="Arial"/>
          <w:b/>
          <w:i/>
          <w:color w:val="000000" w:themeColor="text1"/>
          <w:sz w:val="22"/>
        </w:rPr>
        <w:t>a medio termine</w:t>
      </w:r>
      <w:r w:rsidRPr="0095164D">
        <w:rPr>
          <w:rFonts w:cs="Arial"/>
          <w:i/>
          <w:color w:val="000000" w:themeColor="text1"/>
          <w:sz w:val="22"/>
        </w:rPr>
        <w:t xml:space="preserve"> definite all'</w:t>
      </w:r>
      <w:r w:rsidRPr="0095164D">
        <w:rPr>
          <w:rFonts w:cs="Arial"/>
          <w:b/>
          <w:i/>
          <w:color w:val="000000" w:themeColor="text1"/>
          <w:sz w:val="22"/>
        </w:rPr>
        <w:t>art. 28b cpv. 1-3 CC</w:t>
      </w:r>
      <w:r w:rsidRPr="0095164D">
        <w:rPr>
          <w:rFonts w:cs="Arial"/>
          <w:i/>
          <w:color w:val="000000" w:themeColor="text1"/>
          <w:sz w:val="22"/>
        </w:rPr>
        <w:t xml:space="preserve"> (che sono complementari alle misure di polizia dell'art. 9a </w:t>
      </w:r>
      <w:proofErr w:type="spellStart"/>
      <w:r w:rsidRPr="0095164D">
        <w:rPr>
          <w:rFonts w:cs="Arial"/>
          <w:i/>
          <w:color w:val="000000" w:themeColor="text1"/>
          <w:sz w:val="22"/>
        </w:rPr>
        <w:t>LPol</w:t>
      </w:r>
      <w:proofErr w:type="spellEnd"/>
      <w:r w:rsidRPr="0095164D">
        <w:rPr>
          <w:rFonts w:cs="Arial"/>
          <w:i/>
          <w:color w:val="000000" w:themeColor="text1"/>
          <w:sz w:val="22"/>
        </w:rPr>
        <w:t xml:space="preserve">, volte a offrire protezione </w:t>
      </w:r>
      <w:r w:rsidRPr="0095164D">
        <w:rPr>
          <w:rFonts w:cs="Arial"/>
          <w:b/>
          <w:i/>
          <w:color w:val="000000" w:themeColor="text1"/>
          <w:sz w:val="22"/>
        </w:rPr>
        <w:t>immediata</w:t>
      </w:r>
      <w:r w:rsidRPr="0095164D">
        <w:rPr>
          <w:rFonts w:cs="Arial"/>
          <w:i/>
          <w:color w:val="000000" w:themeColor="text1"/>
          <w:sz w:val="22"/>
        </w:rPr>
        <w:t xml:space="preserve">). Anche da questo punto di vista il diritto superiore appare dunque rispettato. </w:t>
      </w:r>
    </w:p>
    <w:p w:rsidR="0050059F" w:rsidRPr="0095164D" w:rsidRDefault="0050059F" w:rsidP="0050059F">
      <w:pPr>
        <w:pStyle w:val="Paragrafoelenco"/>
        <w:ind w:left="426"/>
        <w:rPr>
          <w:rFonts w:cs="Arial"/>
          <w:i/>
          <w:color w:val="000000" w:themeColor="text1"/>
          <w:sz w:val="22"/>
        </w:rPr>
      </w:pPr>
    </w:p>
    <w:p w:rsidR="0050059F" w:rsidRPr="0095164D" w:rsidRDefault="0050059F" w:rsidP="0050059F">
      <w:pPr>
        <w:pStyle w:val="Paragrafoelenco"/>
        <w:numPr>
          <w:ilvl w:val="0"/>
          <w:numId w:val="5"/>
        </w:numPr>
        <w:spacing w:after="160" w:line="254" w:lineRule="auto"/>
        <w:ind w:left="426" w:hanging="426"/>
        <w:contextualSpacing/>
        <w:rPr>
          <w:rFonts w:cs="Arial"/>
          <w:i/>
          <w:color w:val="000000" w:themeColor="text1"/>
          <w:sz w:val="22"/>
        </w:rPr>
      </w:pPr>
      <w:r w:rsidRPr="0095164D">
        <w:rPr>
          <w:rFonts w:cs="Arial"/>
          <w:i/>
          <w:color w:val="000000" w:themeColor="text1"/>
          <w:sz w:val="22"/>
        </w:rPr>
        <w:t xml:space="preserve">Considerato quanto precede, ritengo che la modifica legislativa in oggetto sia in linea con altri modelli analoghi già vigenti in alcuni Cantoni (che, come detto, dispongono di un'ampia libertà in tal senso) e non costituisca un problema particolare né dal profilo del diritto costituzionale né da quello del diritto federale superiore (art. 28b CC). È inoltre doveroso ricordare che la misura di allontanamento contemplata dal nuovo art. 9a </w:t>
      </w:r>
      <w:proofErr w:type="spellStart"/>
      <w:r w:rsidRPr="0095164D">
        <w:rPr>
          <w:rFonts w:cs="Arial"/>
          <w:i/>
          <w:color w:val="000000" w:themeColor="text1"/>
          <w:sz w:val="22"/>
        </w:rPr>
        <w:t>LPol</w:t>
      </w:r>
      <w:proofErr w:type="spellEnd"/>
      <w:r w:rsidRPr="0095164D">
        <w:rPr>
          <w:rFonts w:cs="Arial"/>
          <w:i/>
          <w:color w:val="000000" w:themeColor="text1"/>
          <w:sz w:val="22"/>
        </w:rPr>
        <w:t xml:space="preserve"> non vedrebbe scomparire del tutto la figura del Pretore, giacché lo stesso interverrebbe semmai successivamente, nell'ambito di un'eventuale procedura </w:t>
      </w:r>
      <w:proofErr w:type="spellStart"/>
      <w:r w:rsidRPr="0095164D">
        <w:rPr>
          <w:rFonts w:cs="Arial"/>
          <w:i/>
          <w:color w:val="000000" w:themeColor="text1"/>
          <w:sz w:val="22"/>
        </w:rPr>
        <w:t>ricorsuale</w:t>
      </w:r>
      <w:proofErr w:type="spellEnd"/>
      <w:r w:rsidRPr="0095164D">
        <w:rPr>
          <w:rFonts w:cs="Arial"/>
          <w:i/>
          <w:color w:val="000000" w:themeColor="text1"/>
          <w:sz w:val="22"/>
        </w:rPr>
        <w:t>, ciò che per certi versi potrebbe addirittura rappresentare una garanzia e una protezione maggiore per i diritti della persona allontanata.»</w:t>
      </w:r>
    </w:p>
    <w:p w:rsidR="0050059F" w:rsidRPr="008C640C" w:rsidRDefault="0050059F" w:rsidP="0050059F">
      <w:pPr>
        <w:pStyle w:val="Paragrafoelenco"/>
        <w:rPr>
          <w:rFonts w:cs="Arial"/>
          <w:color w:val="000000" w:themeColor="text1"/>
          <w:szCs w:val="24"/>
        </w:rPr>
      </w:pPr>
    </w:p>
    <w:p w:rsidR="0050059F" w:rsidRPr="008C640C" w:rsidRDefault="0050059F" w:rsidP="0050059F">
      <w:pPr>
        <w:pStyle w:val="Paragrafoelenco"/>
        <w:rPr>
          <w:rFonts w:cs="Arial"/>
          <w:color w:val="000000" w:themeColor="text1"/>
          <w:szCs w:val="24"/>
        </w:rPr>
      </w:pPr>
    </w:p>
    <w:p w:rsidR="0050059F" w:rsidRPr="0029335B" w:rsidRDefault="0050059F" w:rsidP="0050059F">
      <w:pPr>
        <w:pStyle w:val="Titolo2"/>
      </w:pPr>
      <w:r w:rsidRPr="0029335B">
        <w:lastRenderedPageBreak/>
        <w:t>Ufficio dell</w:t>
      </w:r>
      <w:r>
        <w:t>'</w:t>
      </w:r>
      <w:r w:rsidRPr="0029335B">
        <w:t>assistenza riabilitativa: occasione per assicurare una base legale (art. 9a cpv. 4 e cpv. 6)</w:t>
      </w:r>
    </w:p>
    <w:p w:rsidR="0050059F" w:rsidRDefault="0050059F" w:rsidP="0050059F">
      <w:pPr>
        <w:tabs>
          <w:tab w:val="left" w:pos="1985"/>
          <w:tab w:val="left" w:pos="4933"/>
        </w:tabs>
        <w:ind w:right="-1"/>
        <w:rPr>
          <w:rFonts w:cs="Arial"/>
        </w:rPr>
      </w:pPr>
      <w:r w:rsidRPr="0011212D">
        <w:rPr>
          <w:rFonts w:cs="Arial"/>
        </w:rPr>
        <w:t>L'UAR, già Ufficio del patronato, svolge come noto una funzion</w:t>
      </w:r>
      <w:r>
        <w:rPr>
          <w:rFonts w:cs="Arial"/>
        </w:rPr>
        <w:t>e socio</w:t>
      </w:r>
      <w:r w:rsidRPr="0011212D">
        <w:rPr>
          <w:rFonts w:cs="Arial"/>
        </w:rPr>
        <w:t>educativa in ambito penale e post</w:t>
      </w:r>
      <w:r>
        <w:rPr>
          <w:rFonts w:cs="Arial"/>
        </w:rPr>
        <w:t xml:space="preserve"> </w:t>
      </w:r>
      <w:r w:rsidRPr="0011212D">
        <w:rPr>
          <w:rFonts w:cs="Arial"/>
        </w:rPr>
        <w:t xml:space="preserve">penale. Come ha precisato in audizione la responsabile dell'Ufficio, questo servizio </w:t>
      </w:r>
      <w:r w:rsidRPr="0095164D">
        <w:rPr>
          <w:rFonts w:cs="Arial"/>
          <w:i/>
          <w:sz w:val="23"/>
          <w:szCs w:val="23"/>
        </w:rPr>
        <w:t>«è istituito sulla base della norma del Codice penale che prevede la presa a carico da parte dello Stato delle persone condannate e poste in libertà dopo sospensione condizionale della pena da parte del giudice di prima istanza o liberazione condizionale su decisione del giudice dei provvedimenti coercitivi. Lo scopo è prevenire e ridurre il rischio di recidiva penale e integrare socialmente queste persone»</w:t>
      </w:r>
      <w:r w:rsidRPr="0011212D">
        <w:rPr>
          <w:rFonts w:cs="Arial"/>
        </w:rPr>
        <w:t>.</w:t>
      </w:r>
    </w:p>
    <w:p w:rsidR="0050059F" w:rsidRPr="0011212D" w:rsidRDefault="0050059F" w:rsidP="0050059F">
      <w:pPr>
        <w:tabs>
          <w:tab w:val="left" w:pos="1985"/>
          <w:tab w:val="left" w:pos="4933"/>
        </w:tabs>
        <w:ind w:right="-1"/>
        <w:rPr>
          <w:rFonts w:cs="Arial"/>
        </w:rPr>
      </w:pPr>
    </w:p>
    <w:p w:rsidR="0050059F" w:rsidRDefault="0050059F" w:rsidP="0050059F">
      <w:pPr>
        <w:tabs>
          <w:tab w:val="left" w:pos="1985"/>
          <w:tab w:val="left" w:pos="4933"/>
        </w:tabs>
        <w:ind w:right="-1"/>
        <w:rPr>
          <w:rFonts w:cs="Arial"/>
        </w:rPr>
      </w:pPr>
      <w:r>
        <w:rPr>
          <w:rFonts w:cs="Arial"/>
        </w:rPr>
        <w:t>Accanto a questa attività offre sostegno e consulenza, su richiesta, ad autori o autrici di violenza domestica.</w:t>
      </w:r>
    </w:p>
    <w:p w:rsidR="0050059F" w:rsidRDefault="0050059F" w:rsidP="0050059F">
      <w:pPr>
        <w:tabs>
          <w:tab w:val="left" w:pos="1985"/>
          <w:tab w:val="left" w:pos="4933"/>
        </w:tabs>
        <w:ind w:right="-1"/>
        <w:rPr>
          <w:rFonts w:cs="Arial"/>
        </w:rPr>
      </w:pPr>
    </w:p>
    <w:p w:rsidR="0050059F" w:rsidRDefault="0050059F" w:rsidP="0050059F">
      <w:pPr>
        <w:tabs>
          <w:tab w:val="left" w:pos="1985"/>
          <w:tab w:val="left" w:pos="4933"/>
        </w:tabs>
        <w:ind w:right="-1"/>
        <w:rPr>
          <w:rFonts w:cs="Arial"/>
        </w:rPr>
      </w:pPr>
      <w:r>
        <w:rPr>
          <w:rFonts w:cs="Arial"/>
        </w:rPr>
        <w:t>Il servizio è attivo dal 2011, su proposta del DI</w:t>
      </w:r>
      <w:r w:rsidRPr="001E4692">
        <w:rPr>
          <w:rFonts w:cs="Arial"/>
        </w:rPr>
        <w:t xml:space="preserve"> e per esso della Divisione </w:t>
      </w:r>
      <w:r>
        <w:rPr>
          <w:rFonts w:cs="Arial"/>
        </w:rPr>
        <w:t>g</w:t>
      </w:r>
      <w:r w:rsidRPr="001E4692">
        <w:rPr>
          <w:rFonts w:cs="Arial"/>
        </w:rPr>
        <w:t>iustizia,</w:t>
      </w:r>
      <w:r w:rsidRPr="0011212D">
        <w:rPr>
          <w:rFonts w:cs="Arial"/>
        </w:rPr>
        <w:t xml:space="preserve"> </w:t>
      </w:r>
      <w:r>
        <w:rPr>
          <w:rFonts w:cs="Arial"/>
        </w:rPr>
        <w:t>condivisa dal Gruppo di accompagnamento permanente in materia di violenza domestica.</w:t>
      </w:r>
    </w:p>
    <w:p w:rsidR="0050059F" w:rsidRDefault="0050059F" w:rsidP="0050059F">
      <w:pPr>
        <w:tabs>
          <w:tab w:val="left" w:pos="1985"/>
          <w:tab w:val="left" w:pos="4933"/>
        </w:tabs>
        <w:ind w:right="-1"/>
        <w:rPr>
          <w:rFonts w:cs="Arial"/>
        </w:rPr>
      </w:pPr>
    </w:p>
    <w:p w:rsidR="0050059F" w:rsidRDefault="0050059F" w:rsidP="0050059F">
      <w:pPr>
        <w:tabs>
          <w:tab w:val="left" w:pos="1985"/>
          <w:tab w:val="left" w:pos="4933"/>
        </w:tabs>
        <w:ind w:right="-1"/>
        <w:rPr>
          <w:rFonts w:cs="Arial"/>
        </w:rPr>
      </w:pPr>
      <w:r>
        <w:rPr>
          <w:rFonts w:cs="Arial"/>
        </w:rPr>
        <w:t xml:space="preserve">La modifica della legge in esame in pratica codifica e pone le basi legali su quanto finora in via sperimentale si è messo in atto in questi anni. </w:t>
      </w:r>
      <w:r w:rsidRPr="001E4692">
        <w:rPr>
          <w:rFonts w:cs="Arial"/>
        </w:rPr>
        <w:t>Si crea inoltre la base legale necessaria per la trasmissione automatica delle informazioni sugli interventi di polizia all</w:t>
      </w:r>
      <w:r>
        <w:rPr>
          <w:rFonts w:cs="Arial"/>
        </w:rPr>
        <w:t>'</w:t>
      </w:r>
      <w:r w:rsidRPr="001E4692">
        <w:rPr>
          <w:rFonts w:cs="Arial"/>
        </w:rPr>
        <w:t>UAR</w:t>
      </w:r>
      <w:r>
        <w:rPr>
          <w:rFonts w:cs="Arial"/>
        </w:rPr>
        <w:t>. A</w:t>
      </w:r>
      <w:r w:rsidRPr="001E4692">
        <w:rPr>
          <w:rFonts w:cs="Arial"/>
        </w:rPr>
        <w:t>l momento, ogni singolo autore</w:t>
      </w:r>
      <w:r>
        <w:rPr>
          <w:rFonts w:cs="Arial"/>
        </w:rPr>
        <w:t xml:space="preserve"> o</w:t>
      </w:r>
      <w:r w:rsidRPr="001E4692">
        <w:rPr>
          <w:rFonts w:cs="Arial"/>
        </w:rPr>
        <w:t xml:space="preserve"> autrice de</w:t>
      </w:r>
      <w:r>
        <w:rPr>
          <w:rFonts w:cs="Arial"/>
        </w:rPr>
        <w:t>ve darne il consenso esplicito.</w:t>
      </w:r>
    </w:p>
    <w:p w:rsidR="0050059F" w:rsidRPr="001E4692" w:rsidRDefault="0050059F" w:rsidP="0050059F">
      <w:pPr>
        <w:tabs>
          <w:tab w:val="left" w:pos="1985"/>
          <w:tab w:val="left" w:pos="4933"/>
        </w:tabs>
        <w:ind w:right="-1"/>
        <w:rPr>
          <w:rFonts w:cs="Arial"/>
        </w:rPr>
      </w:pPr>
    </w:p>
    <w:p w:rsidR="0050059F" w:rsidRDefault="0050059F" w:rsidP="0050059F">
      <w:pPr>
        <w:tabs>
          <w:tab w:val="left" w:pos="1985"/>
          <w:tab w:val="left" w:pos="4933"/>
        </w:tabs>
        <w:ind w:right="-1"/>
        <w:rPr>
          <w:rFonts w:cs="Arial"/>
        </w:rPr>
      </w:pPr>
      <w:r w:rsidRPr="001E4692">
        <w:rPr>
          <w:rFonts w:cs="Arial"/>
        </w:rPr>
        <w:t xml:space="preserve">Oltre a facilitare il compito dei due servizi implicati, si ritiene </w:t>
      </w:r>
      <w:proofErr w:type="spellStart"/>
      <w:r w:rsidRPr="001E4692">
        <w:rPr>
          <w:rFonts w:cs="Arial"/>
        </w:rPr>
        <w:t>cos</w:t>
      </w:r>
      <w:r>
        <w:rPr>
          <w:rFonts w:cs="Arial"/>
        </w:rPr>
        <w:t>í</w:t>
      </w:r>
      <w:proofErr w:type="spellEnd"/>
      <w:r w:rsidRPr="001E4692">
        <w:rPr>
          <w:rFonts w:cs="Arial"/>
        </w:rPr>
        <w:t xml:space="preserve"> di poter raggiungere un maggior numero di questi autori e rendere la prevenzione di una recidiva </w:t>
      </w:r>
      <w:proofErr w:type="spellStart"/>
      <w:r w:rsidRPr="001E4692">
        <w:rPr>
          <w:rFonts w:cs="Arial"/>
        </w:rPr>
        <w:t>pi</w:t>
      </w:r>
      <w:r>
        <w:rPr>
          <w:rFonts w:cs="Arial"/>
        </w:rPr>
        <w:t>ú</w:t>
      </w:r>
      <w:proofErr w:type="spellEnd"/>
      <w:r w:rsidRPr="001E4692">
        <w:rPr>
          <w:rFonts w:cs="Arial"/>
        </w:rPr>
        <w:t xml:space="preserve"> efficace, a protezione delle vittime.</w:t>
      </w:r>
    </w:p>
    <w:p w:rsidR="0050059F" w:rsidRDefault="0050059F" w:rsidP="0050059F">
      <w:pPr>
        <w:tabs>
          <w:tab w:val="left" w:pos="1985"/>
          <w:tab w:val="left" w:pos="4933"/>
        </w:tabs>
        <w:ind w:right="-1"/>
        <w:rPr>
          <w:rFonts w:cs="Arial"/>
        </w:rPr>
      </w:pPr>
    </w:p>
    <w:tbl>
      <w:tblPr>
        <w:tblStyle w:val="Grigliatabella"/>
        <w:tblW w:w="0" w:type="auto"/>
        <w:tblLayout w:type="fixed"/>
        <w:tblLook w:val="04A0" w:firstRow="1" w:lastRow="0" w:firstColumn="1" w:lastColumn="0" w:noHBand="0" w:noVBand="1"/>
      </w:tblPr>
      <w:tblGrid>
        <w:gridCol w:w="2802"/>
        <w:gridCol w:w="708"/>
        <w:gridCol w:w="709"/>
        <w:gridCol w:w="709"/>
        <w:gridCol w:w="850"/>
        <w:gridCol w:w="851"/>
        <w:gridCol w:w="850"/>
        <w:gridCol w:w="851"/>
        <w:gridCol w:w="709"/>
        <w:gridCol w:w="793"/>
      </w:tblGrid>
      <w:tr w:rsidR="0050059F" w:rsidRPr="0011212D" w:rsidTr="00E66F1D">
        <w:tc>
          <w:tcPr>
            <w:tcW w:w="2802" w:type="dxa"/>
          </w:tcPr>
          <w:p w:rsidR="0050059F" w:rsidRPr="0011212D" w:rsidRDefault="0050059F" w:rsidP="00E66F1D">
            <w:pPr>
              <w:rPr>
                <w:rFonts w:cs="Arial"/>
                <w:b/>
                <w:sz w:val="20"/>
                <w:szCs w:val="20"/>
              </w:rPr>
            </w:pPr>
            <w:r w:rsidRPr="0011212D">
              <w:rPr>
                <w:rFonts w:cs="Arial"/>
                <w:b/>
                <w:sz w:val="20"/>
                <w:szCs w:val="20"/>
              </w:rPr>
              <w:t>Violenza domestica</w:t>
            </w:r>
          </w:p>
        </w:tc>
        <w:tc>
          <w:tcPr>
            <w:tcW w:w="708" w:type="dxa"/>
          </w:tcPr>
          <w:p w:rsidR="0050059F" w:rsidRPr="0011212D" w:rsidRDefault="0050059F" w:rsidP="00E66F1D">
            <w:pPr>
              <w:rPr>
                <w:rFonts w:cs="Arial"/>
                <w:b/>
                <w:sz w:val="20"/>
                <w:szCs w:val="20"/>
              </w:rPr>
            </w:pPr>
            <w:r w:rsidRPr="0011212D">
              <w:rPr>
                <w:rFonts w:cs="Arial"/>
                <w:b/>
                <w:sz w:val="20"/>
                <w:szCs w:val="20"/>
              </w:rPr>
              <w:t>2008</w:t>
            </w:r>
          </w:p>
        </w:tc>
        <w:tc>
          <w:tcPr>
            <w:tcW w:w="709" w:type="dxa"/>
          </w:tcPr>
          <w:p w:rsidR="0050059F" w:rsidRPr="0011212D" w:rsidRDefault="0050059F" w:rsidP="00E66F1D">
            <w:pPr>
              <w:rPr>
                <w:rFonts w:cs="Arial"/>
                <w:b/>
                <w:sz w:val="20"/>
                <w:szCs w:val="20"/>
              </w:rPr>
            </w:pPr>
            <w:r w:rsidRPr="0011212D">
              <w:rPr>
                <w:rFonts w:cs="Arial"/>
                <w:b/>
                <w:sz w:val="20"/>
                <w:szCs w:val="20"/>
              </w:rPr>
              <w:t>2009</w:t>
            </w:r>
          </w:p>
        </w:tc>
        <w:tc>
          <w:tcPr>
            <w:tcW w:w="709" w:type="dxa"/>
          </w:tcPr>
          <w:p w:rsidR="0050059F" w:rsidRPr="0011212D" w:rsidRDefault="0050059F" w:rsidP="00E66F1D">
            <w:pPr>
              <w:rPr>
                <w:rFonts w:cs="Arial"/>
                <w:b/>
                <w:sz w:val="20"/>
                <w:szCs w:val="20"/>
              </w:rPr>
            </w:pPr>
            <w:r w:rsidRPr="0011212D">
              <w:rPr>
                <w:rFonts w:cs="Arial"/>
                <w:b/>
                <w:sz w:val="20"/>
                <w:szCs w:val="20"/>
              </w:rPr>
              <w:t>2010</w:t>
            </w:r>
          </w:p>
        </w:tc>
        <w:tc>
          <w:tcPr>
            <w:tcW w:w="850" w:type="dxa"/>
          </w:tcPr>
          <w:p w:rsidR="0050059F" w:rsidRPr="0011212D" w:rsidRDefault="0050059F" w:rsidP="00E66F1D">
            <w:pPr>
              <w:rPr>
                <w:rFonts w:cs="Arial"/>
                <w:b/>
                <w:sz w:val="20"/>
                <w:szCs w:val="20"/>
              </w:rPr>
            </w:pPr>
            <w:r w:rsidRPr="0011212D">
              <w:rPr>
                <w:rFonts w:cs="Arial"/>
                <w:b/>
                <w:sz w:val="20"/>
                <w:szCs w:val="20"/>
              </w:rPr>
              <w:t>2011</w:t>
            </w:r>
          </w:p>
        </w:tc>
        <w:tc>
          <w:tcPr>
            <w:tcW w:w="851" w:type="dxa"/>
          </w:tcPr>
          <w:p w:rsidR="0050059F" w:rsidRPr="0011212D" w:rsidRDefault="0050059F" w:rsidP="00E66F1D">
            <w:pPr>
              <w:rPr>
                <w:rFonts w:cs="Arial"/>
                <w:b/>
                <w:sz w:val="20"/>
                <w:szCs w:val="20"/>
              </w:rPr>
            </w:pPr>
            <w:r w:rsidRPr="0011212D">
              <w:rPr>
                <w:rFonts w:cs="Arial"/>
                <w:b/>
                <w:sz w:val="20"/>
                <w:szCs w:val="20"/>
              </w:rPr>
              <w:t>2012</w:t>
            </w:r>
          </w:p>
        </w:tc>
        <w:tc>
          <w:tcPr>
            <w:tcW w:w="850" w:type="dxa"/>
          </w:tcPr>
          <w:p w:rsidR="0050059F" w:rsidRPr="0011212D" w:rsidRDefault="0050059F" w:rsidP="00E66F1D">
            <w:pPr>
              <w:rPr>
                <w:rFonts w:cs="Arial"/>
                <w:b/>
                <w:sz w:val="20"/>
                <w:szCs w:val="20"/>
              </w:rPr>
            </w:pPr>
            <w:r w:rsidRPr="0011212D">
              <w:rPr>
                <w:rFonts w:cs="Arial"/>
                <w:b/>
                <w:sz w:val="20"/>
                <w:szCs w:val="20"/>
              </w:rPr>
              <w:t>2013</w:t>
            </w:r>
          </w:p>
        </w:tc>
        <w:tc>
          <w:tcPr>
            <w:tcW w:w="851" w:type="dxa"/>
          </w:tcPr>
          <w:p w:rsidR="0050059F" w:rsidRPr="0011212D" w:rsidRDefault="0050059F" w:rsidP="00E66F1D">
            <w:pPr>
              <w:rPr>
                <w:rFonts w:cs="Arial"/>
                <w:b/>
                <w:sz w:val="20"/>
                <w:szCs w:val="20"/>
              </w:rPr>
            </w:pPr>
            <w:r w:rsidRPr="0011212D">
              <w:rPr>
                <w:rFonts w:cs="Arial"/>
                <w:b/>
                <w:sz w:val="20"/>
                <w:szCs w:val="20"/>
              </w:rPr>
              <w:t>2014</w:t>
            </w:r>
          </w:p>
        </w:tc>
        <w:tc>
          <w:tcPr>
            <w:tcW w:w="709" w:type="dxa"/>
          </w:tcPr>
          <w:p w:rsidR="0050059F" w:rsidRPr="0011212D" w:rsidRDefault="0050059F" w:rsidP="00E66F1D">
            <w:pPr>
              <w:rPr>
                <w:rFonts w:cs="Arial"/>
                <w:b/>
                <w:sz w:val="20"/>
                <w:szCs w:val="20"/>
              </w:rPr>
            </w:pPr>
            <w:r w:rsidRPr="0011212D">
              <w:rPr>
                <w:rFonts w:cs="Arial"/>
                <w:b/>
                <w:sz w:val="20"/>
                <w:szCs w:val="20"/>
              </w:rPr>
              <w:t>2015</w:t>
            </w:r>
          </w:p>
        </w:tc>
        <w:tc>
          <w:tcPr>
            <w:tcW w:w="793" w:type="dxa"/>
          </w:tcPr>
          <w:p w:rsidR="0050059F" w:rsidRPr="0011212D" w:rsidRDefault="0050059F" w:rsidP="00E66F1D">
            <w:pPr>
              <w:rPr>
                <w:rFonts w:cs="Arial"/>
                <w:b/>
                <w:sz w:val="20"/>
                <w:szCs w:val="20"/>
              </w:rPr>
            </w:pPr>
            <w:r w:rsidRPr="0011212D">
              <w:rPr>
                <w:rFonts w:cs="Arial"/>
                <w:b/>
                <w:sz w:val="20"/>
                <w:szCs w:val="20"/>
              </w:rPr>
              <w:t>2016</w:t>
            </w:r>
          </w:p>
        </w:tc>
      </w:tr>
      <w:tr w:rsidR="0050059F" w:rsidRPr="0011212D" w:rsidTr="00E66F1D">
        <w:tc>
          <w:tcPr>
            <w:tcW w:w="2802" w:type="dxa"/>
          </w:tcPr>
          <w:p w:rsidR="0050059F" w:rsidRPr="0011212D" w:rsidRDefault="0050059F" w:rsidP="00E66F1D">
            <w:pPr>
              <w:rPr>
                <w:rFonts w:cs="Arial"/>
                <w:sz w:val="8"/>
                <w:szCs w:val="8"/>
              </w:rPr>
            </w:pPr>
          </w:p>
        </w:tc>
        <w:tc>
          <w:tcPr>
            <w:tcW w:w="708" w:type="dxa"/>
          </w:tcPr>
          <w:p w:rsidR="0050059F" w:rsidRPr="0011212D" w:rsidRDefault="0050059F" w:rsidP="00E66F1D">
            <w:pPr>
              <w:rPr>
                <w:rFonts w:cs="Arial"/>
                <w:sz w:val="8"/>
                <w:szCs w:val="8"/>
              </w:rPr>
            </w:pPr>
          </w:p>
        </w:tc>
        <w:tc>
          <w:tcPr>
            <w:tcW w:w="709" w:type="dxa"/>
          </w:tcPr>
          <w:p w:rsidR="0050059F" w:rsidRPr="0011212D" w:rsidRDefault="0050059F" w:rsidP="00E66F1D">
            <w:pPr>
              <w:rPr>
                <w:rFonts w:cs="Arial"/>
                <w:sz w:val="8"/>
                <w:szCs w:val="8"/>
              </w:rPr>
            </w:pPr>
          </w:p>
        </w:tc>
        <w:tc>
          <w:tcPr>
            <w:tcW w:w="709" w:type="dxa"/>
          </w:tcPr>
          <w:p w:rsidR="0050059F" w:rsidRPr="0011212D" w:rsidRDefault="0050059F" w:rsidP="00E66F1D">
            <w:pPr>
              <w:rPr>
                <w:rFonts w:cs="Arial"/>
                <w:sz w:val="8"/>
                <w:szCs w:val="8"/>
              </w:rPr>
            </w:pPr>
          </w:p>
        </w:tc>
        <w:tc>
          <w:tcPr>
            <w:tcW w:w="850" w:type="dxa"/>
          </w:tcPr>
          <w:p w:rsidR="0050059F" w:rsidRPr="0011212D" w:rsidRDefault="0050059F" w:rsidP="00E66F1D">
            <w:pPr>
              <w:rPr>
                <w:rFonts w:cs="Arial"/>
                <w:sz w:val="8"/>
                <w:szCs w:val="8"/>
              </w:rPr>
            </w:pPr>
          </w:p>
        </w:tc>
        <w:tc>
          <w:tcPr>
            <w:tcW w:w="851" w:type="dxa"/>
          </w:tcPr>
          <w:p w:rsidR="0050059F" w:rsidRPr="0011212D" w:rsidRDefault="0050059F" w:rsidP="00E66F1D">
            <w:pPr>
              <w:rPr>
                <w:rFonts w:cs="Arial"/>
                <w:sz w:val="8"/>
                <w:szCs w:val="8"/>
              </w:rPr>
            </w:pPr>
          </w:p>
        </w:tc>
        <w:tc>
          <w:tcPr>
            <w:tcW w:w="850" w:type="dxa"/>
          </w:tcPr>
          <w:p w:rsidR="0050059F" w:rsidRPr="0011212D" w:rsidRDefault="0050059F" w:rsidP="00E66F1D">
            <w:pPr>
              <w:rPr>
                <w:rFonts w:cs="Arial"/>
                <w:sz w:val="8"/>
                <w:szCs w:val="8"/>
              </w:rPr>
            </w:pPr>
          </w:p>
        </w:tc>
        <w:tc>
          <w:tcPr>
            <w:tcW w:w="851" w:type="dxa"/>
          </w:tcPr>
          <w:p w:rsidR="0050059F" w:rsidRPr="0011212D" w:rsidRDefault="0050059F" w:rsidP="00E66F1D">
            <w:pPr>
              <w:rPr>
                <w:rFonts w:cs="Arial"/>
                <w:sz w:val="8"/>
                <w:szCs w:val="8"/>
              </w:rPr>
            </w:pPr>
          </w:p>
        </w:tc>
        <w:tc>
          <w:tcPr>
            <w:tcW w:w="709" w:type="dxa"/>
          </w:tcPr>
          <w:p w:rsidR="0050059F" w:rsidRPr="0011212D" w:rsidRDefault="0050059F" w:rsidP="00E66F1D">
            <w:pPr>
              <w:rPr>
                <w:rFonts w:cs="Arial"/>
                <w:sz w:val="8"/>
                <w:szCs w:val="8"/>
              </w:rPr>
            </w:pPr>
          </w:p>
        </w:tc>
        <w:tc>
          <w:tcPr>
            <w:tcW w:w="793" w:type="dxa"/>
          </w:tcPr>
          <w:p w:rsidR="0050059F" w:rsidRPr="0011212D" w:rsidRDefault="0050059F" w:rsidP="00E66F1D">
            <w:pPr>
              <w:rPr>
                <w:rFonts w:cs="Arial"/>
                <w:sz w:val="8"/>
                <w:szCs w:val="8"/>
              </w:rPr>
            </w:pPr>
          </w:p>
        </w:tc>
      </w:tr>
      <w:tr w:rsidR="0050059F" w:rsidRPr="0011212D" w:rsidTr="00E66F1D">
        <w:tc>
          <w:tcPr>
            <w:tcW w:w="2802" w:type="dxa"/>
          </w:tcPr>
          <w:p w:rsidR="0050059F" w:rsidRPr="0011212D" w:rsidRDefault="0050059F" w:rsidP="00E66F1D">
            <w:pPr>
              <w:rPr>
                <w:rFonts w:cs="Arial"/>
                <w:sz w:val="20"/>
                <w:szCs w:val="20"/>
              </w:rPr>
            </w:pPr>
            <w:r w:rsidRPr="0011212D">
              <w:rPr>
                <w:rFonts w:cs="Arial"/>
                <w:sz w:val="20"/>
                <w:szCs w:val="20"/>
              </w:rPr>
              <w:t>Totale interventi</w:t>
            </w:r>
          </w:p>
        </w:tc>
        <w:tc>
          <w:tcPr>
            <w:tcW w:w="708" w:type="dxa"/>
          </w:tcPr>
          <w:p w:rsidR="0050059F" w:rsidRPr="0011212D" w:rsidRDefault="0050059F" w:rsidP="00E66F1D">
            <w:pPr>
              <w:rPr>
                <w:rFonts w:cs="Arial"/>
                <w:sz w:val="20"/>
                <w:szCs w:val="20"/>
              </w:rPr>
            </w:pPr>
            <w:r w:rsidRPr="0011212D">
              <w:rPr>
                <w:rFonts w:cs="Arial"/>
                <w:sz w:val="20"/>
                <w:szCs w:val="20"/>
              </w:rPr>
              <w:t>539</w:t>
            </w:r>
          </w:p>
        </w:tc>
        <w:tc>
          <w:tcPr>
            <w:tcW w:w="709" w:type="dxa"/>
          </w:tcPr>
          <w:p w:rsidR="0050059F" w:rsidRPr="0011212D" w:rsidRDefault="0050059F" w:rsidP="00E66F1D">
            <w:pPr>
              <w:rPr>
                <w:rFonts w:cs="Arial"/>
                <w:sz w:val="20"/>
                <w:szCs w:val="20"/>
              </w:rPr>
            </w:pPr>
            <w:r w:rsidRPr="0011212D">
              <w:rPr>
                <w:rFonts w:cs="Arial"/>
                <w:sz w:val="20"/>
                <w:szCs w:val="20"/>
              </w:rPr>
              <w:t>540</w:t>
            </w:r>
          </w:p>
        </w:tc>
        <w:tc>
          <w:tcPr>
            <w:tcW w:w="709" w:type="dxa"/>
          </w:tcPr>
          <w:p w:rsidR="0050059F" w:rsidRPr="0011212D" w:rsidRDefault="0050059F" w:rsidP="00E66F1D">
            <w:pPr>
              <w:rPr>
                <w:rFonts w:cs="Arial"/>
                <w:sz w:val="20"/>
                <w:szCs w:val="20"/>
              </w:rPr>
            </w:pPr>
            <w:r w:rsidRPr="0011212D">
              <w:rPr>
                <w:rFonts w:cs="Arial"/>
                <w:sz w:val="20"/>
                <w:szCs w:val="20"/>
              </w:rPr>
              <w:t>789</w:t>
            </w:r>
          </w:p>
        </w:tc>
        <w:tc>
          <w:tcPr>
            <w:tcW w:w="850" w:type="dxa"/>
          </w:tcPr>
          <w:p w:rsidR="0050059F" w:rsidRPr="0011212D" w:rsidRDefault="0050059F" w:rsidP="00E66F1D">
            <w:pPr>
              <w:rPr>
                <w:rFonts w:cs="Arial"/>
                <w:sz w:val="20"/>
                <w:szCs w:val="20"/>
              </w:rPr>
            </w:pPr>
            <w:r w:rsidRPr="0011212D">
              <w:rPr>
                <w:rFonts w:cs="Arial"/>
                <w:sz w:val="20"/>
                <w:szCs w:val="20"/>
              </w:rPr>
              <w:t>746</w:t>
            </w:r>
          </w:p>
        </w:tc>
        <w:tc>
          <w:tcPr>
            <w:tcW w:w="851" w:type="dxa"/>
          </w:tcPr>
          <w:p w:rsidR="0050059F" w:rsidRPr="0011212D" w:rsidRDefault="0050059F" w:rsidP="00E66F1D">
            <w:pPr>
              <w:rPr>
                <w:rFonts w:cs="Arial"/>
                <w:sz w:val="20"/>
                <w:szCs w:val="20"/>
              </w:rPr>
            </w:pPr>
            <w:r w:rsidRPr="0011212D">
              <w:rPr>
                <w:rFonts w:cs="Arial"/>
                <w:sz w:val="20"/>
                <w:szCs w:val="20"/>
              </w:rPr>
              <w:t>789</w:t>
            </w:r>
          </w:p>
        </w:tc>
        <w:tc>
          <w:tcPr>
            <w:tcW w:w="850" w:type="dxa"/>
          </w:tcPr>
          <w:p w:rsidR="0050059F" w:rsidRPr="0011212D" w:rsidRDefault="0050059F" w:rsidP="00E66F1D">
            <w:pPr>
              <w:rPr>
                <w:rFonts w:cs="Arial"/>
                <w:sz w:val="20"/>
                <w:szCs w:val="20"/>
              </w:rPr>
            </w:pPr>
            <w:r w:rsidRPr="0011212D">
              <w:rPr>
                <w:rFonts w:cs="Arial"/>
                <w:sz w:val="20"/>
                <w:szCs w:val="20"/>
              </w:rPr>
              <w:t>794</w:t>
            </w:r>
          </w:p>
        </w:tc>
        <w:tc>
          <w:tcPr>
            <w:tcW w:w="851" w:type="dxa"/>
          </w:tcPr>
          <w:p w:rsidR="0050059F" w:rsidRPr="0011212D" w:rsidRDefault="0050059F" w:rsidP="00E66F1D">
            <w:pPr>
              <w:rPr>
                <w:rFonts w:cs="Arial"/>
                <w:sz w:val="20"/>
                <w:szCs w:val="20"/>
              </w:rPr>
            </w:pPr>
            <w:r w:rsidRPr="0011212D">
              <w:rPr>
                <w:rFonts w:cs="Arial"/>
                <w:sz w:val="20"/>
                <w:szCs w:val="20"/>
              </w:rPr>
              <w:t>844</w:t>
            </w:r>
          </w:p>
        </w:tc>
        <w:tc>
          <w:tcPr>
            <w:tcW w:w="709" w:type="dxa"/>
          </w:tcPr>
          <w:p w:rsidR="0050059F" w:rsidRPr="0011212D" w:rsidRDefault="0050059F" w:rsidP="00E66F1D">
            <w:pPr>
              <w:rPr>
                <w:rFonts w:cs="Arial"/>
                <w:sz w:val="20"/>
                <w:szCs w:val="20"/>
              </w:rPr>
            </w:pPr>
            <w:r w:rsidRPr="0011212D">
              <w:rPr>
                <w:rFonts w:cs="Arial"/>
                <w:sz w:val="20"/>
                <w:szCs w:val="20"/>
              </w:rPr>
              <w:t>732</w:t>
            </w:r>
          </w:p>
        </w:tc>
        <w:tc>
          <w:tcPr>
            <w:tcW w:w="793" w:type="dxa"/>
          </w:tcPr>
          <w:p w:rsidR="0050059F" w:rsidRPr="0011212D" w:rsidRDefault="0050059F" w:rsidP="00E66F1D">
            <w:pPr>
              <w:rPr>
                <w:rFonts w:cs="Arial"/>
                <w:sz w:val="20"/>
                <w:szCs w:val="20"/>
              </w:rPr>
            </w:pPr>
            <w:r w:rsidRPr="0011212D">
              <w:rPr>
                <w:rFonts w:cs="Arial"/>
                <w:sz w:val="20"/>
                <w:szCs w:val="20"/>
              </w:rPr>
              <w:t>829</w:t>
            </w:r>
          </w:p>
        </w:tc>
      </w:tr>
      <w:tr w:rsidR="0050059F" w:rsidRPr="0011212D" w:rsidTr="00E66F1D">
        <w:tc>
          <w:tcPr>
            <w:tcW w:w="2802" w:type="dxa"/>
          </w:tcPr>
          <w:p w:rsidR="0050059F" w:rsidRPr="0011212D" w:rsidRDefault="0050059F" w:rsidP="00E66F1D">
            <w:pPr>
              <w:rPr>
                <w:rFonts w:cs="Arial"/>
                <w:sz w:val="20"/>
                <w:szCs w:val="20"/>
              </w:rPr>
            </w:pPr>
            <w:r w:rsidRPr="0011212D">
              <w:rPr>
                <w:rFonts w:cs="Arial"/>
                <w:sz w:val="20"/>
                <w:szCs w:val="20"/>
              </w:rPr>
              <w:t>Interventi per reati d'ufficio</w:t>
            </w:r>
          </w:p>
        </w:tc>
        <w:tc>
          <w:tcPr>
            <w:tcW w:w="708" w:type="dxa"/>
          </w:tcPr>
          <w:p w:rsidR="0050059F" w:rsidRPr="0011212D" w:rsidRDefault="0050059F" w:rsidP="00E66F1D">
            <w:pPr>
              <w:rPr>
                <w:rFonts w:cs="Arial"/>
                <w:sz w:val="20"/>
                <w:szCs w:val="20"/>
              </w:rPr>
            </w:pPr>
            <w:r w:rsidRPr="0011212D">
              <w:rPr>
                <w:rFonts w:cs="Arial"/>
                <w:sz w:val="20"/>
                <w:szCs w:val="20"/>
              </w:rPr>
              <w:t>297</w:t>
            </w:r>
          </w:p>
        </w:tc>
        <w:tc>
          <w:tcPr>
            <w:tcW w:w="709" w:type="dxa"/>
          </w:tcPr>
          <w:p w:rsidR="0050059F" w:rsidRPr="0011212D" w:rsidRDefault="0050059F" w:rsidP="00E66F1D">
            <w:pPr>
              <w:rPr>
                <w:rFonts w:cs="Arial"/>
                <w:sz w:val="20"/>
                <w:szCs w:val="20"/>
              </w:rPr>
            </w:pPr>
            <w:r w:rsidRPr="0011212D">
              <w:rPr>
                <w:rFonts w:cs="Arial"/>
                <w:sz w:val="20"/>
                <w:szCs w:val="20"/>
              </w:rPr>
              <w:t>293</w:t>
            </w:r>
          </w:p>
        </w:tc>
        <w:tc>
          <w:tcPr>
            <w:tcW w:w="709" w:type="dxa"/>
          </w:tcPr>
          <w:p w:rsidR="0050059F" w:rsidRPr="0011212D" w:rsidRDefault="0050059F" w:rsidP="00E66F1D">
            <w:pPr>
              <w:rPr>
                <w:rFonts w:cs="Arial"/>
                <w:sz w:val="20"/>
                <w:szCs w:val="20"/>
              </w:rPr>
            </w:pPr>
            <w:r w:rsidRPr="0011212D">
              <w:rPr>
                <w:rFonts w:cs="Arial"/>
                <w:sz w:val="20"/>
                <w:szCs w:val="20"/>
              </w:rPr>
              <w:t>323</w:t>
            </w:r>
          </w:p>
        </w:tc>
        <w:tc>
          <w:tcPr>
            <w:tcW w:w="850" w:type="dxa"/>
          </w:tcPr>
          <w:p w:rsidR="0050059F" w:rsidRPr="0011212D" w:rsidRDefault="0050059F" w:rsidP="00E66F1D">
            <w:pPr>
              <w:rPr>
                <w:rFonts w:cs="Arial"/>
                <w:sz w:val="20"/>
                <w:szCs w:val="20"/>
              </w:rPr>
            </w:pPr>
            <w:r w:rsidRPr="0011212D">
              <w:rPr>
                <w:rFonts w:cs="Arial"/>
                <w:sz w:val="20"/>
                <w:szCs w:val="20"/>
              </w:rPr>
              <w:t>246</w:t>
            </w:r>
          </w:p>
        </w:tc>
        <w:tc>
          <w:tcPr>
            <w:tcW w:w="851" w:type="dxa"/>
          </w:tcPr>
          <w:p w:rsidR="0050059F" w:rsidRPr="0011212D" w:rsidRDefault="0050059F" w:rsidP="00E66F1D">
            <w:pPr>
              <w:rPr>
                <w:rFonts w:cs="Arial"/>
                <w:sz w:val="20"/>
                <w:szCs w:val="20"/>
              </w:rPr>
            </w:pPr>
            <w:r w:rsidRPr="0011212D">
              <w:rPr>
                <w:rFonts w:cs="Arial"/>
                <w:sz w:val="20"/>
                <w:szCs w:val="20"/>
              </w:rPr>
              <w:t>201</w:t>
            </w:r>
          </w:p>
        </w:tc>
        <w:tc>
          <w:tcPr>
            <w:tcW w:w="850" w:type="dxa"/>
          </w:tcPr>
          <w:p w:rsidR="0050059F" w:rsidRPr="0011212D" w:rsidRDefault="0050059F" w:rsidP="00E66F1D">
            <w:pPr>
              <w:rPr>
                <w:rFonts w:cs="Arial"/>
                <w:sz w:val="20"/>
                <w:szCs w:val="20"/>
              </w:rPr>
            </w:pPr>
            <w:r w:rsidRPr="0011212D">
              <w:rPr>
                <w:rFonts w:cs="Arial"/>
                <w:sz w:val="20"/>
                <w:szCs w:val="20"/>
              </w:rPr>
              <w:t>235</w:t>
            </w:r>
          </w:p>
        </w:tc>
        <w:tc>
          <w:tcPr>
            <w:tcW w:w="851" w:type="dxa"/>
          </w:tcPr>
          <w:p w:rsidR="0050059F" w:rsidRPr="0011212D" w:rsidRDefault="0050059F" w:rsidP="00E66F1D">
            <w:pPr>
              <w:rPr>
                <w:rFonts w:cs="Arial"/>
                <w:sz w:val="20"/>
                <w:szCs w:val="20"/>
              </w:rPr>
            </w:pPr>
            <w:r w:rsidRPr="0011212D">
              <w:rPr>
                <w:rFonts w:cs="Arial"/>
                <w:sz w:val="20"/>
                <w:szCs w:val="20"/>
              </w:rPr>
              <w:t>174</w:t>
            </w:r>
          </w:p>
        </w:tc>
        <w:tc>
          <w:tcPr>
            <w:tcW w:w="709" w:type="dxa"/>
          </w:tcPr>
          <w:p w:rsidR="0050059F" w:rsidRPr="0011212D" w:rsidRDefault="0050059F" w:rsidP="00E66F1D">
            <w:pPr>
              <w:rPr>
                <w:rFonts w:cs="Arial"/>
                <w:sz w:val="20"/>
                <w:szCs w:val="20"/>
              </w:rPr>
            </w:pPr>
            <w:r w:rsidRPr="0011212D">
              <w:rPr>
                <w:rFonts w:cs="Arial"/>
                <w:sz w:val="20"/>
                <w:szCs w:val="20"/>
              </w:rPr>
              <w:t>157</w:t>
            </w:r>
          </w:p>
        </w:tc>
        <w:tc>
          <w:tcPr>
            <w:tcW w:w="793" w:type="dxa"/>
          </w:tcPr>
          <w:p w:rsidR="0050059F" w:rsidRPr="0011212D" w:rsidRDefault="0050059F" w:rsidP="00E66F1D">
            <w:pPr>
              <w:rPr>
                <w:rFonts w:cs="Arial"/>
                <w:sz w:val="20"/>
                <w:szCs w:val="20"/>
              </w:rPr>
            </w:pPr>
            <w:r w:rsidRPr="0011212D">
              <w:rPr>
                <w:rFonts w:cs="Arial"/>
                <w:sz w:val="20"/>
                <w:szCs w:val="20"/>
              </w:rPr>
              <w:t>193</w:t>
            </w:r>
          </w:p>
        </w:tc>
      </w:tr>
      <w:tr w:rsidR="0050059F" w:rsidRPr="0011212D" w:rsidTr="00E66F1D">
        <w:tc>
          <w:tcPr>
            <w:tcW w:w="2802" w:type="dxa"/>
          </w:tcPr>
          <w:p w:rsidR="0050059F" w:rsidRPr="0011212D" w:rsidRDefault="0050059F" w:rsidP="00E66F1D">
            <w:pPr>
              <w:rPr>
                <w:rFonts w:cs="Arial"/>
                <w:sz w:val="20"/>
                <w:szCs w:val="20"/>
              </w:rPr>
            </w:pPr>
            <w:r w:rsidRPr="0011212D">
              <w:rPr>
                <w:rFonts w:cs="Arial"/>
                <w:sz w:val="20"/>
                <w:szCs w:val="20"/>
              </w:rPr>
              <w:t>Allontanamenti volontari</w:t>
            </w:r>
          </w:p>
        </w:tc>
        <w:tc>
          <w:tcPr>
            <w:tcW w:w="708" w:type="dxa"/>
          </w:tcPr>
          <w:p w:rsidR="0050059F" w:rsidRPr="0011212D" w:rsidRDefault="0050059F" w:rsidP="00E66F1D">
            <w:pPr>
              <w:rPr>
                <w:rFonts w:cs="Arial"/>
                <w:sz w:val="20"/>
                <w:szCs w:val="20"/>
              </w:rPr>
            </w:pPr>
            <w:r w:rsidRPr="0011212D">
              <w:rPr>
                <w:rFonts w:cs="Arial"/>
                <w:sz w:val="20"/>
                <w:szCs w:val="20"/>
              </w:rPr>
              <w:t xml:space="preserve">  66</w:t>
            </w:r>
          </w:p>
        </w:tc>
        <w:tc>
          <w:tcPr>
            <w:tcW w:w="709" w:type="dxa"/>
          </w:tcPr>
          <w:p w:rsidR="0050059F" w:rsidRPr="0011212D" w:rsidRDefault="0050059F" w:rsidP="00E66F1D">
            <w:pPr>
              <w:rPr>
                <w:rFonts w:cs="Arial"/>
                <w:sz w:val="20"/>
                <w:szCs w:val="20"/>
              </w:rPr>
            </w:pPr>
            <w:r w:rsidRPr="0011212D">
              <w:rPr>
                <w:rFonts w:cs="Arial"/>
                <w:sz w:val="20"/>
                <w:szCs w:val="20"/>
              </w:rPr>
              <w:t xml:space="preserve">  65</w:t>
            </w:r>
          </w:p>
        </w:tc>
        <w:tc>
          <w:tcPr>
            <w:tcW w:w="709" w:type="dxa"/>
          </w:tcPr>
          <w:p w:rsidR="0050059F" w:rsidRPr="0011212D" w:rsidRDefault="0050059F" w:rsidP="00E66F1D">
            <w:pPr>
              <w:rPr>
                <w:rFonts w:cs="Arial"/>
                <w:sz w:val="20"/>
                <w:szCs w:val="20"/>
              </w:rPr>
            </w:pPr>
            <w:r w:rsidRPr="0011212D">
              <w:rPr>
                <w:rFonts w:cs="Arial"/>
                <w:sz w:val="20"/>
                <w:szCs w:val="20"/>
              </w:rPr>
              <w:t xml:space="preserve">  65</w:t>
            </w:r>
          </w:p>
        </w:tc>
        <w:tc>
          <w:tcPr>
            <w:tcW w:w="850" w:type="dxa"/>
          </w:tcPr>
          <w:p w:rsidR="0050059F" w:rsidRPr="0011212D" w:rsidRDefault="0050059F" w:rsidP="00E66F1D">
            <w:pPr>
              <w:rPr>
                <w:rFonts w:cs="Arial"/>
                <w:sz w:val="20"/>
                <w:szCs w:val="20"/>
              </w:rPr>
            </w:pPr>
            <w:r w:rsidRPr="0011212D">
              <w:rPr>
                <w:rFonts w:cs="Arial"/>
                <w:sz w:val="20"/>
                <w:szCs w:val="20"/>
              </w:rPr>
              <w:t xml:space="preserve">  51</w:t>
            </w:r>
          </w:p>
        </w:tc>
        <w:tc>
          <w:tcPr>
            <w:tcW w:w="851" w:type="dxa"/>
          </w:tcPr>
          <w:p w:rsidR="0050059F" w:rsidRPr="0011212D" w:rsidRDefault="0050059F" w:rsidP="00E66F1D">
            <w:pPr>
              <w:rPr>
                <w:rFonts w:cs="Arial"/>
                <w:sz w:val="20"/>
                <w:szCs w:val="20"/>
              </w:rPr>
            </w:pPr>
            <w:r w:rsidRPr="0011212D">
              <w:rPr>
                <w:rFonts w:cs="Arial"/>
                <w:sz w:val="20"/>
                <w:szCs w:val="20"/>
              </w:rPr>
              <w:t xml:space="preserve">  74</w:t>
            </w:r>
          </w:p>
        </w:tc>
        <w:tc>
          <w:tcPr>
            <w:tcW w:w="850" w:type="dxa"/>
          </w:tcPr>
          <w:p w:rsidR="0050059F" w:rsidRPr="0011212D" w:rsidRDefault="0050059F" w:rsidP="00E66F1D">
            <w:pPr>
              <w:rPr>
                <w:rFonts w:cs="Arial"/>
                <w:sz w:val="20"/>
                <w:szCs w:val="20"/>
              </w:rPr>
            </w:pPr>
            <w:r w:rsidRPr="0011212D">
              <w:rPr>
                <w:rFonts w:cs="Arial"/>
                <w:sz w:val="20"/>
                <w:szCs w:val="20"/>
              </w:rPr>
              <w:t xml:space="preserve">  80</w:t>
            </w:r>
          </w:p>
        </w:tc>
        <w:tc>
          <w:tcPr>
            <w:tcW w:w="851" w:type="dxa"/>
          </w:tcPr>
          <w:p w:rsidR="0050059F" w:rsidRPr="0011212D" w:rsidRDefault="0050059F" w:rsidP="00E66F1D">
            <w:pPr>
              <w:rPr>
                <w:rFonts w:cs="Arial"/>
                <w:sz w:val="20"/>
                <w:szCs w:val="20"/>
              </w:rPr>
            </w:pPr>
            <w:r w:rsidRPr="0011212D">
              <w:rPr>
                <w:rFonts w:cs="Arial"/>
                <w:sz w:val="20"/>
                <w:szCs w:val="20"/>
              </w:rPr>
              <w:t xml:space="preserve">  77</w:t>
            </w:r>
          </w:p>
        </w:tc>
        <w:tc>
          <w:tcPr>
            <w:tcW w:w="709" w:type="dxa"/>
          </w:tcPr>
          <w:p w:rsidR="0050059F" w:rsidRPr="0011212D" w:rsidRDefault="0050059F" w:rsidP="00E66F1D">
            <w:pPr>
              <w:rPr>
                <w:rFonts w:cs="Arial"/>
                <w:sz w:val="20"/>
                <w:szCs w:val="20"/>
              </w:rPr>
            </w:pPr>
            <w:r w:rsidRPr="0011212D">
              <w:rPr>
                <w:rFonts w:cs="Arial"/>
                <w:sz w:val="20"/>
                <w:szCs w:val="20"/>
              </w:rPr>
              <w:t xml:space="preserve">  56</w:t>
            </w:r>
          </w:p>
        </w:tc>
        <w:tc>
          <w:tcPr>
            <w:tcW w:w="793" w:type="dxa"/>
          </w:tcPr>
          <w:p w:rsidR="0050059F" w:rsidRPr="0011212D" w:rsidRDefault="0050059F" w:rsidP="00E66F1D">
            <w:pPr>
              <w:rPr>
                <w:rFonts w:cs="Arial"/>
                <w:sz w:val="20"/>
                <w:szCs w:val="20"/>
              </w:rPr>
            </w:pPr>
            <w:r w:rsidRPr="0011212D">
              <w:rPr>
                <w:rFonts w:cs="Arial"/>
                <w:sz w:val="20"/>
                <w:szCs w:val="20"/>
              </w:rPr>
              <w:t xml:space="preserve">  70</w:t>
            </w:r>
          </w:p>
        </w:tc>
      </w:tr>
      <w:tr w:rsidR="0050059F" w:rsidRPr="0011212D" w:rsidTr="00E66F1D">
        <w:tc>
          <w:tcPr>
            <w:tcW w:w="2802" w:type="dxa"/>
          </w:tcPr>
          <w:p w:rsidR="0050059F" w:rsidRPr="0011212D" w:rsidRDefault="0050059F" w:rsidP="00E66F1D">
            <w:pPr>
              <w:rPr>
                <w:rFonts w:cs="Arial"/>
                <w:sz w:val="20"/>
                <w:szCs w:val="20"/>
              </w:rPr>
            </w:pPr>
            <w:r w:rsidRPr="0011212D">
              <w:rPr>
                <w:rFonts w:cs="Arial"/>
                <w:sz w:val="20"/>
                <w:szCs w:val="20"/>
              </w:rPr>
              <w:t>Allontanamenti ordinati</w:t>
            </w:r>
          </w:p>
        </w:tc>
        <w:tc>
          <w:tcPr>
            <w:tcW w:w="708" w:type="dxa"/>
          </w:tcPr>
          <w:p w:rsidR="0050059F" w:rsidRPr="0011212D" w:rsidRDefault="0050059F" w:rsidP="00E66F1D">
            <w:pPr>
              <w:rPr>
                <w:rFonts w:cs="Arial"/>
                <w:sz w:val="20"/>
                <w:szCs w:val="20"/>
              </w:rPr>
            </w:pPr>
            <w:r w:rsidRPr="0011212D">
              <w:rPr>
                <w:rFonts w:cs="Arial"/>
                <w:sz w:val="20"/>
                <w:szCs w:val="20"/>
              </w:rPr>
              <w:t xml:space="preserve">  84</w:t>
            </w:r>
          </w:p>
        </w:tc>
        <w:tc>
          <w:tcPr>
            <w:tcW w:w="709" w:type="dxa"/>
          </w:tcPr>
          <w:p w:rsidR="0050059F" w:rsidRPr="0011212D" w:rsidRDefault="0050059F" w:rsidP="00E66F1D">
            <w:pPr>
              <w:rPr>
                <w:rFonts w:cs="Arial"/>
                <w:sz w:val="20"/>
                <w:szCs w:val="20"/>
              </w:rPr>
            </w:pPr>
            <w:r w:rsidRPr="0011212D">
              <w:rPr>
                <w:rFonts w:cs="Arial"/>
                <w:sz w:val="20"/>
                <w:szCs w:val="20"/>
              </w:rPr>
              <w:t xml:space="preserve">  88</w:t>
            </w:r>
          </w:p>
        </w:tc>
        <w:tc>
          <w:tcPr>
            <w:tcW w:w="709" w:type="dxa"/>
          </w:tcPr>
          <w:p w:rsidR="0050059F" w:rsidRPr="0011212D" w:rsidRDefault="0050059F" w:rsidP="00E66F1D">
            <w:pPr>
              <w:rPr>
                <w:rFonts w:cs="Arial"/>
                <w:sz w:val="20"/>
                <w:szCs w:val="20"/>
              </w:rPr>
            </w:pPr>
            <w:r w:rsidRPr="0011212D">
              <w:rPr>
                <w:rFonts w:cs="Arial"/>
                <w:sz w:val="20"/>
                <w:szCs w:val="20"/>
              </w:rPr>
              <w:t>105</w:t>
            </w:r>
          </w:p>
        </w:tc>
        <w:tc>
          <w:tcPr>
            <w:tcW w:w="850" w:type="dxa"/>
          </w:tcPr>
          <w:p w:rsidR="0050059F" w:rsidRPr="0011212D" w:rsidRDefault="0050059F" w:rsidP="00E66F1D">
            <w:pPr>
              <w:rPr>
                <w:rFonts w:cs="Arial"/>
                <w:sz w:val="20"/>
                <w:szCs w:val="20"/>
              </w:rPr>
            </w:pPr>
            <w:r w:rsidRPr="0011212D">
              <w:rPr>
                <w:rFonts w:cs="Arial"/>
                <w:sz w:val="20"/>
                <w:szCs w:val="20"/>
              </w:rPr>
              <w:t xml:space="preserve">  73</w:t>
            </w:r>
          </w:p>
        </w:tc>
        <w:tc>
          <w:tcPr>
            <w:tcW w:w="851" w:type="dxa"/>
          </w:tcPr>
          <w:p w:rsidR="0050059F" w:rsidRPr="0011212D" w:rsidRDefault="0050059F" w:rsidP="00E66F1D">
            <w:pPr>
              <w:rPr>
                <w:rFonts w:cs="Arial"/>
                <w:sz w:val="20"/>
                <w:szCs w:val="20"/>
              </w:rPr>
            </w:pPr>
            <w:r w:rsidRPr="0011212D">
              <w:rPr>
                <w:rFonts w:cs="Arial"/>
                <w:sz w:val="20"/>
                <w:szCs w:val="20"/>
              </w:rPr>
              <w:t xml:space="preserve">  60</w:t>
            </w:r>
          </w:p>
        </w:tc>
        <w:tc>
          <w:tcPr>
            <w:tcW w:w="850" w:type="dxa"/>
          </w:tcPr>
          <w:p w:rsidR="0050059F" w:rsidRPr="0011212D" w:rsidRDefault="0050059F" w:rsidP="00E66F1D">
            <w:pPr>
              <w:rPr>
                <w:rFonts w:cs="Arial"/>
                <w:sz w:val="20"/>
                <w:szCs w:val="20"/>
              </w:rPr>
            </w:pPr>
            <w:r w:rsidRPr="0011212D">
              <w:rPr>
                <w:rFonts w:cs="Arial"/>
                <w:sz w:val="20"/>
                <w:szCs w:val="20"/>
              </w:rPr>
              <w:t xml:space="preserve">  69</w:t>
            </w:r>
          </w:p>
        </w:tc>
        <w:tc>
          <w:tcPr>
            <w:tcW w:w="851" w:type="dxa"/>
          </w:tcPr>
          <w:p w:rsidR="0050059F" w:rsidRPr="0011212D" w:rsidRDefault="0050059F" w:rsidP="00E66F1D">
            <w:pPr>
              <w:rPr>
                <w:rFonts w:cs="Arial"/>
                <w:sz w:val="20"/>
                <w:szCs w:val="20"/>
              </w:rPr>
            </w:pPr>
            <w:r w:rsidRPr="0011212D">
              <w:rPr>
                <w:rFonts w:cs="Arial"/>
                <w:sz w:val="20"/>
                <w:szCs w:val="20"/>
              </w:rPr>
              <w:t xml:space="preserve">  40</w:t>
            </w:r>
          </w:p>
        </w:tc>
        <w:tc>
          <w:tcPr>
            <w:tcW w:w="709" w:type="dxa"/>
          </w:tcPr>
          <w:p w:rsidR="0050059F" w:rsidRPr="0011212D" w:rsidRDefault="0050059F" w:rsidP="00E66F1D">
            <w:pPr>
              <w:rPr>
                <w:rFonts w:cs="Arial"/>
                <w:sz w:val="20"/>
                <w:szCs w:val="20"/>
              </w:rPr>
            </w:pPr>
            <w:r w:rsidRPr="0011212D">
              <w:rPr>
                <w:rFonts w:cs="Arial"/>
                <w:sz w:val="20"/>
                <w:szCs w:val="20"/>
              </w:rPr>
              <w:t xml:space="preserve">  36</w:t>
            </w:r>
          </w:p>
        </w:tc>
        <w:tc>
          <w:tcPr>
            <w:tcW w:w="793" w:type="dxa"/>
          </w:tcPr>
          <w:p w:rsidR="0050059F" w:rsidRPr="0011212D" w:rsidRDefault="0050059F" w:rsidP="00E66F1D">
            <w:pPr>
              <w:rPr>
                <w:rFonts w:cs="Arial"/>
                <w:sz w:val="20"/>
                <w:szCs w:val="20"/>
              </w:rPr>
            </w:pPr>
            <w:r w:rsidRPr="0011212D">
              <w:rPr>
                <w:rFonts w:cs="Arial"/>
                <w:sz w:val="20"/>
                <w:szCs w:val="20"/>
              </w:rPr>
              <w:t xml:space="preserve">  64</w:t>
            </w:r>
          </w:p>
        </w:tc>
      </w:tr>
    </w:tbl>
    <w:p w:rsidR="0050059F" w:rsidRDefault="0050059F" w:rsidP="0050059F">
      <w:pPr>
        <w:rPr>
          <w:rFonts w:cs="Arial"/>
        </w:rPr>
      </w:pPr>
    </w:p>
    <w:p w:rsidR="0050059F" w:rsidRDefault="0050059F" w:rsidP="0050059F">
      <w:pPr>
        <w:rPr>
          <w:rFonts w:cs="Arial"/>
        </w:rPr>
      </w:pPr>
      <w:r>
        <w:rPr>
          <w:rFonts w:cs="Arial"/>
        </w:rPr>
        <w:t xml:space="preserve">Inoltre, come illustrano i dati statistici sopra indicati, proprio a causa del carico di lavoro, anno dopo anno </w:t>
      </w:r>
      <w:r w:rsidRPr="00A8467A">
        <w:rPr>
          <w:rFonts w:cs="Arial"/>
        </w:rPr>
        <w:t>(</w:t>
      </w:r>
      <w:r>
        <w:rPr>
          <w:rFonts w:cs="Arial"/>
        </w:rPr>
        <w:t xml:space="preserve">accresciuto ancor </w:t>
      </w:r>
      <w:proofErr w:type="spellStart"/>
      <w:r>
        <w:rPr>
          <w:rFonts w:cs="Arial"/>
        </w:rPr>
        <w:t>piú</w:t>
      </w:r>
      <w:proofErr w:type="spellEnd"/>
      <w:r>
        <w:rPr>
          <w:rFonts w:cs="Arial"/>
        </w:rPr>
        <w:t xml:space="preserve"> con l'introduzione della prevista </w:t>
      </w:r>
      <w:r w:rsidRPr="00A8467A">
        <w:rPr>
          <w:rFonts w:cs="Arial"/>
        </w:rPr>
        <w:t>trasmissione automatica),</w:t>
      </w:r>
      <w:r>
        <w:rPr>
          <w:rFonts w:cs="Arial"/>
        </w:rPr>
        <w:t xml:space="preserve"> si rende poi necessaria un'adeguata dotazione, con la richiesta, che la nostra Commissione invita ad accogliere, di un operatore sociale a metà tempo. Operazione ad ogni modo neutra, senza conseguenze finanziarie, poiché frutto di una soluzione individuata all'interno delle risorse assegnate al Dipartimento delle Istituzioni.</w:t>
      </w:r>
    </w:p>
    <w:p w:rsidR="0050059F" w:rsidRDefault="0050059F" w:rsidP="0050059F">
      <w:pPr>
        <w:rPr>
          <w:rFonts w:cs="Arial"/>
        </w:rPr>
      </w:pPr>
    </w:p>
    <w:p w:rsidR="0050059F" w:rsidRDefault="0050059F" w:rsidP="0050059F">
      <w:pPr>
        <w:rPr>
          <w:rFonts w:cs="Arial"/>
        </w:rPr>
      </w:pPr>
      <w:r>
        <w:rPr>
          <w:rFonts w:cs="Arial"/>
        </w:rPr>
        <w:t>Rispetto poi a quanto il messaggio pure propone (facoltà o scelta di ricorrere su invito a questo importante servizio da parte di chi si rende responsabile di violenza domestica) la nostra Commissione ha discusso su un ulteriore possibile passo da effettuare: quello di rendere obbligatorio affidarsi a questo servizio, quale misura maggiormente incisiva a salvaguardia delle vittime. Aspetto peraltro presente nell'atto parlamentare presentato dalla collega Michela Delcò Petralli nel 2012).</w:t>
      </w:r>
    </w:p>
    <w:p w:rsidR="0050059F" w:rsidRDefault="0050059F" w:rsidP="0050059F">
      <w:pPr>
        <w:rPr>
          <w:rFonts w:cs="Arial"/>
        </w:rPr>
      </w:pPr>
    </w:p>
    <w:p w:rsidR="0050059F" w:rsidRDefault="0050059F" w:rsidP="0050059F">
      <w:pPr>
        <w:ind w:firstLine="1"/>
        <w:rPr>
          <w:rFonts w:cs="Arial"/>
        </w:rPr>
      </w:pPr>
      <w:r>
        <w:rPr>
          <w:rFonts w:cs="Arial"/>
        </w:rPr>
        <w:t xml:space="preserve">In audizione la responsabile dell'UAR ha tuttavia </w:t>
      </w:r>
      <w:r w:rsidR="0095164D">
        <w:rPr>
          <w:rFonts w:cs="Arial"/>
        </w:rPr>
        <w:t>così</w:t>
      </w:r>
      <w:r>
        <w:rPr>
          <w:rFonts w:cs="Arial"/>
        </w:rPr>
        <w:t xml:space="preserve"> precisato: </w:t>
      </w:r>
      <w:r w:rsidRPr="0095164D">
        <w:rPr>
          <w:rFonts w:cs="Arial"/>
          <w:i/>
          <w:sz w:val="23"/>
          <w:szCs w:val="23"/>
        </w:rPr>
        <w:t xml:space="preserve">«Dopo sei anni di esperienza, da parte nostra possiamo dire che il sistema attuale dà buoni risultati. Infatti, a proposito del mandato generale conferitoci dal codice penale , ovvero contribuire a ridurre i casi di recidiva, osserviamo che se il tasso della recidiva penale in Svizzera si situa attorno al 47%, nei casi  trattati dall'UAR abbiamo una percentuale annua del 3-5%. Risultati che possiamo rilevare anche in materia di violenza domestica, dove non abbiamo constatato finora </w:t>
      </w:r>
      <w:r w:rsidRPr="0095164D">
        <w:rPr>
          <w:rFonts w:cs="Arial"/>
          <w:i/>
          <w:sz w:val="23"/>
          <w:szCs w:val="23"/>
        </w:rPr>
        <w:lastRenderedPageBreak/>
        <w:t xml:space="preserve">, e a quasi sei anni di distanza, alcuna ricaduta nei casi seguiti da un operatore sociale del nostro Ufficio. In altre parole il criterio fondamentale non è l'obbligatorietà ma il metodo di lavoro adottato dall'Ufficio. La possibilità di prendere contatto con le persone implicate e di affrontare gli accadimenti o la relazione problematica nella sfera familiare permette, a nostro modo di vedere, di fare un passo ulteriore nella direzione della prevenzione. Premesso che riteniamo essenziale la presente modifica legislativa, valutiamo invece problematico regolare un problema sociale </w:t>
      </w:r>
      <w:proofErr w:type="spellStart"/>
      <w:r w:rsidRPr="0095164D">
        <w:rPr>
          <w:rFonts w:cs="Arial"/>
          <w:i/>
          <w:sz w:val="23"/>
          <w:szCs w:val="23"/>
        </w:rPr>
        <w:t>cosí</w:t>
      </w:r>
      <w:proofErr w:type="spellEnd"/>
      <w:r w:rsidRPr="0095164D">
        <w:rPr>
          <w:rFonts w:cs="Arial"/>
          <w:i/>
          <w:sz w:val="23"/>
          <w:szCs w:val="23"/>
        </w:rPr>
        <w:t xml:space="preserve"> importante come la violenza domestica tramite lo strumento della legge sulla polizia. Poter contare invece su una legge ad hoc, sull'esempio di quanto avviene in altri Cantoni, questa sarebbe la migliore e auspicabile soluzione! Ciò, inoltre, sarebbe in linea con la Convenzione di Istanbul varata dal Consiglio d'Europa, che chiede di avere un'attenzione particolare per la difesa della donna, il rispetto della parità dei diritti e la lotta alla violenza domestica, Convenzione che la Svizzera dovrebbe sottoscrivere entro l'inizio del 2018»</w:t>
      </w:r>
      <w:r w:rsidRPr="0011212D">
        <w:rPr>
          <w:rFonts w:cs="Arial"/>
        </w:rPr>
        <w:t>.</w:t>
      </w:r>
    </w:p>
    <w:p w:rsidR="0050059F" w:rsidRPr="0011212D" w:rsidRDefault="0050059F" w:rsidP="0050059F">
      <w:pPr>
        <w:ind w:firstLine="1"/>
        <w:rPr>
          <w:rFonts w:cs="Arial"/>
        </w:rPr>
      </w:pPr>
    </w:p>
    <w:p w:rsidR="0050059F" w:rsidRPr="0095164D" w:rsidRDefault="0050059F" w:rsidP="0050059F">
      <w:pPr>
        <w:rPr>
          <w:rFonts w:cs="Arial"/>
          <w:sz w:val="23"/>
          <w:szCs w:val="23"/>
        </w:rPr>
      </w:pPr>
      <w:r w:rsidRPr="00DF7DBD">
        <w:rPr>
          <w:rFonts w:cs="Arial"/>
        </w:rPr>
        <w:t>Ad ogni modo</w:t>
      </w:r>
      <w:r>
        <w:rPr>
          <w:rFonts w:cs="Arial"/>
          <w:i/>
        </w:rPr>
        <w:t xml:space="preserve">, </w:t>
      </w:r>
      <w:r>
        <w:rPr>
          <w:rFonts w:cs="Arial"/>
        </w:rPr>
        <w:t xml:space="preserve">ritenuto che </w:t>
      </w:r>
      <w:r w:rsidRPr="0095164D">
        <w:rPr>
          <w:rFonts w:cs="Arial"/>
          <w:i/>
          <w:sz w:val="23"/>
          <w:szCs w:val="23"/>
        </w:rPr>
        <w:t>«l'obbligatorietà non creerebbe problemi etici per l'UAR, che interviene sempre ed unicamente su mandato d'autorità»</w:t>
      </w:r>
      <w:r w:rsidRPr="0095164D">
        <w:rPr>
          <w:rFonts w:cs="Arial"/>
          <w:sz w:val="23"/>
          <w:szCs w:val="23"/>
        </w:rPr>
        <w:t xml:space="preserve">, conclude la signora De Martini, </w:t>
      </w:r>
    </w:p>
    <w:p w:rsidR="0050059F" w:rsidRDefault="0050059F" w:rsidP="0050059F">
      <w:pPr>
        <w:rPr>
          <w:rFonts w:cs="Arial"/>
        </w:rPr>
      </w:pPr>
      <w:r w:rsidRPr="0095164D">
        <w:rPr>
          <w:rFonts w:cs="Arial"/>
          <w:i/>
          <w:sz w:val="23"/>
          <w:szCs w:val="23"/>
        </w:rPr>
        <w:t>«un'obbligatorietà indiscriminata, che riguarda tutti i casi di intervento segnalati, oltre ad essere ingestibile, se non con un conseguente ed importante aumento dell'organico, rischierebbe di banalizzare uno strumento a scapito dei casi di rigore, quindi pericolosi ed a forte rischio di recidiva</w:t>
      </w:r>
      <w:r w:rsidRPr="0095164D">
        <w:rPr>
          <w:rFonts w:cs="Arial"/>
          <w:sz w:val="23"/>
          <w:szCs w:val="23"/>
        </w:rPr>
        <w:t xml:space="preserve">. </w:t>
      </w:r>
      <w:r w:rsidRPr="0095164D">
        <w:rPr>
          <w:rFonts w:cs="Arial"/>
          <w:i/>
          <w:sz w:val="23"/>
          <w:szCs w:val="23"/>
        </w:rPr>
        <w:t>Ribadiamo la convinzione che il legislatore dovrebbe muoversi verso la definizione di una norma specifica sulla violenza domestica, che affronti il tema in tutta la sua ampiezza e in tutte le sue sfaccettature, dando risposte strutturate ed articolate»</w:t>
      </w:r>
      <w:r w:rsidRPr="006B7CDB">
        <w:rPr>
          <w:rFonts w:cs="Arial"/>
          <w:i/>
        </w:rPr>
        <w:t>.</w:t>
      </w:r>
    </w:p>
    <w:p w:rsidR="0050059F" w:rsidRDefault="0050059F" w:rsidP="0050059F">
      <w:pPr>
        <w:rPr>
          <w:rFonts w:cs="Arial"/>
        </w:rPr>
      </w:pPr>
    </w:p>
    <w:p w:rsidR="0050059F" w:rsidRDefault="0050059F" w:rsidP="0050059F">
      <w:pPr>
        <w:rPr>
          <w:rFonts w:cs="Arial"/>
        </w:rPr>
      </w:pPr>
      <w:r>
        <w:rPr>
          <w:rFonts w:cs="Arial"/>
        </w:rPr>
        <w:t>La nostra Commissione è pertanto giunta alla conclusione di fermarsi, al momento, su quanto è proposto nel messaggio governativo.</w:t>
      </w:r>
    </w:p>
    <w:p w:rsidR="0050059F" w:rsidRDefault="0050059F" w:rsidP="0050059F">
      <w:pPr>
        <w:rPr>
          <w:rFonts w:cs="Arial"/>
        </w:rPr>
      </w:pPr>
    </w:p>
    <w:p w:rsidR="0050059F" w:rsidRPr="00A51B7D" w:rsidRDefault="0050059F" w:rsidP="0050059F">
      <w:pPr>
        <w:rPr>
          <w:rFonts w:cs="Arial"/>
        </w:rPr>
      </w:pPr>
      <w:r>
        <w:rPr>
          <w:rFonts w:cs="Arial"/>
          <w:color w:val="000000" w:themeColor="text1"/>
        </w:rPr>
        <w:t xml:space="preserve">Tuttavia con queste precisazioni supplementari. Per contrastare la violenza domestica e prevenirne le conseguenze deleterie e spesso drammatiche, vi sono due urgenti vie da seguire: assieme a una modifica dell'art. 55, che al momento permette la scappatoia della sospensione del procedimento penale su richiesta della vittima, introdurre nel Codice penale, fra i reati, quello di </w:t>
      </w:r>
      <w:proofErr w:type="spellStart"/>
      <w:r>
        <w:rPr>
          <w:rFonts w:cs="Arial"/>
          <w:color w:val="000000" w:themeColor="text1"/>
        </w:rPr>
        <w:t>stalking</w:t>
      </w:r>
      <w:proofErr w:type="spellEnd"/>
      <w:r>
        <w:rPr>
          <w:rFonts w:cs="Arial"/>
          <w:color w:val="000000" w:themeColor="text1"/>
        </w:rPr>
        <w:t xml:space="preserve"> (ma è materia federale); </w:t>
      </w:r>
      <w:r w:rsidRPr="00A51B7D">
        <w:rPr>
          <w:rFonts w:cs="Arial"/>
        </w:rPr>
        <w:t>prevedere, insieme alle modifiche legislative sul nuovo diritto sanzionatorio 2018</w:t>
      </w:r>
      <w:r>
        <w:rPr>
          <w:rFonts w:cs="Arial"/>
        </w:rPr>
        <w:t>,</w:t>
      </w:r>
      <w:r w:rsidRPr="00A51B7D">
        <w:rPr>
          <w:rFonts w:cs="Arial"/>
        </w:rPr>
        <w:t xml:space="preserve"> che introduce la sorveglianza elettronica (EM), anche una base legale cantonale che permetta un utilizzo del bracci</w:t>
      </w:r>
      <w:r>
        <w:rPr>
          <w:rFonts w:cs="Arial"/>
        </w:rPr>
        <w:t>aletto elettronico anche</w:t>
      </w:r>
      <w:r w:rsidRPr="00A51B7D">
        <w:rPr>
          <w:rFonts w:cs="Arial"/>
        </w:rPr>
        <w:t xml:space="preserve"> in materia di violenza domestica.</w:t>
      </w:r>
    </w:p>
    <w:p w:rsidR="0050059F" w:rsidRDefault="0050059F" w:rsidP="0050059F">
      <w:pPr>
        <w:rPr>
          <w:rFonts w:cs="Arial"/>
        </w:rPr>
      </w:pPr>
    </w:p>
    <w:p w:rsidR="0050059F" w:rsidRPr="0011212D" w:rsidRDefault="0050059F" w:rsidP="0050059F">
      <w:pPr>
        <w:rPr>
          <w:rFonts w:cs="Arial"/>
        </w:rPr>
      </w:pPr>
    </w:p>
    <w:p w:rsidR="0050059F" w:rsidRDefault="0050059F" w:rsidP="0050059F">
      <w:pPr>
        <w:pStyle w:val="Titolo2"/>
      </w:pPr>
      <w:r>
        <w:t>Coordinamento e competenze delle polizie comunali e cantonale (art. 9a cpv. 7)</w:t>
      </w:r>
    </w:p>
    <w:p w:rsidR="0050059F" w:rsidRDefault="0050059F" w:rsidP="0050059F">
      <w:pPr>
        <w:rPr>
          <w:rFonts w:cs="Arial"/>
          <w:color w:val="000000" w:themeColor="text1"/>
        </w:rPr>
      </w:pPr>
      <w:r>
        <w:rPr>
          <w:rFonts w:cs="Arial"/>
          <w:color w:val="000000" w:themeColor="text1"/>
        </w:rPr>
        <w:t>Si tratta di una precisazione, a garanzia sempre di un sistematico e tempestivo flusso di comunicazioni. Tali informazioni sono contenute nei rapporti stilati dalle polizie comunali, condivise con la polizia cantonale (tramite il suo servizio violenza domestica), affinché soprattutto la prevenzione risulti maggiormente efficace.</w:t>
      </w:r>
    </w:p>
    <w:p w:rsidR="0050059F" w:rsidRDefault="0050059F" w:rsidP="0050059F">
      <w:pPr>
        <w:rPr>
          <w:rFonts w:cs="Arial"/>
          <w:color w:val="000000" w:themeColor="text1"/>
        </w:rPr>
      </w:pPr>
    </w:p>
    <w:p w:rsidR="0050059F" w:rsidRPr="005F53E5" w:rsidRDefault="0050059F" w:rsidP="0050059F">
      <w:pPr>
        <w:rPr>
          <w:rFonts w:cs="Arial"/>
          <w:color w:val="000000" w:themeColor="text1"/>
        </w:rPr>
      </w:pPr>
      <w:r>
        <w:rPr>
          <w:rFonts w:cs="Arial"/>
          <w:color w:val="000000" w:themeColor="text1"/>
        </w:rPr>
        <w:t xml:space="preserve">Inoltre, come ha puntualizzato in audizione il cap. </w:t>
      </w:r>
      <w:proofErr w:type="spellStart"/>
      <w:r>
        <w:rPr>
          <w:rFonts w:cs="Arial"/>
          <w:color w:val="000000" w:themeColor="text1"/>
        </w:rPr>
        <w:t>Vaerini</w:t>
      </w:r>
      <w:proofErr w:type="spellEnd"/>
      <w:r>
        <w:rPr>
          <w:rFonts w:cs="Arial"/>
          <w:color w:val="000000" w:themeColor="text1"/>
        </w:rPr>
        <w:t xml:space="preserve">, </w:t>
      </w:r>
      <w:r>
        <w:rPr>
          <w:rFonts w:cs="Arial"/>
          <w:i/>
        </w:rPr>
        <w:t>«l</w:t>
      </w:r>
      <w:r w:rsidRPr="008C2513">
        <w:rPr>
          <w:rFonts w:cs="Arial"/>
          <w:i/>
        </w:rPr>
        <w:t>a polizia comunale può intervenire, ma in presenza di determinati reati, quelli perseguibili d</w:t>
      </w:r>
      <w:r>
        <w:rPr>
          <w:rFonts w:cs="Arial"/>
          <w:i/>
        </w:rPr>
        <w:t>'</w:t>
      </w:r>
      <w:r w:rsidRPr="008C2513">
        <w:rPr>
          <w:rFonts w:cs="Arial"/>
          <w:i/>
        </w:rPr>
        <w:t>ufficio, deve coinvolgere la cantonale</w:t>
      </w:r>
      <w:r>
        <w:rPr>
          <w:rFonts w:cs="Arial"/>
          <w:i/>
        </w:rPr>
        <w:t>».</w:t>
      </w:r>
      <w:r>
        <w:rPr>
          <w:rFonts w:cs="Arial"/>
          <w:color w:val="000000" w:themeColor="text1"/>
        </w:rPr>
        <w:t xml:space="preserve"> </w:t>
      </w:r>
      <w:r>
        <w:rPr>
          <w:rFonts w:cs="Arial"/>
        </w:rPr>
        <w:t>Si rammenta a questo proposito che dal 1. settembre 2015 è operativa la nuova organizzazione stabilita dalla Legge sulla collaborazione fra la polizia cantonale e le polizie comunali (16 marzo 2011).</w:t>
      </w:r>
    </w:p>
    <w:p w:rsidR="0050059F" w:rsidRDefault="0050059F" w:rsidP="0050059F">
      <w:pPr>
        <w:rPr>
          <w:rFonts w:cs="Arial"/>
          <w:color w:val="000000" w:themeColor="text1"/>
        </w:rPr>
      </w:pPr>
    </w:p>
    <w:p w:rsidR="0050059F" w:rsidRDefault="0050059F" w:rsidP="0050059F">
      <w:pPr>
        <w:rPr>
          <w:rFonts w:cs="Arial"/>
          <w:color w:val="000000" w:themeColor="text1"/>
        </w:rPr>
      </w:pPr>
    </w:p>
    <w:p w:rsidR="0050059F" w:rsidRPr="00C547CD" w:rsidRDefault="0050059F" w:rsidP="0050059F">
      <w:pPr>
        <w:pStyle w:val="Titolo2"/>
      </w:pPr>
      <w:r w:rsidRPr="00C547CD">
        <w:lastRenderedPageBreak/>
        <w:t>Una precisazione e proposta di modifica</w:t>
      </w:r>
    </w:p>
    <w:p w:rsidR="0050059F" w:rsidRDefault="0050059F" w:rsidP="0050059F">
      <w:pPr>
        <w:rPr>
          <w:rFonts w:cs="Arial"/>
          <w:color w:val="000000" w:themeColor="text1"/>
        </w:rPr>
      </w:pPr>
      <w:r>
        <w:rPr>
          <w:rFonts w:cs="Arial"/>
          <w:color w:val="000000" w:themeColor="text1"/>
        </w:rPr>
        <w:t>Nel corso della discussione commissionale è emersa la necessità di sottolineare non solo quanto discende dal Codice civile (art. 28b) ma anche quelle situazioni nelle quali prevale il Codice di procedura penale (artt. 237-240).</w:t>
      </w:r>
    </w:p>
    <w:p w:rsidR="0050059F" w:rsidRDefault="0050059F" w:rsidP="0050059F">
      <w:pPr>
        <w:rPr>
          <w:rFonts w:cs="Arial"/>
          <w:color w:val="000000" w:themeColor="text1"/>
        </w:rPr>
      </w:pPr>
    </w:p>
    <w:p w:rsidR="0050059F" w:rsidRDefault="0050059F" w:rsidP="0050059F">
      <w:pPr>
        <w:rPr>
          <w:rFonts w:cs="Arial"/>
          <w:color w:val="000000" w:themeColor="text1"/>
        </w:rPr>
      </w:pPr>
      <w:r>
        <w:rPr>
          <w:rFonts w:cs="Arial"/>
          <w:color w:val="000000" w:themeColor="text1"/>
        </w:rPr>
        <w:t xml:space="preserve">Per questa ragione la Commissione propone di inserire in coda all'art. 9a </w:t>
      </w:r>
      <w:proofErr w:type="spellStart"/>
      <w:r>
        <w:rPr>
          <w:rFonts w:cs="Arial"/>
          <w:color w:val="000000" w:themeColor="text1"/>
        </w:rPr>
        <w:t>LPol</w:t>
      </w:r>
      <w:proofErr w:type="spellEnd"/>
      <w:r>
        <w:rPr>
          <w:rFonts w:cs="Arial"/>
          <w:color w:val="000000" w:themeColor="text1"/>
        </w:rPr>
        <w:t xml:space="preserve"> un nuovo capoverso con il seguente tenore:</w:t>
      </w:r>
    </w:p>
    <w:p w:rsidR="0050059F" w:rsidRPr="0050059F" w:rsidRDefault="0050059F" w:rsidP="0050059F">
      <w:pPr>
        <w:rPr>
          <w:rFonts w:cs="Arial"/>
          <w:color w:val="000000" w:themeColor="text1"/>
          <w:sz w:val="16"/>
          <w:szCs w:val="16"/>
        </w:rPr>
      </w:pPr>
    </w:p>
    <w:p w:rsidR="0050059F" w:rsidRPr="0050059F" w:rsidRDefault="0050059F" w:rsidP="0050059F">
      <w:pPr>
        <w:spacing w:after="120"/>
        <w:ind w:left="567"/>
        <w:rPr>
          <w:rFonts w:cs="Arial"/>
          <w:b/>
          <w:color w:val="000000" w:themeColor="text1"/>
          <w:sz w:val="22"/>
          <w:u w:val="single"/>
        </w:rPr>
      </w:pPr>
      <w:r w:rsidRPr="0050059F">
        <w:rPr>
          <w:rFonts w:cs="Arial"/>
          <w:b/>
          <w:color w:val="000000" w:themeColor="text1"/>
          <w:sz w:val="22"/>
          <w:u w:val="single"/>
        </w:rPr>
        <w:t>art. 9a cpv. 8 (nuovo)</w:t>
      </w:r>
    </w:p>
    <w:p w:rsidR="0050059F" w:rsidRPr="0050059F" w:rsidRDefault="0050059F" w:rsidP="0050059F">
      <w:pPr>
        <w:ind w:left="567"/>
        <w:rPr>
          <w:b/>
          <w:sz w:val="22"/>
        </w:rPr>
      </w:pPr>
      <w:r w:rsidRPr="0050059F">
        <w:rPr>
          <w:b/>
          <w:sz w:val="22"/>
          <w:vertAlign w:val="superscript"/>
        </w:rPr>
        <w:t>8</w:t>
      </w:r>
      <w:r w:rsidRPr="0050059F">
        <w:rPr>
          <w:rFonts w:cs="Arial"/>
          <w:b/>
          <w:color w:val="000000" w:themeColor="text1"/>
          <w:sz w:val="22"/>
        </w:rPr>
        <w:t>Sono riservati i disposti previsti dal Codice di procedura penale.</w:t>
      </w:r>
    </w:p>
    <w:p w:rsidR="0050059F" w:rsidRPr="009B1200" w:rsidRDefault="0050059F" w:rsidP="0050059F">
      <w:pPr>
        <w:rPr>
          <w:rFonts w:cs="Arial"/>
          <w:color w:val="000000" w:themeColor="text1"/>
        </w:rPr>
      </w:pPr>
    </w:p>
    <w:p w:rsidR="0050059F" w:rsidRDefault="0050059F" w:rsidP="0050059F">
      <w:pPr>
        <w:rPr>
          <w:rFonts w:cs="Arial"/>
          <w:color w:val="000000" w:themeColor="text1"/>
        </w:rPr>
      </w:pPr>
    </w:p>
    <w:p w:rsidR="0050059F" w:rsidRPr="009B1200" w:rsidRDefault="0050059F" w:rsidP="0050059F">
      <w:pPr>
        <w:rPr>
          <w:rFonts w:cs="Arial"/>
          <w:color w:val="000000" w:themeColor="text1"/>
        </w:rPr>
      </w:pPr>
    </w:p>
    <w:p w:rsidR="0050059F" w:rsidRPr="009B1200" w:rsidRDefault="0050059F" w:rsidP="0050059F">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VI.</w:t>
      </w:r>
      <w:r>
        <w:rPr>
          <w:rFonts w:ascii="Arial Grassetto" w:eastAsia="MS Mincho" w:hAnsi="Arial Grassetto" w:cs="Arial"/>
          <w:b/>
          <w:caps/>
        </w:rPr>
        <w:tab/>
      </w:r>
      <w:r w:rsidRPr="009B1200">
        <w:rPr>
          <w:rFonts w:ascii="Arial Grassetto" w:eastAsia="MS Mincho" w:hAnsi="Arial Grassetto" w:cs="Arial"/>
          <w:b/>
          <w:caps/>
        </w:rPr>
        <w:t>Conclusioni</w:t>
      </w:r>
    </w:p>
    <w:p w:rsidR="0050059F" w:rsidRDefault="0050059F" w:rsidP="0050059F">
      <w:pPr>
        <w:ind w:firstLine="1"/>
        <w:rPr>
          <w:rFonts w:cs="Arial"/>
        </w:rPr>
      </w:pPr>
      <w:r>
        <w:rPr>
          <w:rFonts w:cs="Arial"/>
        </w:rPr>
        <w:t xml:space="preserve">La nostra Commissione, appurato che il tema di una legge specifica sulla violenza domestica (non solo rivolta agli autori di violenze, ma anche all'accompagnamento delle vittime) è oggetto di approfondimento all'interno del Dipartimento, invita il Governo a proseguire con determinazione su questo cammino. In fondo, in questa circostanza ci si limita unicamente a modificare puntualmente alcuni dettagli di un solo articolo della </w:t>
      </w:r>
      <w:proofErr w:type="spellStart"/>
      <w:r>
        <w:rPr>
          <w:rFonts w:cs="Arial"/>
        </w:rPr>
        <w:t>Lpol</w:t>
      </w:r>
      <w:proofErr w:type="spellEnd"/>
      <w:r>
        <w:rPr>
          <w:rFonts w:cs="Arial"/>
        </w:rPr>
        <w:t>, collocazione utile ma non definitiva che tuttavia ha il pregio di offrire una base legale per agire in questo delicato settore.</w:t>
      </w:r>
    </w:p>
    <w:p w:rsidR="0050059F" w:rsidRDefault="0050059F" w:rsidP="0050059F">
      <w:pPr>
        <w:ind w:firstLine="1"/>
        <w:rPr>
          <w:rFonts w:cs="Arial"/>
        </w:rPr>
      </w:pPr>
    </w:p>
    <w:p w:rsidR="0050059F" w:rsidRDefault="0050059F" w:rsidP="0050059F">
      <w:pPr>
        <w:ind w:firstLine="1"/>
        <w:rPr>
          <w:rFonts w:cs="Arial"/>
        </w:rPr>
      </w:pPr>
      <w:r>
        <w:rPr>
          <w:rFonts w:cs="Arial"/>
        </w:rPr>
        <w:t xml:space="preserve">Le modifiche proposte in questo contesto trovano pertanto una condivisa giustificazione: un passo in più per consentire di operare nel modo </w:t>
      </w:r>
      <w:proofErr w:type="spellStart"/>
      <w:r>
        <w:rPr>
          <w:rFonts w:cs="Arial"/>
        </w:rPr>
        <w:t>piú</w:t>
      </w:r>
      <w:proofErr w:type="spellEnd"/>
      <w:r>
        <w:rPr>
          <w:rFonts w:cs="Arial"/>
        </w:rPr>
        <w:t xml:space="preserve"> efficace e tempestivo quando l'emergenza lo impone.</w:t>
      </w:r>
    </w:p>
    <w:p w:rsidR="0050059F" w:rsidRDefault="0050059F" w:rsidP="0050059F">
      <w:pPr>
        <w:ind w:firstLine="1"/>
        <w:rPr>
          <w:rFonts w:cs="Arial"/>
        </w:rPr>
      </w:pPr>
    </w:p>
    <w:p w:rsidR="0050059F" w:rsidRDefault="0050059F" w:rsidP="0050059F">
      <w:pPr>
        <w:ind w:firstLine="1"/>
        <w:rPr>
          <w:rFonts w:cs="Arial"/>
          <w:color w:val="000000" w:themeColor="text1"/>
        </w:rPr>
      </w:pPr>
      <w:r>
        <w:rPr>
          <w:rFonts w:cs="Arial"/>
          <w:color w:val="000000" w:themeColor="text1"/>
        </w:rPr>
        <w:t>Inoltre, fra le conseguenze pratiche vi è quella di necessitare di una mezza unità di lavoro supplementare all'UAR, operazione ad ogni modo neutra grazie a una soluzione individuata all'interno del Dipartimento, senza aumento di personale.</w:t>
      </w:r>
    </w:p>
    <w:p w:rsidR="0050059F" w:rsidRDefault="0050059F" w:rsidP="0050059F">
      <w:pPr>
        <w:rPr>
          <w:rFonts w:cs="Arial"/>
          <w:color w:val="000000" w:themeColor="text1"/>
        </w:rPr>
      </w:pPr>
    </w:p>
    <w:p w:rsidR="0050059F" w:rsidRDefault="0050059F" w:rsidP="0050059F">
      <w:pPr>
        <w:rPr>
          <w:rFonts w:cs="Arial"/>
          <w:color w:val="000000" w:themeColor="text1"/>
        </w:rPr>
      </w:pPr>
      <w:r>
        <w:rPr>
          <w:rFonts w:cs="Arial"/>
          <w:color w:val="000000" w:themeColor="text1"/>
        </w:rPr>
        <w:t>Per finire, analisi e precisazioni illustrate portano alla conclusione di invitare il Parlamento ad accogliere il Messaggio governativo n. 7299 del 28 marzo 2017 e il relativo rapporto, con il nuovo cpv. 8 proposto dalla Commissione della legislazione.</w:t>
      </w:r>
    </w:p>
    <w:p w:rsidR="0050059F" w:rsidRDefault="0050059F" w:rsidP="0050059F">
      <w:pPr>
        <w:rPr>
          <w:rFonts w:cs="Arial"/>
          <w:color w:val="000000" w:themeColor="text1"/>
        </w:rPr>
      </w:pPr>
    </w:p>
    <w:p w:rsidR="0050059F" w:rsidRDefault="0050059F" w:rsidP="0050059F">
      <w:pPr>
        <w:rPr>
          <w:rFonts w:cs="Arial"/>
          <w:color w:val="000000" w:themeColor="text1"/>
        </w:rPr>
      </w:pPr>
    </w:p>
    <w:p w:rsidR="0050059F" w:rsidRDefault="0050059F" w:rsidP="0050059F">
      <w:pPr>
        <w:rPr>
          <w:rFonts w:cs="Arial"/>
          <w:color w:val="000000" w:themeColor="text1"/>
        </w:rPr>
      </w:pPr>
    </w:p>
    <w:p w:rsidR="0050059F" w:rsidRPr="00A612B5" w:rsidRDefault="0050059F" w:rsidP="0050059F">
      <w:pPr>
        <w:pStyle w:val="Corpotesto"/>
        <w:tabs>
          <w:tab w:val="clear" w:pos="284"/>
          <w:tab w:val="clear" w:pos="426"/>
          <w:tab w:val="clear" w:pos="4962"/>
        </w:tabs>
        <w:spacing w:after="120"/>
        <w:ind w:right="-1"/>
        <w:rPr>
          <w:rFonts w:cs="Arial"/>
          <w:lang w:val="it-CH"/>
        </w:rPr>
      </w:pPr>
      <w:r w:rsidRPr="00A612B5">
        <w:rPr>
          <w:rFonts w:cs="Arial"/>
          <w:lang w:val="it-CH"/>
        </w:rPr>
        <w:t>Per la Commissione della legislazione</w:t>
      </w:r>
    </w:p>
    <w:p w:rsidR="0050059F" w:rsidRDefault="0050059F" w:rsidP="0050059F">
      <w:pPr>
        <w:autoSpaceDE w:val="0"/>
        <w:autoSpaceDN w:val="0"/>
        <w:adjustRightInd w:val="0"/>
        <w:rPr>
          <w:rFonts w:eastAsia="Cambria" w:cs="Arial"/>
        </w:rPr>
      </w:pPr>
      <w:r w:rsidRPr="00A612B5">
        <w:rPr>
          <w:rFonts w:eastAsia="Cambria" w:cs="Arial"/>
        </w:rPr>
        <w:t>Gianrico Corti, relatore</w:t>
      </w:r>
    </w:p>
    <w:p w:rsidR="00EA0FD5" w:rsidRDefault="00EA0FD5" w:rsidP="00EA0FD5">
      <w:pPr>
        <w:rPr>
          <w:rFonts w:cs="Arial"/>
        </w:rPr>
      </w:pPr>
      <w:r>
        <w:rPr>
          <w:rFonts w:cs="Arial"/>
        </w:rPr>
        <w:t xml:space="preserve">Agustoni - Aldi - Bignasca - Celio - </w:t>
      </w:r>
    </w:p>
    <w:p w:rsidR="00EA0FD5" w:rsidRDefault="00EA0FD5" w:rsidP="00EA0FD5">
      <w:pPr>
        <w:rPr>
          <w:rFonts w:cs="Arial"/>
        </w:rPr>
      </w:pPr>
      <w:r>
        <w:rPr>
          <w:rFonts w:cs="Arial"/>
        </w:rPr>
        <w:t xml:space="preserve">Delcò Petralli (con riserva) - Ducry (con riserva) - </w:t>
      </w:r>
    </w:p>
    <w:p w:rsidR="00EA0FD5" w:rsidRDefault="00EA0FD5" w:rsidP="00EA0FD5">
      <w:pPr>
        <w:rPr>
          <w:rFonts w:cs="Arial"/>
        </w:rPr>
      </w:pPr>
      <w:r>
        <w:rPr>
          <w:rFonts w:cs="Arial"/>
        </w:rPr>
        <w:t xml:space="preserve">Ferrara - Filippini - Galusero - Gendotti - Giudici - </w:t>
      </w:r>
    </w:p>
    <w:p w:rsidR="00EA0FD5" w:rsidRPr="005E5056" w:rsidRDefault="00EA0FD5" w:rsidP="00EA0FD5">
      <w:pPr>
        <w:rPr>
          <w:rFonts w:cs="Arial"/>
        </w:rPr>
      </w:pPr>
      <w:r>
        <w:rPr>
          <w:rFonts w:cs="Arial"/>
        </w:rPr>
        <w:t>Lepori - Minotti - Rückert - Viscardi</w:t>
      </w:r>
    </w:p>
    <w:p w:rsidR="0050059F" w:rsidRDefault="0050059F" w:rsidP="0050059F">
      <w:pPr>
        <w:autoSpaceDE w:val="0"/>
        <w:autoSpaceDN w:val="0"/>
        <w:adjustRightInd w:val="0"/>
        <w:rPr>
          <w:rFonts w:eastAsia="Cambria" w:cs="Arial"/>
        </w:rPr>
      </w:pPr>
    </w:p>
    <w:p w:rsidR="0050059F" w:rsidRDefault="0050059F" w:rsidP="0050059F">
      <w:pPr>
        <w:autoSpaceDE w:val="0"/>
        <w:autoSpaceDN w:val="0"/>
        <w:adjustRightInd w:val="0"/>
        <w:rPr>
          <w:rFonts w:eastAsia="Cambria" w:cs="Arial"/>
        </w:rPr>
      </w:pPr>
    </w:p>
    <w:p w:rsidR="0050059F" w:rsidRDefault="0050059F" w:rsidP="0050059F">
      <w:pPr>
        <w:rPr>
          <w:rFonts w:eastAsia="Cambria" w:cs="Arial"/>
        </w:rPr>
      </w:pPr>
      <w:r>
        <w:rPr>
          <w:rFonts w:eastAsia="Cambria" w:cs="Arial"/>
        </w:rPr>
        <w:br w:type="page"/>
      </w:r>
    </w:p>
    <w:p w:rsidR="0050059F" w:rsidRDefault="0050059F" w:rsidP="0050059F">
      <w:pPr>
        <w:widowControl w:val="0"/>
        <w:tabs>
          <w:tab w:val="left" w:pos="0"/>
        </w:tabs>
      </w:pPr>
      <w:r w:rsidRPr="00337F52">
        <w:lastRenderedPageBreak/>
        <w:t>Disegno di</w:t>
      </w:r>
    </w:p>
    <w:p w:rsidR="0050059F" w:rsidRPr="00337F52" w:rsidRDefault="0050059F" w:rsidP="0050059F">
      <w:pPr>
        <w:widowControl w:val="0"/>
        <w:tabs>
          <w:tab w:val="left" w:pos="0"/>
        </w:tabs>
        <w:rPr>
          <w:rFonts w:cs="Arial"/>
        </w:rPr>
      </w:pPr>
    </w:p>
    <w:p w:rsidR="0050059F" w:rsidRPr="00337F52" w:rsidRDefault="0050059F" w:rsidP="0050059F">
      <w:pPr>
        <w:spacing w:before="120" w:after="120"/>
        <w:rPr>
          <w:b/>
        </w:rPr>
      </w:pPr>
      <w:r w:rsidRPr="00337F52">
        <w:rPr>
          <w:b/>
        </w:rPr>
        <w:t>LEGGE</w:t>
      </w:r>
    </w:p>
    <w:p w:rsidR="0050059F" w:rsidRPr="00337F52" w:rsidRDefault="0050059F" w:rsidP="0050059F">
      <w:pPr>
        <w:rPr>
          <w:b/>
        </w:rPr>
      </w:pPr>
      <w:r w:rsidRPr="00337F52">
        <w:rPr>
          <w:b/>
        </w:rPr>
        <w:t xml:space="preserve">sulla polizia </w:t>
      </w:r>
      <w:r>
        <w:rPr>
          <w:b/>
        </w:rPr>
        <w:t>(</w:t>
      </w:r>
      <w:proofErr w:type="spellStart"/>
      <w:r>
        <w:rPr>
          <w:b/>
        </w:rPr>
        <w:t>LPol</w:t>
      </w:r>
      <w:proofErr w:type="spellEnd"/>
      <w:r>
        <w:rPr>
          <w:b/>
        </w:rPr>
        <w:t xml:space="preserve">) </w:t>
      </w:r>
      <w:r w:rsidRPr="00337F52">
        <w:rPr>
          <w:b/>
        </w:rPr>
        <w:t>del 12 dicembre 1989; modifica</w:t>
      </w:r>
    </w:p>
    <w:p w:rsidR="0050059F" w:rsidRPr="00337F52" w:rsidRDefault="0050059F" w:rsidP="0050059F"/>
    <w:p w:rsidR="0050059F" w:rsidRPr="00337F52" w:rsidRDefault="0050059F" w:rsidP="0050059F"/>
    <w:p w:rsidR="0050059F" w:rsidRPr="00337F52" w:rsidRDefault="0050059F" w:rsidP="0050059F">
      <w:r>
        <w:t>Il Gran Consiglio</w:t>
      </w:r>
    </w:p>
    <w:p w:rsidR="0050059F" w:rsidRPr="00337F52" w:rsidRDefault="0050059F" w:rsidP="0050059F">
      <w:r w:rsidRPr="00337F52">
        <w:t xml:space="preserve">della </w:t>
      </w:r>
      <w:r>
        <w:t>R</w:t>
      </w:r>
      <w:r w:rsidRPr="00337F52">
        <w:t xml:space="preserve">epubblica e </w:t>
      </w:r>
      <w:r>
        <w:t>Cantone T</w:t>
      </w:r>
      <w:r w:rsidRPr="00337F52">
        <w:t>icino</w:t>
      </w:r>
    </w:p>
    <w:p w:rsidR="0050059F" w:rsidRPr="00337F52" w:rsidRDefault="0050059F" w:rsidP="0050059F"/>
    <w:p w:rsidR="0050059F" w:rsidRDefault="0050059F" w:rsidP="0095164D">
      <w:pPr>
        <w:pStyle w:val="Paragrafoelenco"/>
        <w:numPr>
          <w:ilvl w:val="0"/>
          <w:numId w:val="6"/>
        </w:numPr>
        <w:ind w:left="284" w:hanging="284"/>
      </w:pPr>
      <w:r w:rsidRPr="00337F52">
        <w:t xml:space="preserve">visto il messaggio </w:t>
      </w:r>
      <w:r>
        <w:t>28 marzo 2017</w:t>
      </w:r>
      <w:r w:rsidRPr="00337F52">
        <w:t xml:space="preserve"> n. </w:t>
      </w:r>
      <w:r>
        <w:t>7299</w:t>
      </w:r>
      <w:r w:rsidRPr="00337F52">
        <w:t xml:space="preserve"> del Consiglio di Stato,</w:t>
      </w:r>
    </w:p>
    <w:p w:rsidR="0050059F" w:rsidRPr="00337F52" w:rsidRDefault="0050059F" w:rsidP="0095164D">
      <w:pPr>
        <w:pStyle w:val="Paragrafoelenco"/>
        <w:numPr>
          <w:ilvl w:val="0"/>
          <w:numId w:val="6"/>
        </w:numPr>
        <w:spacing w:before="120"/>
        <w:ind w:left="284" w:hanging="284"/>
      </w:pPr>
      <w:r>
        <w:t xml:space="preserve">visto il rapporto 30 agosto 2017 </w:t>
      </w:r>
      <w:r w:rsidR="0095164D">
        <w:t xml:space="preserve">n. 7299R </w:t>
      </w:r>
      <w:r>
        <w:t>della Commissione della legislazione,</w:t>
      </w:r>
    </w:p>
    <w:p w:rsidR="0050059F" w:rsidRPr="00337F52" w:rsidRDefault="0050059F" w:rsidP="0050059F"/>
    <w:p w:rsidR="0050059F" w:rsidRPr="00337F52" w:rsidRDefault="0050059F" w:rsidP="0050059F"/>
    <w:p w:rsidR="0050059F" w:rsidRPr="00337F52" w:rsidRDefault="0050059F" w:rsidP="0050059F">
      <w:pPr>
        <w:rPr>
          <w:b/>
        </w:rPr>
      </w:pPr>
      <w:r w:rsidRPr="00337F52">
        <w:rPr>
          <w:b/>
        </w:rPr>
        <w:t>d e c r e t a :</w:t>
      </w:r>
    </w:p>
    <w:p w:rsidR="0050059F" w:rsidRPr="00337F52" w:rsidRDefault="0050059F" w:rsidP="0050059F"/>
    <w:p w:rsidR="0050059F" w:rsidRPr="00337F52" w:rsidRDefault="0050059F" w:rsidP="0050059F"/>
    <w:p w:rsidR="0050059F" w:rsidRPr="00337F52" w:rsidRDefault="0050059F" w:rsidP="0050059F">
      <w:pPr>
        <w:spacing w:after="120"/>
        <w:rPr>
          <w:b/>
        </w:rPr>
      </w:pPr>
      <w:r w:rsidRPr="00337F52">
        <w:rPr>
          <w:b/>
        </w:rPr>
        <w:t>I</w:t>
      </w:r>
      <w:r>
        <w:rPr>
          <w:b/>
        </w:rPr>
        <w:t>.</w:t>
      </w:r>
    </w:p>
    <w:p w:rsidR="0050059F" w:rsidRPr="00337F52" w:rsidRDefault="0050059F" w:rsidP="0050059F">
      <w:r w:rsidRPr="00337F52">
        <w:t xml:space="preserve">La </w:t>
      </w:r>
      <w:r>
        <w:t>l</w:t>
      </w:r>
      <w:r w:rsidRPr="00337F52">
        <w:t xml:space="preserve">egge sulla polizia </w:t>
      </w:r>
      <w:r>
        <w:t>(</w:t>
      </w:r>
      <w:proofErr w:type="spellStart"/>
      <w:r>
        <w:t>LPol</w:t>
      </w:r>
      <w:proofErr w:type="spellEnd"/>
      <w:r>
        <w:t xml:space="preserve">) </w:t>
      </w:r>
      <w:r w:rsidRPr="00337F52">
        <w:t>del 12 dicembre 1989 è così modificata:</w:t>
      </w:r>
    </w:p>
    <w:p w:rsidR="0050059F" w:rsidRPr="00337F52" w:rsidRDefault="0050059F" w:rsidP="00A95178">
      <w:pPr>
        <w:spacing w:before="120"/>
      </w:pPr>
    </w:p>
    <w:tbl>
      <w:tblPr>
        <w:tblW w:w="9709" w:type="dxa"/>
        <w:tblLayout w:type="fixed"/>
        <w:tblCellMar>
          <w:left w:w="70" w:type="dxa"/>
          <w:right w:w="70" w:type="dxa"/>
        </w:tblCellMar>
        <w:tblLook w:val="0000" w:firstRow="0" w:lastRow="0" w:firstColumn="0" w:lastColumn="0" w:noHBand="0" w:noVBand="0"/>
      </w:tblPr>
      <w:tblGrid>
        <w:gridCol w:w="2197"/>
        <w:gridCol w:w="7512"/>
      </w:tblGrid>
      <w:tr w:rsidR="0050059F" w:rsidRPr="00337F52" w:rsidTr="00E66F1D">
        <w:tc>
          <w:tcPr>
            <w:tcW w:w="2197" w:type="dxa"/>
          </w:tcPr>
          <w:p w:rsidR="0050059F" w:rsidRPr="00E011C5" w:rsidRDefault="0050059F" w:rsidP="00E66F1D">
            <w:pPr>
              <w:rPr>
                <w:sz w:val="22"/>
              </w:rPr>
            </w:pPr>
          </w:p>
          <w:p w:rsidR="0050059F" w:rsidRPr="00E011C5" w:rsidRDefault="0050059F" w:rsidP="00E66F1D">
            <w:pPr>
              <w:rPr>
                <w:sz w:val="22"/>
              </w:rPr>
            </w:pPr>
          </w:p>
          <w:p w:rsidR="0050059F" w:rsidRPr="00337F52" w:rsidRDefault="0050059F" w:rsidP="00EA0FD5">
            <w:pPr>
              <w:jc w:val="left"/>
              <w:rPr>
                <w:b/>
                <w:sz w:val="20"/>
              </w:rPr>
            </w:pPr>
            <w:r w:rsidRPr="00337F52">
              <w:rPr>
                <w:b/>
                <w:sz w:val="20"/>
              </w:rPr>
              <w:t>Allontanamento e divieto di rientro in ambito di violenza domestica</w:t>
            </w:r>
          </w:p>
          <w:p w:rsidR="0050059F" w:rsidRPr="00337F52" w:rsidRDefault="0050059F" w:rsidP="00E66F1D"/>
        </w:tc>
        <w:tc>
          <w:tcPr>
            <w:tcW w:w="7512" w:type="dxa"/>
          </w:tcPr>
          <w:p w:rsidR="0050059F" w:rsidRPr="00A95178" w:rsidRDefault="0050059F" w:rsidP="00E66F1D">
            <w:pPr>
              <w:rPr>
                <w:b/>
                <w:sz w:val="22"/>
              </w:rPr>
            </w:pPr>
            <w:r w:rsidRPr="00A95178">
              <w:rPr>
                <w:b/>
                <w:sz w:val="22"/>
              </w:rPr>
              <w:t>Art. 9a</w:t>
            </w:r>
          </w:p>
          <w:p w:rsidR="0050059F" w:rsidRPr="00E011C5" w:rsidRDefault="0050059F" w:rsidP="00E66F1D">
            <w:pPr>
              <w:rPr>
                <w:sz w:val="22"/>
              </w:rPr>
            </w:pPr>
          </w:p>
          <w:p w:rsidR="0050059F" w:rsidRPr="00E011C5" w:rsidRDefault="0050059F" w:rsidP="00E66F1D">
            <w:pPr>
              <w:tabs>
                <w:tab w:val="left" w:pos="214"/>
              </w:tabs>
              <w:rPr>
                <w:sz w:val="22"/>
              </w:rPr>
            </w:pPr>
            <w:r w:rsidRPr="00E011C5">
              <w:rPr>
                <w:sz w:val="22"/>
                <w:vertAlign w:val="superscript"/>
              </w:rPr>
              <w:t>1</w:t>
            </w:r>
            <w:r w:rsidRPr="00E011C5">
              <w:rPr>
                <w:sz w:val="22"/>
              </w:rPr>
              <w:t>L’ufficiale di polizia può decidere l’allontanamento per dieci giorni di una persona dall’abitazione comune e dalle sue immediate vicinanze, come pure vietarle l’accesso a determinati locali e luoghi, se lei rappresenta un serio pericolo per l’integrità fisica, psichica o sessuale di altre persone facenti parte della stessa comunione domestica.</w:t>
            </w:r>
          </w:p>
          <w:p w:rsidR="0050059F" w:rsidRPr="00E011C5" w:rsidRDefault="0050059F" w:rsidP="00E66F1D">
            <w:pPr>
              <w:tabs>
                <w:tab w:val="left" w:pos="214"/>
              </w:tabs>
              <w:rPr>
                <w:sz w:val="22"/>
              </w:rPr>
            </w:pPr>
          </w:p>
          <w:p w:rsidR="0050059F" w:rsidRPr="00E011C5" w:rsidRDefault="0050059F" w:rsidP="00E66F1D">
            <w:pPr>
              <w:tabs>
                <w:tab w:val="left" w:pos="214"/>
              </w:tabs>
              <w:rPr>
                <w:sz w:val="22"/>
              </w:rPr>
            </w:pPr>
            <w:r w:rsidRPr="00E011C5">
              <w:rPr>
                <w:sz w:val="22"/>
                <w:vertAlign w:val="superscript"/>
              </w:rPr>
              <w:t>2</w:t>
            </w:r>
            <w:r w:rsidRPr="00E011C5">
              <w:rPr>
                <w:sz w:val="22"/>
              </w:rPr>
              <w:t>La polizia cantonale si fa consegnare dalla persona allontanata le chiavi dell’abitazione e la invita a designare un recapito. La persona allontanata ha la possibilità di prendere con sé gli effetti personali strettamente necessari per la durata dell’allontanamento.</w:t>
            </w:r>
          </w:p>
          <w:p w:rsidR="0050059F" w:rsidRPr="00E011C5" w:rsidRDefault="0050059F" w:rsidP="00E66F1D">
            <w:pPr>
              <w:tabs>
                <w:tab w:val="left" w:pos="214"/>
              </w:tabs>
              <w:rPr>
                <w:sz w:val="22"/>
              </w:rPr>
            </w:pPr>
          </w:p>
          <w:p w:rsidR="0050059F" w:rsidRPr="00E011C5" w:rsidRDefault="0050059F" w:rsidP="00E66F1D">
            <w:pPr>
              <w:tabs>
                <w:tab w:val="left" w:pos="214"/>
              </w:tabs>
              <w:rPr>
                <w:sz w:val="22"/>
              </w:rPr>
            </w:pPr>
            <w:r w:rsidRPr="00E011C5">
              <w:rPr>
                <w:sz w:val="22"/>
                <w:vertAlign w:val="superscript"/>
              </w:rPr>
              <w:t>3</w:t>
            </w:r>
            <w:r w:rsidRPr="00E011C5">
              <w:rPr>
                <w:sz w:val="22"/>
              </w:rPr>
              <w:t>La polizia cantonale informa la vittima e la persona allontanata sui centri di consulenza e sostegno e sulle offerte di terapia. La vittima viene informata anche sulla possibilità di rivolgersi entro il termine della misura dell’allontanamento, al giudice, affinché la stessa possa essere prolungata e possano essere pronunciate altre misure.</w:t>
            </w:r>
          </w:p>
          <w:p w:rsidR="0050059F" w:rsidRPr="00E011C5" w:rsidRDefault="0050059F" w:rsidP="00E66F1D">
            <w:pPr>
              <w:tabs>
                <w:tab w:val="left" w:pos="214"/>
              </w:tabs>
              <w:rPr>
                <w:sz w:val="22"/>
              </w:rPr>
            </w:pPr>
          </w:p>
          <w:p w:rsidR="0050059F" w:rsidRPr="00E011C5" w:rsidRDefault="0050059F" w:rsidP="00E66F1D">
            <w:pPr>
              <w:tabs>
                <w:tab w:val="left" w:pos="214"/>
              </w:tabs>
              <w:rPr>
                <w:sz w:val="22"/>
              </w:rPr>
            </w:pPr>
            <w:r w:rsidRPr="00E011C5">
              <w:rPr>
                <w:sz w:val="22"/>
                <w:vertAlign w:val="superscript"/>
              </w:rPr>
              <w:t>4</w:t>
            </w:r>
            <w:r w:rsidRPr="00E011C5">
              <w:rPr>
                <w:sz w:val="22"/>
              </w:rPr>
              <w:t xml:space="preserve">L’ufficiale di polizia comunica per iscritto entro 24 ore alla persona allontanata la decisione indicante i motivi dell’allontanamento, i luoghi del divieto e le conseguenze dell’inosservanza delle decisioni dell’autorità. Copia della decisione viene trasmessa immediatamente alle altre persone coinvolte e all’Ufficio dell’assistenza riabilitativa. </w:t>
            </w:r>
          </w:p>
          <w:p w:rsidR="0050059F" w:rsidRPr="00E011C5" w:rsidRDefault="0050059F" w:rsidP="00E66F1D">
            <w:pPr>
              <w:tabs>
                <w:tab w:val="left" w:pos="214"/>
              </w:tabs>
              <w:rPr>
                <w:sz w:val="22"/>
              </w:rPr>
            </w:pPr>
          </w:p>
          <w:p w:rsidR="0050059F" w:rsidRPr="00E011C5" w:rsidRDefault="0050059F" w:rsidP="00E66F1D">
            <w:pPr>
              <w:tabs>
                <w:tab w:val="left" w:pos="214"/>
              </w:tabs>
              <w:rPr>
                <w:sz w:val="22"/>
              </w:rPr>
            </w:pPr>
            <w:r w:rsidRPr="00E011C5">
              <w:rPr>
                <w:sz w:val="22"/>
                <w:vertAlign w:val="superscript"/>
              </w:rPr>
              <w:t>5</w:t>
            </w:r>
            <w:r w:rsidRPr="00E011C5">
              <w:rPr>
                <w:sz w:val="22"/>
              </w:rPr>
              <w:t>La decisione di allontanamento e divieto di rientro può essere contestata, entro 3 giorni dalla notifica, davanti al pretore, il quale la esamina sulla base degli atti e può ordinare un dibattimento orale. Egli decide entro 3 giorni. Sono applicabili per analogia gli articoli 261 e seguenti del codice di procedura civile del 19 dicembre 2008. Gli atti vengono notificati alla persona allontanata per il tramite della polizia.</w:t>
            </w:r>
          </w:p>
          <w:p w:rsidR="0050059F" w:rsidRDefault="0050059F" w:rsidP="00E66F1D">
            <w:pPr>
              <w:tabs>
                <w:tab w:val="left" w:pos="214"/>
              </w:tabs>
              <w:rPr>
                <w:sz w:val="22"/>
              </w:rPr>
            </w:pPr>
          </w:p>
          <w:p w:rsidR="0095164D" w:rsidRPr="00E011C5" w:rsidRDefault="0095164D" w:rsidP="00E66F1D">
            <w:pPr>
              <w:tabs>
                <w:tab w:val="left" w:pos="214"/>
              </w:tabs>
              <w:rPr>
                <w:sz w:val="22"/>
              </w:rPr>
            </w:pPr>
          </w:p>
          <w:p w:rsidR="0050059F" w:rsidRPr="00E011C5" w:rsidRDefault="0050059F" w:rsidP="00E66F1D">
            <w:pPr>
              <w:tabs>
                <w:tab w:val="left" w:pos="214"/>
              </w:tabs>
              <w:rPr>
                <w:sz w:val="22"/>
              </w:rPr>
            </w:pPr>
            <w:r w:rsidRPr="00E011C5">
              <w:rPr>
                <w:sz w:val="22"/>
                <w:vertAlign w:val="superscript"/>
              </w:rPr>
              <w:lastRenderedPageBreak/>
              <w:t>6</w:t>
            </w:r>
            <w:r w:rsidRPr="00E011C5">
              <w:rPr>
                <w:sz w:val="22"/>
              </w:rPr>
              <w:t>L’Ufficio dell’assistenza riabilitativa</w:t>
            </w:r>
            <w:r w:rsidRPr="00E011C5" w:rsidDel="002A3694">
              <w:rPr>
                <w:sz w:val="22"/>
              </w:rPr>
              <w:t xml:space="preserve"> </w:t>
            </w:r>
            <w:r w:rsidRPr="00E011C5">
              <w:rPr>
                <w:sz w:val="22"/>
              </w:rPr>
              <w:t>prende immediatamente contatto con la persona allontanata; se quest'ultima non desidera consulenza la documentazione ricevuta viene distrutta.</w:t>
            </w:r>
          </w:p>
          <w:p w:rsidR="0050059F" w:rsidRPr="00E011C5" w:rsidRDefault="0050059F" w:rsidP="00E66F1D">
            <w:pPr>
              <w:tabs>
                <w:tab w:val="left" w:pos="214"/>
              </w:tabs>
              <w:rPr>
                <w:sz w:val="22"/>
              </w:rPr>
            </w:pPr>
          </w:p>
          <w:p w:rsidR="0050059F" w:rsidRDefault="0050059F" w:rsidP="00E66F1D">
            <w:pPr>
              <w:tabs>
                <w:tab w:val="left" w:pos="214"/>
              </w:tabs>
              <w:rPr>
                <w:sz w:val="22"/>
              </w:rPr>
            </w:pPr>
            <w:r w:rsidRPr="003C69D0">
              <w:rPr>
                <w:sz w:val="22"/>
                <w:vertAlign w:val="superscript"/>
              </w:rPr>
              <w:t>7</w:t>
            </w:r>
            <w:r w:rsidRPr="003C69D0">
              <w:rPr>
                <w:sz w:val="22"/>
              </w:rPr>
              <w:t xml:space="preserve">La polizia comunale è tenuta a trasmettere </w:t>
            </w:r>
            <w:proofErr w:type="spellStart"/>
            <w:r w:rsidRPr="003C69D0">
              <w:rPr>
                <w:sz w:val="22"/>
              </w:rPr>
              <w:t>indilatamente</w:t>
            </w:r>
            <w:proofErr w:type="spellEnd"/>
            <w:r w:rsidRPr="003C69D0">
              <w:rPr>
                <w:sz w:val="22"/>
              </w:rPr>
              <w:t xml:space="preserve"> alla polizia cantonale copia della documentazione concernente i suoi interventi in ambito di conflitti domestici.</w:t>
            </w:r>
          </w:p>
          <w:p w:rsidR="0050059F" w:rsidRDefault="0050059F" w:rsidP="00E66F1D">
            <w:pPr>
              <w:tabs>
                <w:tab w:val="left" w:pos="214"/>
              </w:tabs>
              <w:rPr>
                <w:sz w:val="22"/>
              </w:rPr>
            </w:pPr>
          </w:p>
          <w:p w:rsidR="0050059F" w:rsidRPr="008C640C" w:rsidRDefault="0050059F" w:rsidP="00E66F1D">
            <w:pPr>
              <w:tabs>
                <w:tab w:val="left" w:pos="214"/>
              </w:tabs>
              <w:rPr>
                <w:sz w:val="22"/>
              </w:rPr>
            </w:pPr>
            <w:r>
              <w:rPr>
                <w:sz w:val="22"/>
                <w:vertAlign w:val="superscript"/>
              </w:rPr>
              <w:t>8</w:t>
            </w:r>
            <w:r w:rsidRPr="008C640C">
              <w:rPr>
                <w:rFonts w:cs="Arial"/>
                <w:color w:val="000000" w:themeColor="text1"/>
                <w:sz w:val="22"/>
              </w:rPr>
              <w:t>Sono riservati i disposti previsti dal Codice di procedura penale.</w:t>
            </w:r>
          </w:p>
          <w:p w:rsidR="0050059F" w:rsidRPr="003C69D0" w:rsidRDefault="0050059F" w:rsidP="00E66F1D">
            <w:pPr>
              <w:tabs>
                <w:tab w:val="left" w:pos="214"/>
              </w:tabs>
              <w:rPr>
                <w:sz w:val="22"/>
              </w:rPr>
            </w:pPr>
          </w:p>
        </w:tc>
      </w:tr>
    </w:tbl>
    <w:p w:rsidR="0050059F" w:rsidRPr="00A95178" w:rsidRDefault="0050059F" w:rsidP="0050059F">
      <w:pPr>
        <w:rPr>
          <w:sz w:val="20"/>
          <w:szCs w:val="20"/>
        </w:rPr>
      </w:pPr>
    </w:p>
    <w:p w:rsidR="0050059F" w:rsidRPr="00A95178" w:rsidRDefault="0050059F" w:rsidP="0050059F">
      <w:pPr>
        <w:rPr>
          <w:sz w:val="20"/>
          <w:szCs w:val="20"/>
        </w:rPr>
      </w:pPr>
    </w:p>
    <w:p w:rsidR="0050059F" w:rsidRPr="00337F52" w:rsidRDefault="0050059F" w:rsidP="0050059F">
      <w:pPr>
        <w:spacing w:after="120"/>
      </w:pPr>
      <w:r w:rsidRPr="00337F52">
        <w:rPr>
          <w:b/>
        </w:rPr>
        <w:t>II</w:t>
      </w:r>
      <w:r>
        <w:rPr>
          <w:b/>
        </w:rPr>
        <w:t>.</w:t>
      </w:r>
    </w:p>
    <w:p w:rsidR="0050059F" w:rsidRPr="00337F52" w:rsidRDefault="0050059F" w:rsidP="0050059F">
      <w:r w:rsidRPr="00337F52">
        <w:t>Trascorsi i termini per l’esercizio del diritto di referendum, la presente modifica di legge è pubblicata nel Bollettino ufficiale delle leggi ed entra immediatamente in vigore.</w:t>
      </w:r>
    </w:p>
    <w:p w:rsidR="0050059F" w:rsidRPr="00337F52" w:rsidRDefault="0050059F" w:rsidP="0050059F"/>
    <w:sectPr w:rsidR="0050059F" w:rsidRPr="00337F52"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54B" w:rsidRDefault="002A354B" w:rsidP="008E77C6">
      <w:r>
        <w:separator/>
      </w:r>
    </w:p>
  </w:endnote>
  <w:endnote w:type="continuationSeparator" w:id="0">
    <w:p w:rsidR="002A354B" w:rsidRDefault="002A354B"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Grassetto">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40857" w:rsidRPr="00E40857">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54B" w:rsidRDefault="002A354B" w:rsidP="008E77C6">
      <w:r>
        <w:separator/>
      </w:r>
    </w:p>
  </w:footnote>
  <w:footnote w:type="continuationSeparator" w:id="0">
    <w:p w:rsidR="002A354B" w:rsidRDefault="002A354B" w:rsidP="008E77C6">
      <w:r>
        <w:continuationSeparator/>
      </w:r>
    </w:p>
  </w:footnote>
  <w:footnote w:id="1">
    <w:p w:rsidR="0050059F" w:rsidRPr="0050059F" w:rsidRDefault="0050059F" w:rsidP="0050059F">
      <w:pPr>
        <w:pStyle w:val="Testonotaapidipagina"/>
        <w:ind w:left="284" w:hanging="284"/>
        <w:jc w:val="both"/>
        <w:rPr>
          <w:sz w:val="16"/>
          <w:szCs w:val="16"/>
        </w:rPr>
      </w:pPr>
      <w:r w:rsidRPr="0050059F">
        <w:rPr>
          <w:rStyle w:val="Rimandonotaapidipagina"/>
          <w:sz w:val="16"/>
          <w:szCs w:val="16"/>
        </w:rPr>
        <w:footnoteRef/>
      </w:r>
      <w:r w:rsidRPr="0050059F">
        <w:rPr>
          <w:sz w:val="16"/>
          <w:szCs w:val="16"/>
        </w:rPr>
        <w:t xml:space="preserve"> </w:t>
      </w:r>
      <w:r w:rsidRPr="0050059F">
        <w:rPr>
          <w:sz w:val="16"/>
          <w:szCs w:val="16"/>
        </w:rPr>
        <w:tab/>
        <w:t xml:space="preserve">Il Gruppo è così composto: Marilena Fontaine (presidente), Giorgio Carrara (polizia cantonale), Luisella </w:t>
      </w:r>
      <w:proofErr w:type="spellStart"/>
      <w:r w:rsidRPr="0050059F">
        <w:rPr>
          <w:sz w:val="16"/>
          <w:szCs w:val="16"/>
        </w:rPr>
        <w:t>Demartini</w:t>
      </w:r>
      <w:proofErr w:type="spellEnd"/>
      <w:r w:rsidRPr="0050059F">
        <w:rPr>
          <w:sz w:val="16"/>
          <w:szCs w:val="16"/>
        </w:rPr>
        <w:t xml:space="preserve"> (Ufficio dell'assistenza riabilitativa), Stefano </w:t>
      </w:r>
      <w:proofErr w:type="spellStart"/>
      <w:r w:rsidRPr="0050059F">
        <w:rPr>
          <w:sz w:val="16"/>
          <w:szCs w:val="16"/>
        </w:rPr>
        <w:t>Devrel</w:t>
      </w:r>
      <w:proofErr w:type="spellEnd"/>
      <w:r w:rsidRPr="0050059F">
        <w:rPr>
          <w:sz w:val="16"/>
          <w:szCs w:val="16"/>
        </w:rPr>
        <w:t xml:space="preserve"> (Ufficio della migrazione), Cristiana Finzi (Delegata per l'aiuto alle vittime di reati), Alessia Paglia (già membro della </w:t>
      </w:r>
      <w:r w:rsidRPr="0050059F">
        <w:rPr>
          <w:rStyle w:val="st"/>
          <w:sz w:val="16"/>
          <w:szCs w:val="16"/>
        </w:rPr>
        <w:t>Camera di protezione del Tribunale di appello</w:t>
      </w:r>
      <w:r w:rsidRPr="0050059F">
        <w:rPr>
          <w:sz w:val="16"/>
          <w:szCs w:val="16"/>
        </w:rPr>
        <w:t xml:space="preserve">), Cornelia Soldati (operatrice sociale), Pierluigi </w:t>
      </w:r>
      <w:proofErr w:type="spellStart"/>
      <w:r w:rsidRPr="0050059F">
        <w:rPr>
          <w:sz w:val="16"/>
          <w:szCs w:val="16"/>
        </w:rPr>
        <w:t>Vaerini</w:t>
      </w:r>
      <w:proofErr w:type="spellEnd"/>
      <w:r w:rsidRPr="0050059F">
        <w:rPr>
          <w:sz w:val="16"/>
          <w:szCs w:val="16"/>
        </w:rPr>
        <w:t xml:space="preserve"> (polizia cantonale).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495C0D12"/>
    <w:multiLevelType w:val="hybridMultilevel"/>
    <w:tmpl w:val="E25A1DAE"/>
    <w:lvl w:ilvl="0" w:tplc="02C6E282">
      <w:start w:val="1"/>
      <w:numFmt w:val="decimal"/>
      <w:lvlText w:val="%1."/>
      <w:lvlJc w:val="left"/>
      <w:pPr>
        <w:ind w:left="-207" w:hanging="360"/>
      </w:pPr>
      <w:rPr>
        <w:rFonts w:hint="default"/>
        <w:b/>
        <w:color w:val="000000" w:themeColor="text1"/>
      </w:rPr>
    </w:lvl>
    <w:lvl w:ilvl="1" w:tplc="08100019" w:tentative="1">
      <w:start w:val="1"/>
      <w:numFmt w:val="lowerLetter"/>
      <w:lvlText w:val="%2."/>
      <w:lvlJc w:val="left"/>
      <w:pPr>
        <w:ind w:left="513" w:hanging="360"/>
      </w:pPr>
    </w:lvl>
    <w:lvl w:ilvl="2" w:tplc="0810001B" w:tentative="1">
      <w:start w:val="1"/>
      <w:numFmt w:val="lowerRoman"/>
      <w:lvlText w:val="%3."/>
      <w:lvlJc w:val="right"/>
      <w:pPr>
        <w:ind w:left="1233" w:hanging="180"/>
      </w:pPr>
    </w:lvl>
    <w:lvl w:ilvl="3" w:tplc="0810000F" w:tentative="1">
      <w:start w:val="1"/>
      <w:numFmt w:val="decimal"/>
      <w:lvlText w:val="%4."/>
      <w:lvlJc w:val="left"/>
      <w:pPr>
        <w:ind w:left="1953" w:hanging="360"/>
      </w:pPr>
    </w:lvl>
    <w:lvl w:ilvl="4" w:tplc="08100019" w:tentative="1">
      <w:start w:val="1"/>
      <w:numFmt w:val="lowerLetter"/>
      <w:lvlText w:val="%5."/>
      <w:lvlJc w:val="left"/>
      <w:pPr>
        <w:ind w:left="2673" w:hanging="360"/>
      </w:pPr>
    </w:lvl>
    <w:lvl w:ilvl="5" w:tplc="0810001B" w:tentative="1">
      <w:start w:val="1"/>
      <w:numFmt w:val="lowerRoman"/>
      <w:lvlText w:val="%6."/>
      <w:lvlJc w:val="right"/>
      <w:pPr>
        <w:ind w:left="3393" w:hanging="180"/>
      </w:pPr>
    </w:lvl>
    <w:lvl w:ilvl="6" w:tplc="0810000F" w:tentative="1">
      <w:start w:val="1"/>
      <w:numFmt w:val="decimal"/>
      <w:lvlText w:val="%7."/>
      <w:lvlJc w:val="left"/>
      <w:pPr>
        <w:ind w:left="4113" w:hanging="360"/>
      </w:pPr>
    </w:lvl>
    <w:lvl w:ilvl="7" w:tplc="08100019" w:tentative="1">
      <w:start w:val="1"/>
      <w:numFmt w:val="lowerLetter"/>
      <w:lvlText w:val="%8."/>
      <w:lvlJc w:val="left"/>
      <w:pPr>
        <w:ind w:left="4833" w:hanging="360"/>
      </w:pPr>
    </w:lvl>
    <w:lvl w:ilvl="8" w:tplc="0810001B" w:tentative="1">
      <w:start w:val="1"/>
      <w:numFmt w:val="lowerRoman"/>
      <w:lvlText w:val="%9."/>
      <w:lvlJc w:val="right"/>
      <w:pPr>
        <w:ind w:left="5553" w:hanging="180"/>
      </w:p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79F4569D"/>
    <w:multiLevelType w:val="hybridMultilevel"/>
    <w:tmpl w:val="3F76E50E"/>
    <w:lvl w:ilvl="0" w:tplc="2EEA0CA4">
      <w:start w:val="1"/>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50F2E"/>
    <w:rsid w:val="002A354B"/>
    <w:rsid w:val="002E5E40"/>
    <w:rsid w:val="00492051"/>
    <w:rsid w:val="0050059F"/>
    <w:rsid w:val="0052425A"/>
    <w:rsid w:val="00586A8D"/>
    <w:rsid w:val="006D7A3B"/>
    <w:rsid w:val="007B5462"/>
    <w:rsid w:val="008034BD"/>
    <w:rsid w:val="00876352"/>
    <w:rsid w:val="008B4137"/>
    <w:rsid w:val="008C767A"/>
    <w:rsid w:val="008E77C6"/>
    <w:rsid w:val="0095164D"/>
    <w:rsid w:val="009770BB"/>
    <w:rsid w:val="009E008D"/>
    <w:rsid w:val="00A5465F"/>
    <w:rsid w:val="00A77678"/>
    <w:rsid w:val="00A95178"/>
    <w:rsid w:val="00BC4C95"/>
    <w:rsid w:val="00BD5944"/>
    <w:rsid w:val="00CF6858"/>
    <w:rsid w:val="00D377B5"/>
    <w:rsid w:val="00D93B31"/>
    <w:rsid w:val="00E40857"/>
    <w:rsid w:val="00EA0FD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50059F"/>
    <w:pPr>
      <w:jc w:val="left"/>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50059F"/>
    <w:pPr>
      <w:jc w:val="left"/>
    </w:pPr>
    <w:rPr>
      <w:rFonts w:eastAsiaTheme="minorEastAsia"/>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50059F"/>
    <w:rPr>
      <w:rFonts w:ascii="Arial" w:eastAsiaTheme="minorEastAsia" w:hAnsi="Arial"/>
      <w:sz w:val="20"/>
      <w:szCs w:val="20"/>
      <w:lang w:eastAsia="it-IT"/>
    </w:rPr>
  </w:style>
  <w:style w:type="character" w:styleId="Rimandonotaapidipagina">
    <w:name w:val="footnote reference"/>
    <w:basedOn w:val="Carpredefinitoparagrafo"/>
    <w:uiPriority w:val="99"/>
    <w:semiHidden/>
    <w:unhideWhenUsed/>
    <w:rsid w:val="0050059F"/>
    <w:rPr>
      <w:vertAlign w:val="superscript"/>
    </w:rPr>
  </w:style>
  <w:style w:type="character" w:customStyle="1" w:styleId="st">
    <w:name w:val="st"/>
    <w:basedOn w:val="Carpredefinitoparagrafo"/>
    <w:rsid w:val="0050059F"/>
  </w:style>
  <w:style w:type="paragraph" w:styleId="Corpotesto">
    <w:name w:val="Body Text"/>
    <w:basedOn w:val="Normale"/>
    <w:link w:val="CorpotestoCarattere"/>
    <w:rsid w:val="0050059F"/>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50059F"/>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250F2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0F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50059F"/>
    <w:pPr>
      <w:jc w:val="left"/>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50059F"/>
    <w:pPr>
      <w:jc w:val="left"/>
    </w:pPr>
    <w:rPr>
      <w:rFonts w:eastAsiaTheme="minorEastAsia"/>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50059F"/>
    <w:rPr>
      <w:rFonts w:ascii="Arial" w:eastAsiaTheme="minorEastAsia" w:hAnsi="Arial"/>
      <w:sz w:val="20"/>
      <w:szCs w:val="20"/>
      <w:lang w:eastAsia="it-IT"/>
    </w:rPr>
  </w:style>
  <w:style w:type="character" w:styleId="Rimandonotaapidipagina">
    <w:name w:val="footnote reference"/>
    <w:basedOn w:val="Carpredefinitoparagrafo"/>
    <w:uiPriority w:val="99"/>
    <w:semiHidden/>
    <w:unhideWhenUsed/>
    <w:rsid w:val="0050059F"/>
    <w:rPr>
      <w:vertAlign w:val="superscript"/>
    </w:rPr>
  </w:style>
  <w:style w:type="character" w:customStyle="1" w:styleId="st">
    <w:name w:val="st"/>
    <w:basedOn w:val="Carpredefinitoparagrafo"/>
    <w:rsid w:val="0050059F"/>
  </w:style>
  <w:style w:type="paragraph" w:styleId="Corpotesto">
    <w:name w:val="Body Text"/>
    <w:basedOn w:val="Normale"/>
    <w:link w:val="CorpotestoCarattere"/>
    <w:rsid w:val="0050059F"/>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50059F"/>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250F2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0F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24BBB-8E9E-452D-B880-FBDA77817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11</Pages>
  <Words>4887</Words>
  <Characters>27861</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2017-08-31T15:55:00Z</cp:lastPrinted>
  <dcterms:created xsi:type="dcterms:W3CDTF">2017-08-31T14:43:00Z</dcterms:created>
  <dcterms:modified xsi:type="dcterms:W3CDTF">2017-09-06T08:34:00Z</dcterms:modified>
</cp:coreProperties>
</file>