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C6286" w:rsidP="00076E70">
      <w:r w:rsidRPr="00DF44E7">
        <w:rPr>
          <w:rFonts w:ascii="Gill Sans MT" w:hAnsi="Gill Sans MT"/>
          <w:b/>
          <w:sz w:val="52"/>
          <w:szCs w:val="52"/>
        </w:rPr>
        <w:t>Rapporto</w:t>
      </w:r>
      <w:bookmarkStart w:id="0" w:name="_GoBack"/>
      <w:bookmarkEnd w:id="0"/>
    </w:p>
    <w:p w:rsidR="00610FF2" w:rsidRDefault="00610FF2" w:rsidP="00076E70"/>
    <w:p w:rsidR="008B4137" w:rsidRDefault="008B4137">
      <w:pPr>
        <w:rPr>
          <w:rFonts w:cs="Arial"/>
          <w:szCs w:val="24"/>
        </w:rPr>
      </w:pPr>
    </w:p>
    <w:p w:rsidR="00076E70" w:rsidRDefault="00076E70">
      <w:pPr>
        <w:rPr>
          <w:rFonts w:cs="Arial"/>
          <w:szCs w:val="24"/>
        </w:rPr>
      </w:pPr>
    </w:p>
    <w:p w:rsidR="008B4137" w:rsidRDefault="00380CC1" w:rsidP="006D7A3B">
      <w:pPr>
        <w:tabs>
          <w:tab w:val="left" w:pos="2098"/>
          <w:tab w:val="left" w:pos="4933"/>
        </w:tabs>
        <w:rPr>
          <w:rFonts w:cs="Arial"/>
          <w:szCs w:val="24"/>
        </w:rPr>
      </w:pPr>
      <w:r>
        <w:rPr>
          <w:rFonts w:cs="Arial"/>
          <w:b/>
          <w:sz w:val="32"/>
          <w:szCs w:val="32"/>
        </w:rPr>
        <w:t>7337</w:t>
      </w:r>
      <w:r w:rsidR="008B4137" w:rsidRPr="008B4137">
        <w:rPr>
          <w:rFonts w:cs="Arial"/>
          <w:b/>
          <w:sz w:val="32"/>
          <w:szCs w:val="32"/>
        </w:rPr>
        <w:t xml:space="preserve"> R</w:t>
      </w:r>
      <w:r w:rsidR="008B4137" w:rsidRPr="008B4137">
        <w:rPr>
          <w:rFonts w:cs="Arial"/>
          <w:sz w:val="28"/>
          <w:szCs w:val="28"/>
        </w:rPr>
        <w:tab/>
      </w:r>
      <w:r w:rsidR="002A5A52">
        <w:rPr>
          <w:rFonts w:cs="Arial"/>
          <w:sz w:val="28"/>
          <w:szCs w:val="28"/>
        </w:rPr>
        <w:t>28 novembre 2017</w:t>
      </w:r>
      <w:r w:rsidR="008B4137" w:rsidRPr="008B4137">
        <w:rPr>
          <w:rFonts w:cs="Arial"/>
          <w:sz w:val="28"/>
          <w:szCs w:val="28"/>
        </w:rPr>
        <w:tab/>
      </w:r>
      <w:r w:rsidR="002A5A52">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2A5A52">
        <w:rPr>
          <w:rFonts w:cs="Arial"/>
          <w:b/>
          <w:sz w:val="28"/>
          <w:szCs w:val="28"/>
        </w:rPr>
        <w:t xml:space="preserve"> 27 giugno 2017 concernente la r</w:t>
      </w:r>
      <w:r w:rsidR="002A5A52" w:rsidRPr="00F316EB">
        <w:rPr>
          <w:rFonts w:cs="Arial"/>
          <w:b/>
          <w:sz w:val="28"/>
          <w:szCs w:val="28"/>
        </w:rPr>
        <w:t xml:space="preserve">ichiesta </w:t>
      </w:r>
      <w:r w:rsidR="002A5A52" w:rsidRPr="00F316EB">
        <w:rPr>
          <w:rFonts w:cs="Arial"/>
          <w:b/>
          <w:sz w:val="28"/>
        </w:rPr>
        <w:t>di un credito complessivo di 5'400'000 franchi</w:t>
      </w:r>
      <w:r w:rsidR="002A5A52" w:rsidRPr="00F316EB" w:rsidDel="00B944B8">
        <w:rPr>
          <w:rFonts w:cs="Arial"/>
          <w:b/>
          <w:sz w:val="28"/>
        </w:rPr>
        <w:t xml:space="preserve"> </w:t>
      </w:r>
      <w:r w:rsidR="002A5A52" w:rsidRPr="00F316EB">
        <w:rPr>
          <w:rFonts w:cs="Arial"/>
          <w:b/>
          <w:sz w:val="28"/>
        </w:rPr>
        <w:t xml:space="preserve">quale contributo forfettario alla gestione ordinaria - vincolato alla corretta manutenzione degli impianti di risalita ai sensi dell’Ordinanza federale sugli impianti a fune - di Airolo, Bosco </w:t>
      </w:r>
      <w:proofErr w:type="spellStart"/>
      <w:r w:rsidR="002A5A52" w:rsidRPr="00F316EB">
        <w:rPr>
          <w:rFonts w:cs="Arial"/>
          <w:b/>
          <w:sz w:val="28"/>
        </w:rPr>
        <w:t>Gurin</w:t>
      </w:r>
      <w:proofErr w:type="spellEnd"/>
      <w:r w:rsidR="002A5A52" w:rsidRPr="00F316EB">
        <w:rPr>
          <w:rFonts w:cs="Arial"/>
          <w:b/>
          <w:sz w:val="28"/>
        </w:rPr>
        <w:t xml:space="preserve">, Campo Blenio, </w:t>
      </w:r>
      <w:proofErr w:type="spellStart"/>
      <w:r w:rsidR="002A5A52" w:rsidRPr="00F316EB">
        <w:rPr>
          <w:rFonts w:cs="Arial"/>
          <w:b/>
          <w:sz w:val="28"/>
        </w:rPr>
        <w:t>Carì</w:t>
      </w:r>
      <w:proofErr w:type="spellEnd"/>
      <w:r w:rsidR="002A5A52" w:rsidRPr="00F316EB">
        <w:rPr>
          <w:rFonts w:cs="Arial"/>
          <w:b/>
          <w:sz w:val="28"/>
        </w:rPr>
        <w:t xml:space="preserve"> e Nara per le stagioni invernali dal 2017/18 al 2020/21</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380CC1" w:rsidRPr="00F316EB" w:rsidRDefault="002A5A52" w:rsidP="002A5A52">
      <w:pPr>
        <w:spacing w:after="120"/>
        <w:rPr>
          <w:rFonts w:cs="Arial"/>
          <w:b/>
        </w:rPr>
      </w:pPr>
      <w:r w:rsidRPr="00F316EB">
        <w:rPr>
          <w:rFonts w:cs="Arial"/>
          <w:b/>
        </w:rPr>
        <w:t>PREMESSA</w:t>
      </w:r>
    </w:p>
    <w:p w:rsidR="00380CC1" w:rsidRPr="00F316EB" w:rsidRDefault="00380CC1" w:rsidP="00380CC1">
      <w:pPr>
        <w:rPr>
          <w:rFonts w:cs="Arial"/>
        </w:rPr>
      </w:pPr>
      <w:r w:rsidRPr="00F316EB">
        <w:rPr>
          <w:rFonts w:cs="Arial"/>
        </w:rPr>
        <w:t xml:space="preserve">Il presente messaggio propone un credito complessivo di </w:t>
      </w:r>
      <w:proofErr w:type="spellStart"/>
      <w:r w:rsidRPr="00F316EB">
        <w:rPr>
          <w:rFonts w:cs="Arial"/>
        </w:rPr>
        <w:t>fr</w:t>
      </w:r>
      <w:proofErr w:type="spellEnd"/>
      <w:r w:rsidRPr="00F316EB">
        <w:rPr>
          <w:rFonts w:cs="Arial"/>
        </w:rPr>
        <w:t xml:space="preserve">. 5'400'000.- quale contributo forfettario alla manutenzione per le stagioni invernali dal 2017/18 al 2020/21 degli impianti di risalita di Airolo, Bosco </w:t>
      </w:r>
      <w:proofErr w:type="spellStart"/>
      <w:r w:rsidRPr="00F316EB">
        <w:rPr>
          <w:rFonts w:cs="Arial"/>
        </w:rPr>
        <w:t>Gurin</w:t>
      </w:r>
      <w:proofErr w:type="spellEnd"/>
      <w:r w:rsidRPr="00F316EB">
        <w:rPr>
          <w:rFonts w:cs="Arial"/>
        </w:rPr>
        <w:t xml:space="preserve">, Campo Blenio, </w:t>
      </w:r>
      <w:proofErr w:type="spellStart"/>
      <w:r w:rsidRPr="00F316EB">
        <w:rPr>
          <w:rFonts w:cs="Arial"/>
        </w:rPr>
        <w:t>Carì</w:t>
      </w:r>
      <w:proofErr w:type="spellEnd"/>
      <w:r w:rsidRPr="00F316EB">
        <w:rPr>
          <w:rFonts w:cs="Arial"/>
        </w:rPr>
        <w:t xml:space="preserve"> e Nara. </w:t>
      </w:r>
    </w:p>
    <w:p w:rsidR="00380CC1" w:rsidRPr="00F316EB" w:rsidRDefault="00380CC1" w:rsidP="00380CC1">
      <w:pPr>
        <w:rPr>
          <w:rFonts w:cs="Arial"/>
        </w:rPr>
      </w:pPr>
    </w:p>
    <w:p w:rsidR="00380CC1" w:rsidRPr="00F316EB" w:rsidRDefault="00380CC1" w:rsidP="00380CC1">
      <w:pPr>
        <w:rPr>
          <w:rFonts w:cs="Arial"/>
        </w:rPr>
      </w:pPr>
    </w:p>
    <w:p w:rsidR="00380CC1" w:rsidRPr="004D4435" w:rsidRDefault="00380CC1" w:rsidP="002A5A52">
      <w:pPr>
        <w:pStyle w:val="Titolo1"/>
      </w:pPr>
      <w:r w:rsidRPr="004D4435">
        <w:t>Breve cronistoria</w:t>
      </w:r>
    </w:p>
    <w:p w:rsidR="00380CC1" w:rsidRPr="004D4435" w:rsidRDefault="00380CC1" w:rsidP="00380CC1">
      <w:pPr>
        <w:rPr>
          <w:rFonts w:cs="Arial"/>
        </w:rPr>
      </w:pPr>
      <w:r w:rsidRPr="004D4435">
        <w:rPr>
          <w:rFonts w:cs="Arial"/>
        </w:rPr>
        <w:t xml:space="preserve">Negli scorsi anni, il Gran Consiglio ha già avuto modo di votare un credito di 3.37 milioni di franchi, quale contributo a fondo perso a parziale copertura dei costi di gestione ordinaria degli impianti di risalita della stazione turistica di Airolo, per le stagioni invernali dal 2012/13 al 2016/17, con decreto legislativo del 23 settembre 2013. </w:t>
      </w:r>
    </w:p>
    <w:p w:rsidR="00380CC1" w:rsidRPr="004D4435" w:rsidRDefault="00380CC1" w:rsidP="00380CC1">
      <w:pPr>
        <w:rPr>
          <w:rFonts w:cs="Arial"/>
        </w:rPr>
      </w:pPr>
    </w:p>
    <w:p w:rsidR="00380CC1" w:rsidRPr="004D4435" w:rsidRDefault="00380CC1" w:rsidP="00380CC1">
      <w:pPr>
        <w:rPr>
          <w:rFonts w:cs="Arial"/>
        </w:rPr>
      </w:pPr>
      <w:r w:rsidRPr="004D4435">
        <w:rPr>
          <w:rFonts w:cs="Arial"/>
        </w:rPr>
        <w:t xml:space="preserve">Il Gran Consiglio ha pure già votato anche un credito complessivo di 1'617'000.- franchi quale contributo a fondo perso a parziale copertura dei costi di manutenzione ordinaria degli impianti di risalita delle stazioni turistiche di Bosco </w:t>
      </w:r>
      <w:proofErr w:type="spellStart"/>
      <w:r w:rsidRPr="004D4435">
        <w:rPr>
          <w:rFonts w:cs="Arial"/>
        </w:rPr>
        <w:t>Gurin</w:t>
      </w:r>
      <w:proofErr w:type="spellEnd"/>
      <w:r w:rsidRPr="004D4435">
        <w:rPr>
          <w:rFonts w:cs="Arial"/>
        </w:rPr>
        <w:t xml:space="preserve">, </w:t>
      </w:r>
      <w:proofErr w:type="spellStart"/>
      <w:r w:rsidRPr="004D4435">
        <w:rPr>
          <w:rFonts w:cs="Arial"/>
        </w:rPr>
        <w:t>Carì</w:t>
      </w:r>
      <w:proofErr w:type="spellEnd"/>
      <w:r w:rsidRPr="004D4435">
        <w:rPr>
          <w:rFonts w:cs="Arial"/>
        </w:rPr>
        <w:t>, Nara e Campo Blenio, per le stagioni invernali dal 2014/15 al 2016/17, con decreto legislativo del 9 maggio 2014.</w:t>
      </w:r>
    </w:p>
    <w:p w:rsidR="00380CC1" w:rsidRPr="004D4435" w:rsidRDefault="00380CC1" w:rsidP="00380CC1">
      <w:pPr>
        <w:rPr>
          <w:rFonts w:cs="Arial"/>
        </w:rPr>
      </w:pPr>
    </w:p>
    <w:p w:rsidR="00380CC1" w:rsidRPr="004D4435" w:rsidRDefault="00380CC1" w:rsidP="00380CC1">
      <w:pPr>
        <w:pStyle w:val="NormaleWeb"/>
        <w:spacing w:before="0" w:beforeAutospacing="0" w:after="0" w:afterAutospacing="0" w:line="240" w:lineRule="auto"/>
        <w:rPr>
          <w:rFonts w:ascii="Arial" w:hAnsi="Arial" w:cs="Arial"/>
        </w:rPr>
      </w:pPr>
      <w:r w:rsidRPr="004D4435">
        <w:rPr>
          <w:rFonts w:ascii="Arial" w:hAnsi="Arial" w:cs="Arial"/>
        </w:rPr>
        <w:t xml:space="preserve">In effetti, il Consiglio di Stato dava seguito a quanto votato dal Gran Consiglio nella sua seduta dl 23 settembre 2013 che aveva approvato il rapporto n. 6802 del 10 settembre 2013 della Commissione della gestione e delle finanze, sul messaggio del 15 maggio 2013 concernente la summenzionata richiesta di un credito complessivo di </w:t>
      </w:r>
      <w:proofErr w:type="spellStart"/>
      <w:r w:rsidRPr="004D4435">
        <w:rPr>
          <w:rFonts w:ascii="Arial" w:hAnsi="Arial" w:cs="Arial"/>
        </w:rPr>
        <w:t>Fr</w:t>
      </w:r>
      <w:proofErr w:type="spellEnd"/>
      <w:r w:rsidRPr="004D4435">
        <w:rPr>
          <w:rFonts w:ascii="Arial" w:hAnsi="Arial" w:cs="Arial"/>
        </w:rPr>
        <w:t xml:space="preserve">. 3'37 milioni di franchi, quale contributo a fondo perso a parziale copertura dei costi di manutenzione ordinaria e dei costi di gestione degli impianti di risalita di Airolo per le stagioni invernali dal 2012/13 al 2016/17, il cui decreto veniva però così emendato: </w:t>
      </w:r>
    </w:p>
    <w:p w:rsidR="00380CC1" w:rsidRPr="002A5A52" w:rsidRDefault="00380CC1" w:rsidP="002A5A52">
      <w:pPr>
        <w:pStyle w:val="NormaleWeb"/>
        <w:spacing w:before="140" w:beforeAutospacing="0" w:after="80" w:afterAutospacing="0" w:line="240" w:lineRule="auto"/>
        <w:rPr>
          <w:rFonts w:ascii="Arial" w:hAnsi="Arial" w:cs="Arial"/>
          <w:b/>
          <w:i/>
          <w:sz w:val="22"/>
          <w:szCs w:val="22"/>
        </w:rPr>
      </w:pPr>
      <w:r w:rsidRPr="002A5A52">
        <w:rPr>
          <w:rFonts w:ascii="Arial" w:hAnsi="Arial" w:cs="Arial"/>
          <w:b/>
          <w:i/>
          <w:sz w:val="22"/>
          <w:szCs w:val="22"/>
        </w:rPr>
        <w:t xml:space="preserve">Art. 5 </w:t>
      </w:r>
    </w:p>
    <w:p w:rsidR="00380CC1" w:rsidRPr="002A5A52" w:rsidRDefault="00380CC1" w:rsidP="00380CC1">
      <w:pPr>
        <w:pStyle w:val="NormaleWeb"/>
        <w:spacing w:before="0" w:beforeAutospacing="0" w:after="0" w:afterAutospacing="0" w:line="240" w:lineRule="auto"/>
        <w:rPr>
          <w:rFonts w:ascii="Arial" w:hAnsi="Arial" w:cs="Arial"/>
          <w:i/>
          <w:sz w:val="22"/>
          <w:szCs w:val="22"/>
        </w:rPr>
      </w:pPr>
      <w:r w:rsidRPr="002A5A52">
        <w:rPr>
          <w:rFonts w:ascii="Arial" w:hAnsi="Arial" w:cs="Arial"/>
          <w:i/>
          <w:sz w:val="22"/>
          <w:szCs w:val="22"/>
        </w:rPr>
        <w:t xml:space="preserve">Il Consiglio di Stato presenterà entro il 31 marzo 2014 un messaggio sulla richiesta di credito quale contributo a fondo perso, a parziale copertura dei costi di manutenzione ordinaria causati dalla messa in sicurezza degli impianti di risalita e delle piste delle stazioni di </w:t>
      </w:r>
      <w:proofErr w:type="spellStart"/>
      <w:r w:rsidRPr="002A5A52">
        <w:rPr>
          <w:rFonts w:ascii="Arial" w:hAnsi="Arial" w:cs="Arial"/>
          <w:i/>
          <w:sz w:val="22"/>
          <w:szCs w:val="22"/>
        </w:rPr>
        <w:t>Carì</w:t>
      </w:r>
      <w:proofErr w:type="spellEnd"/>
      <w:r w:rsidRPr="002A5A52">
        <w:rPr>
          <w:rFonts w:ascii="Arial" w:hAnsi="Arial" w:cs="Arial"/>
          <w:i/>
          <w:sz w:val="22"/>
          <w:szCs w:val="22"/>
        </w:rPr>
        <w:t xml:space="preserve">, Bosco </w:t>
      </w:r>
      <w:proofErr w:type="spellStart"/>
      <w:r w:rsidRPr="002A5A52">
        <w:rPr>
          <w:rFonts w:ascii="Arial" w:hAnsi="Arial" w:cs="Arial"/>
          <w:i/>
          <w:sz w:val="22"/>
          <w:szCs w:val="22"/>
        </w:rPr>
        <w:t>Gurin</w:t>
      </w:r>
      <w:proofErr w:type="spellEnd"/>
      <w:r w:rsidRPr="002A5A52">
        <w:rPr>
          <w:rFonts w:ascii="Arial" w:hAnsi="Arial" w:cs="Arial"/>
          <w:i/>
          <w:sz w:val="22"/>
          <w:szCs w:val="22"/>
        </w:rPr>
        <w:t xml:space="preserve">, Campo Blenio e Nara, per le stagioni invernali 2014/2015, 2015/2016 e 2016/2017. </w:t>
      </w:r>
    </w:p>
    <w:p w:rsidR="00380CC1" w:rsidRPr="004D4435" w:rsidRDefault="00380CC1" w:rsidP="00380CC1">
      <w:pPr>
        <w:rPr>
          <w:rFonts w:cs="Arial"/>
        </w:rPr>
      </w:pPr>
    </w:p>
    <w:p w:rsidR="00380CC1" w:rsidRPr="002E162F" w:rsidRDefault="00380CC1" w:rsidP="00380CC1">
      <w:pPr>
        <w:rPr>
          <w:rFonts w:cs="Arial"/>
        </w:rPr>
      </w:pPr>
      <w:r w:rsidRPr="002E162F">
        <w:rPr>
          <w:rFonts w:cs="Arial"/>
        </w:rPr>
        <w:lastRenderedPageBreak/>
        <w:t>Detto emendamento del Gran Consiglio, nel rapporto in oggetto, veniva in effetti così motivato:</w:t>
      </w:r>
    </w:p>
    <w:p w:rsidR="00380CC1" w:rsidRPr="002A5A52" w:rsidRDefault="00380CC1" w:rsidP="002A5A52">
      <w:pPr>
        <w:spacing w:before="120"/>
        <w:rPr>
          <w:rFonts w:cs="Arial"/>
          <w:i/>
          <w:sz w:val="23"/>
          <w:szCs w:val="23"/>
        </w:rPr>
      </w:pPr>
      <w:r w:rsidRPr="002A5A52">
        <w:rPr>
          <w:rFonts w:cs="Arial"/>
          <w:i/>
          <w:sz w:val="23"/>
          <w:szCs w:val="23"/>
        </w:rPr>
        <w:t xml:space="preserve">“Visti i sempre crescenti costi di messa in sicurezza richiesti dalle norme federali (pari al 25-30% dei costi di gestione) </w:t>
      </w:r>
      <w:smartTag w:uri="urn:schemas-microsoft-com:office:smarttags" w:element="PersonName">
        <w:smartTagPr>
          <w:attr w:name="ProductID" w:val="la Commissione"/>
        </w:smartTagPr>
        <w:r w:rsidRPr="002A5A52">
          <w:rPr>
            <w:rFonts w:cs="Arial"/>
            <w:i/>
            <w:sz w:val="23"/>
            <w:szCs w:val="23"/>
          </w:rPr>
          <w:t>la Commissione</w:t>
        </w:r>
      </w:smartTag>
      <w:r w:rsidRPr="002A5A52">
        <w:rPr>
          <w:rFonts w:cs="Arial"/>
          <w:i/>
          <w:sz w:val="23"/>
          <w:szCs w:val="23"/>
        </w:rPr>
        <w:t xml:space="preserve"> della gestione e delle finanze sostiene fin d'ora, nell'ottica di garantire la sicurezza degli utenti anche nelle stazioni turistiche del Nara, Campo Blenio, </w:t>
      </w:r>
      <w:proofErr w:type="spellStart"/>
      <w:r w:rsidRPr="002A5A52">
        <w:rPr>
          <w:rFonts w:cs="Arial"/>
          <w:i/>
          <w:sz w:val="23"/>
          <w:szCs w:val="23"/>
        </w:rPr>
        <w:t>Carì</w:t>
      </w:r>
      <w:proofErr w:type="spellEnd"/>
      <w:r w:rsidRPr="002A5A52">
        <w:rPr>
          <w:rFonts w:cs="Arial"/>
          <w:i/>
          <w:sz w:val="23"/>
          <w:szCs w:val="23"/>
        </w:rPr>
        <w:t xml:space="preserve"> e Bosco </w:t>
      </w:r>
      <w:proofErr w:type="spellStart"/>
      <w:r w:rsidRPr="002A5A52">
        <w:rPr>
          <w:rFonts w:cs="Arial"/>
          <w:i/>
          <w:sz w:val="23"/>
          <w:szCs w:val="23"/>
        </w:rPr>
        <w:t>Gurin</w:t>
      </w:r>
      <w:proofErr w:type="spellEnd"/>
      <w:r w:rsidRPr="002A5A52">
        <w:rPr>
          <w:rFonts w:cs="Arial"/>
          <w:i/>
          <w:sz w:val="23"/>
          <w:szCs w:val="23"/>
        </w:rPr>
        <w:t xml:space="preserve">, il rinnovo, per un primo triennio, del credito a parziale copertura dei costi di manutenzione ordinaria, che scadrà con la stagione 2013/14, pari a </w:t>
      </w:r>
      <w:proofErr w:type="spellStart"/>
      <w:r w:rsidRPr="002A5A52">
        <w:rPr>
          <w:rFonts w:cs="Arial"/>
          <w:i/>
          <w:sz w:val="23"/>
          <w:szCs w:val="23"/>
        </w:rPr>
        <w:t>ca</w:t>
      </w:r>
      <w:proofErr w:type="spellEnd"/>
      <w:r w:rsidRPr="002A5A52">
        <w:rPr>
          <w:rFonts w:cs="Arial"/>
          <w:i/>
          <w:sz w:val="23"/>
          <w:szCs w:val="23"/>
        </w:rPr>
        <w:t xml:space="preserve">. </w:t>
      </w:r>
      <w:proofErr w:type="spellStart"/>
      <w:r w:rsidRPr="002A5A52">
        <w:rPr>
          <w:rFonts w:cs="Arial"/>
          <w:i/>
          <w:sz w:val="23"/>
          <w:szCs w:val="23"/>
        </w:rPr>
        <w:t>fr</w:t>
      </w:r>
      <w:proofErr w:type="spellEnd"/>
      <w:r w:rsidRPr="002A5A52">
        <w:rPr>
          <w:rFonts w:cs="Arial"/>
          <w:i/>
          <w:sz w:val="23"/>
          <w:szCs w:val="23"/>
        </w:rPr>
        <w:t xml:space="preserve">. 500'000.- annui”. </w:t>
      </w:r>
    </w:p>
    <w:p w:rsidR="00380CC1" w:rsidRPr="002E162F" w:rsidRDefault="00380CC1" w:rsidP="00380CC1">
      <w:pPr>
        <w:rPr>
          <w:rFonts w:cs="Arial"/>
          <w:i/>
        </w:rPr>
      </w:pPr>
    </w:p>
    <w:p w:rsidR="00380CC1" w:rsidRPr="002E162F" w:rsidRDefault="00380CC1" w:rsidP="00380CC1">
      <w:pPr>
        <w:rPr>
          <w:rFonts w:cs="Arial"/>
        </w:rPr>
      </w:pPr>
      <w:r w:rsidRPr="002E162F">
        <w:rPr>
          <w:rFonts w:cs="Arial"/>
        </w:rPr>
        <w:t>Con il messaggio in esame, il Consiglio di Stato presenta l’esito dei suoi lavori, dando pure seguito al decreto legislativo del Gran Consiglio del 9 maggio 2014, ovvero in particolare alla disposizione seguente:</w:t>
      </w:r>
    </w:p>
    <w:p w:rsidR="00380CC1" w:rsidRPr="002A5A52" w:rsidRDefault="00380CC1" w:rsidP="002A5A52">
      <w:pPr>
        <w:spacing w:before="140" w:after="80"/>
        <w:rPr>
          <w:rFonts w:cs="Arial"/>
          <w:b/>
          <w:i/>
          <w:sz w:val="22"/>
        </w:rPr>
      </w:pPr>
      <w:r w:rsidRPr="002A5A52">
        <w:rPr>
          <w:rFonts w:cs="Arial"/>
          <w:b/>
          <w:i/>
          <w:sz w:val="22"/>
        </w:rPr>
        <w:t xml:space="preserve">Articolo 4 </w:t>
      </w:r>
    </w:p>
    <w:p w:rsidR="00380CC1" w:rsidRPr="002A5A52" w:rsidRDefault="00380CC1" w:rsidP="00380CC1">
      <w:pPr>
        <w:rPr>
          <w:rFonts w:cs="Arial"/>
          <w:i/>
          <w:sz w:val="22"/>
        </w:rPr>
      </w:pPr>
      <w:r w:rsidRPr="002A5A52">
        <w:rPr>
          <w:rFonts w:cs="Arial"/>
          <w:i/>
          <w:sz w:val="22"/>
        </w:rPr>
        <w:t>Il Consiglio di Stato istituisce entro il 30 giugno 2014 un gruppo di lavoro, composto da rappresentanti dell'autorità cantonale, dagli enti locali interessati, dall'Ente per il turismo cantonale, dagli enti turistici locali e dai nuovi enti regionali di sviluppo, incaricato di 8 proporre entro il 31 dicembre 2015 un piano di lavoro e una strategia complessiva coordinata per gli impianti sussidiati dal Cantone nella quale viene definita anche la sostenibilità finanziaria, da indirizzare al Consiglio di Stato e al Gran Consiglio. Il gruppo di lavoro, oltre a elaborare una strategia a medio termine per gli impianti di risalita, deve anche esprimere una visione integrata e sostenibile dello sviluppo nelle regioni periferiche e indicare gli sforzi concreti per rendere attrattiva la montagna.</w:t>
      </w:r>
    </w:p>
    <w:p w:rsidR="00380CC1" w:rsidRPr="002E162F" w:rsidRDefault="00380CC1" w:rsidP="00380CC1">
      <w:pPr>
        <w:rPr>
          <w:rFonts w:cs="Arial"/>
          <w:i/>
        </w:rPr>
      </w:pPr>
    </w:p>
    <w:p w:rsidR="00380CC1" w:rsidRPr="002E162F" w:rsidRDefault="00380CC1" w:rsidP="00380CC1">
      <w:pPr>
        <w:rPr>
          <w:rFonts w:cs="Arial"/>
        </w:rPr>
      </w:pPr>
      <w:r w:rsidRPr="002E162F">
        <w:rPr>
          <w:rFonts w:cs="Arial"/>
        </w:rPr>
        <w:t>Di seguito esaminiamo dunque detti ed altri aspetti concernenti il credito in oggetto.</w:t>
      </w:r>
    </w:p>
    <w:p w:rsidR="00380CC1" w:rsidRPr="00F316EB" w:rsidRDefault="00380CC1" w:rsidP="00380CC1">
      <w:pPr>
        <w:rPr>
          <w:rFonts w:cs="Arial"/>
        </w:rPr>
      </w:pPr>
    </w:p>
    <w:p w:rsidR="00380CC1" w:rsidRPr="00F316EB" w:rsidRDefault="00380CC1" w:rsidP="00380CC1">
      <w:pPr>
        <w:rPr>
          <w:rFonts w:cs="Arial"/>
        </w:rPr>
      </w:pPr>
    </w:p>
    <w:p w:rsidR="00380CC1" w:rsidRPr="00F316EB" w:rsidRDefault="00380CC1" w:rsidP="002A5A52">
      <w:pPr>
        <w:pStyle w:val="Titolo1"/>
      </w:pPr>
      <w:r w:rsidRPr="00F316EB">
        <w:t>Gli studi</w:t>
      </w:r>
    </w:p>
    <w:p w:rsidR="00380CC1" w:rsidRPr="00F316EB" w:rsidRDefault="00380CC1" w:rsidP="00380CC1">
      <w:pPr>
        <w:rPr>
          <w:rFonts w:cs="Arial"/>
        </w:rPr>
      </w:pPr>
      <w:r w:rsidRPr="00F316EB">
        <w:rPr>
          <w:rFonts w:cs="Arial"/>
        </w:rPr>
        <w:t>Sono numerosi gli studi che si sono confrontati con il tema del futuro della stazioni sciistiche in Svizzera e in Ticino, tra i quali si ricordano in particolare:</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«Impianti di risalita in Ticino: valutazione e proposte operative per un rilancio», Istituto di ricerche economiche, Università della Svizzera italiana, Lugano 2003;</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«Progetto per il rilancio e la messa in rete dei centri turistici montani in Ticino», CTM SA, Lodrino, 2005;</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 xml:space="preserve">«Impianti di risalita in Ticino», </w:t>
      </w:r>
      <w:proofErr w:type="spellStart"/>
      <w:r w:rsidRPr="00F316EB">
        <w:rPr>
          <w:rFonts w:cs="Arial"/>
        </w:rPr>
        <w:t>Grischconsulta</w:t>
      </w:r>
      <w:proofErr w:type="spellEnd"/>
      <w:r w:rsidRPr="00F316EB">
        <w:rPr>
          <w:rFonts w:cs="Arial"/>
        </w:rPr>
        <w:t xml:space="preserve">, </w:t>
      </w:r>
      <w:proofErr w:type="spellStart"/>
      <w:r w:rsidRPr="00F316EB">
        <w:rPr>
          <w:rFonts w:cs="Arial"/>
        </w:rPr>
        <w:t>Coira</w:t>
      </w:r>
      <w:proofErr w:type="spellEnd"/>
      <w:r w:rsidRPr="00F316EB">
        <w:rPr>
          <w:rFonts w:cs="Arial"/>
        </w:rPr>
        <w:t xml:space="preserve"> 2008;</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«Impianti di risalita invernali in Ticino: Valutazioni e prospettive per modelli di business futuri sostenibili», IRE/SUPSI-DSAS/IDT-HSG, 2010.</w:t>
      </w:r>
    </w:p>
    <w:p w:rsidR="00380CC1" w:rsidRPr="00F316EB" w:rsidRDefault="00380CC1" w:rsidP="00380CC1">
      <w:pPr>
        <w:rPr>
          <w:rFonts w:cs="Arial"/>
        </w:rPr>
      </w:pPr>
    </w:p>
    <w:p w:rsidR="00380CC1" w:rsidRPr="00F316EB" w:rsidRDefault="00380CC1" w:rsidP="00380CC1">
      <w:pPr>
        <w:rPr>
          <w:rFonts w:cs="Arial"/>
        </w:rPr>
      </w:pPr>
      <w:r w:rsidRPr="00F316EB">
        <w:rPr>
          <w:rFonts w:cs="Arial"/>
        </w:rPr>
        <w:t xml:space="preserve">Tutti giungono alle seguenti </w:t>
      </w:r>
      <w:r w:rsidRPr="00F316EB">
        <w:rPr>
          <w:rFonts w:cs="Arial"/>
          <w:b/>
        </w:rPr>
        <w:t>conclusioni</w:t>
      </w:r>
      <w:r w:rsidRPr="00F316EB">
        <w:rPr>
          <w:rFonts w:cs="Arial"/>
        </w:rPr>
        <w:t>:</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 xml:space="preserve">clima: il Ticino, essendo situato a sud delle Alpi e in considerazione del fatto che le stazioni sciistiche si situano a quota inferiore ai 2’500 </w:t>
      </w:r>
      <w:proofErr w:type="spellStart"/>
      <w:r w:rsidRPr="00F316EB">
        <w:rPr>
          <w:rFonts w:cs="Arial"/>
        </w:rPr>
        <w:t>msm</w:t>
      </w:r>
      <w:proofErr w:type="spellEnd"/>
      <w:r w:rsidRPr="00F316EB">
        <w:rPr>
          <w:rFonts w:cs="Arial"/>
        </w:rPr>
        <w:t>, è particolarmente esposto al rischio di mancanza di neve, tendenza che si sta ulteriormente consolidando alla luce degli importanti mutamenti climatici in corso;</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la varietà dell’offerta è limitata e non soddisfa appieno la clientela;</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gli impianti non sono contigui e offrono singolarmente pochi chilometri di piste;</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la posizione degli impianti non è sempre favorita dall’innevamento naturale e se questa debolezza può essere sopperita attraverso l’innevamento artificiale, ciò, ad ogni modo, si traduce in maggiori costi di gestione;</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la domanda è locale e giornaliera e spesso a beneficio di prezzi scontati (sci club, scuole, ecc.);</w:t>
      </w:r>
    </w:p>
    <w:p w:rsidR="00380CC1" w:rsidRPr="00F316EB" w:rsidRDefault="00380CC1" w:rsidP="00610FF2">
      <w:pPr>
        <w:pStyle w:val="Paragrafoelenco1"/>
        <w:numPr>
          <w:ilvl w:val="0"/>
          <w:numId w:val="5"/>
        </w:numPr>
        <w:spacing w:before="60"/>
        <w:ind w:left="284" w:hanging="284"/>
        <w:contextualSpacing w:val="0"/>
        <w:rPr>
          <w:rFonts w:cs="Arial"/>
        </w:rPr>
      </w:pPr>
      <w:r w:rsidRPr="00F316EB">
        <w:rPr>
          <w:rFonts w:cs="Arial"/>
        </w:rPr>
        <w:t>l’offerta della concorrenza (GR, VS, vicina Italia) è migliore.</w:t>
      </w:r>
    </w:p>
    <w:p w:rsidR="00380CC1" w:rsidRPr="00610FF2" w:rsidRDefault="00380CC1" w:rsidP="00380CC1">
      <w:pPr>
        <w:pStyle w:val="Paragrafoelenco1"/>
        <w:ind w:left="0"/>
        <w:rPr>
          <w:rFonts w:cs="Arial"/>
          <w:sz w:val="12"/>
          <w:szCs w:val="12"/>
        </w:rPr>
      </w:pPr>
    </w:p>
    <w:p w:rsidR="00380CC1" w:rsidRPr="00F316EB" w:rsidRDefault="00380CC1" w:rsidP="00380CC1">
      <w:pPr>
        <w:pStyle w:val="Paragrafoelenco1"/>
        <w:ind w:left="0"/>
        <w:rPr>
          <w:rFonts w:cs="Arial"/>
        </w:rPr>
      </w:pPr>
      <w:r w:rsidRPr="00F316EB">
        <w:rPr>
          <w:rFonts w:cs="Arial"/>
        </w:rPr>
        <w:lastRenderedPageBreak/>
        <w:t>Di conseguenza le valutazioni politiche in questa difficile tematica non possono prescindere dal considerare i dati oggettivi emersi.</w:t>
      </w:r>
    </w:p>
    <w:p w:rsidR="00380CC1" w:rsidRPr="00F316EB" w:rsidRDefault="00380CC1" w:rsidP="00380CC1">
      <w:pPr>
        <w:pStyle w:val="Paragrafoelenco1"/>
        <w:ind w:left="0"/>
        <w:rPr>
          <w:rFonts w:cs="Arial"/>
        </w:rPr>
      </w:pPr>
    </w:p>
    <w:p w:rsidR="00380CC1" w:rsidRPr="00F316EB" w:rsidRDefault="00380CC1" w:rsidP="00380CC1">
      <w:pPr>
        <w:pStyle w:val="Paragrafoelenco1"/>
        <w:ind w:left="0"/>
        <w:rPr>
          <w:rFonts w:cs="Arial"/>
        </w:rPr>
      </w:pPr>
    </w:p>
    <w:p w:rsidR="00380CC1" w:rsidRPr="00F316EB" w:rsidRDefault="00380CC1" w:rsidP="002A5A52">
      <w:pPr>
        <w:pStyle w:val="Titolo1"/>
      </w:pPr>
      <w:r w:rsidRPr="00F316EB">
        <w:t>L’impatto economico</w:t>
      </w:r>
    </w:p>
    <w:p w:rsidR="00380CC1" w:rsidRPr="00F316EB" w:rsidRDefault="00380CC1" w:rsidP="00380CC1">
      <w:pPr>
        <w:rPr>
          <w:rFonts w:cs="Arial"/>
        </w:rPr>
      </w:pPr>
      <w:smartTag w:uri="urn:schemas-microsoft-com:office:smarttags" w:element="PersonName">
        <w:smartTagPr>
          <w:attr w:name="ProductID" w:val="la Commissione"/>
        </w:smartTagPr>
        <w:r w:rsidRPr="00F316EB">
          <w:rPr>
            <w:rFonts w:cs="Arial"/>
          </w:rPr>
          <w:t>La Commissione</w:t>
        </w:r>
      </w:smartTag>
      <w:r w:rsidRPr="00F316EB">
        <w:rPr>
          <w:rFonts w:cs="Arial"/>
        </w:rPr>
        <w:t xml:space="preserve"> ha preso atto con grande interesse dei risultati dello studio assegnato alla società </w:t>
      </w:r>
      <w:proofErr w:type="spellStart"/>
      <w:r w:rsidRPr="00F316EB">
        <w:rPr>
          <w:rFonts w:cs="Arial"/>
        </w:rPr>
        <w:t>Rütter</w:t>
      </w:r>
      <w:proofErr w:type="spellEnd"/>
      <w:r w:rsidRPr="00F316EB">
        <w:rPr>
          <w:rFonts w:cs="Arial"/>
        </w:rPr>
        <w:t xml:space="preserve"> </w:t>
      </w:r>
      <w:proofErr w:type="spellStart"/>
      <w:r w:rsidRPr="00F316EB">
        <w:rPr>
          <w:rFonts w:cs="Arial"/>
        </w:rPr>
        <w:t>Soceco</w:t>
      </w:r>
      <w:proofErr w:type="spellEnd"/>
      <w:r w:rsidRPr="00F316EB">
        <w:rPr>
          <w:rFonts w:cs="Arial"/>
        </w:rPr>
        <w:t xml:space="preserve"> AG di </w:t>
      </w:r>
      <w:proofErr w:type="spellStart"/>
      <w:r w:rsidRPr="00F316EB">
        <w:rPr>
          <w:rFonts w:cs="Arial"/>
        </w:rPr>
        <w:t>Rüschlikon</w:t>
      </w:r>
      <w:proofErr w:type="spellEnd"/>
      <w:r w:rsidRPr="00F316EB">
        <w:rPr>
          <w:rFonts w:cs="Arial"/>
        </w:rPr>
        <w:t xml:space="preserve">, già autori dello studio sull’impatto economico del turismo in Ticino assieme a Tiresia e </w:t>
      </w:r>
      <w:proofErr w:type="spellStart"/>
      <w:r w:rsidRPr="00F316EB">
        <w:rPr>
          <w:rFonts w:cs="Arial"/>
        </w:rPr>
        <w:t>Lineasoft</w:t>
      </w:r>
      <w:proofErr w:type="spellEnd"/>
      <w:r w:rsidRPr="00F316EB">
        <w:rPr>
          <w:rFonts w:cs="Arial"/>
        </w:rPr>
        <w:t xml:space="preserve">. In particolare: </w:t>
      </w:r>
    </w:p>
    <w:p w:rsidR="00380CC1" w:rsidRPr="00610FF2" w:rsidRDefault="00380CC1" w:rsidP="002A5A52">
      <w:pPr>
        <w:pStyle w:val="Paragrafoelenco1"/>
        <w:numPr>
          <w:ilvl w:val="0"/>
          <w:numId w:val="5"/>
        </w:numPr>
        <w:spacing w:before="80"/>
        <w:ind w:left="284" w:hanging="284"/>
        <w:contextualSpacing w:val="0"/>
        <w:rPr>
          <w:rFonts w:cs="Arial"/>
          <w:i/>
          <w:sz w:val="23"/>
          <w:szCs w:val="23"/>
        </w:rPr>
      </w:pPr>
      <w:r w:rsidRPr="00610FF2">
        <w:rPr>
          <w:rFonts w:cs="Arial"/>
          <w:i/>
          <w:sz w:val="23"/>
          <w:szCs w:val="23"/>
        </w:rPr>
        <w:t xml:space="preserve">Sulla base delle frequenze è possibile determinare che, nelle regioni degli impianti, in totale (impianti di risalita, ospiti e residenze di vacanza) vengono generati oltre </w:t>
      </w:r>
      <w:r w:rsidRPr="00610FF2">
        <w:rPr>
          <w:rFonts w:cs="Arial"/>
          <w:i/>
          <w:sz w:val="23"/>
          <w:szCs w:val="23"/>
          <w:u w:val="single"/>
        </w:rPr>
        <w:t>13 milioni di franchi di fatturato</w:t>
      </w:r>
      <w:r w:rsidRPr="00610FF2">
        <w:rPr>
          <w:rFonts w:cs="Arial"/>
          <w:i/>
          <w:sz w:val="23"/>
          <w:szCs w:val="23"/>
        </w:rPr>
        <w:t xml:space="preserve"> (o cifra d’affari), un </w:t>
      </w:r>
      <w:r w:rsidRPr="00610FF2">
        <w:rPr>
          <w:rFonts w:cs="Arial"/>
          <w:i/>
          <w:sz w:val="23"/>
          <w:szCs w:val="23"/>
          <w:u w:val="single"/>
        </w:rPr>
        <w:t>valore aggiunto lordo di quasi 5.6 milioni</w:t>
      </w:r>
      <w:r w:rsidRPr="00610FF2">
        <w:rPr>
          <w:rFonts w:cs="Arial"/>
          <w:i/>
          <w:sz w:val="23"/>
          <w:szCs w:val="23"/>
        </w:rPr>
        <w:t xml:space="preserve"> di franchi e poco meno di </w:t>
      </w:r>
      <w:r w:rsidRPr="00610FF2">
        <w:rPr>
          <w:rFonts w:cs="Arial"/>
          <w:i/>
          <w:sz w:val="23"/>
          <w:szCs w:val="23"/>
          <w:u w:val="single"/>
        </w:rPr>
        <w:t>100 posti di lavoro equivalenti al tempo pieno</w:t>
      </w:r>
      <w:r w:rsidRPr="00610FF2">
        <w:rPr>
          <w:rFonts w:cs="Arial"/>
          <w:i/>
          <w:sz w:val="23"/>
          <w:szCs w:val="23"/>
        </w:rPr>
        <w:t xml:space="preserve"> (ETP).</w:t>
      </w:r>
    </w:p>
    <w:p w:rsidR="00380CC1" w:rsidRPr="00610FF2" w:rsidRDefault="00380CC1" w:rsidP="002A5A52">
      <w:pPr>
        <w:pStyle w:val="Paragrafoelenco1"/>
        <w:numPr>
          <w:ilvl w:val="0"/>
          <w:numId w:val="5"/>
        </w:numPr>
        <w:spacing w:before="80"/>
        <w:ind w:left="284" w:hanging="284"/>
        <w:contextualSpacing w:val="0"/>
        <w:rPr>
          <w:rFonts w:cs="Arial"/>
          <w:i/>
          <w:sz w:val="23"/>
          <w:szCs w:val="23"/>
        </w:rPr>
      </w:pPr>
      <w:r w:rsidRPr="00610FF2">
        <w:rPr>
          <w:rFonts w:cs="Arial"/>
          <w:i/>
          <w:sz w:val="23"/>
          <w:szCs w:val="23"/>
        </w:rPr>
        <w:t xml:space="preserve">Vi sono inoltre degli effetti economici che ricadono </w:t>
      </w:r>
      <w:r w:rsidRPr="00610FF2">
        <w:rPr>
          <w:rFonts w:cs="Arial"/>
          <w:i/>
          <w:sz w:val="23"/>
          <w:szCs w:val="23"/>
          <w:u w:val="single"/>
        </w:rPr>
        <w:t>fuori dalle regioni degli impianti</w:t>
      </w:r>
      <w:r w:rsidRPr="00610FF2">
        <w:rPr>
          <w:rFonts w:cs="Arial"/>
          <w:i/>
          <w:sz w:val="23"/>
          <w:szCs w:val="23"/>
        </w:rPr>
        <w:t xml:space="preserve">. Complessivamente, in tutto il Canton Ticino, le cinque stazioni generano </w:t>
      </w:r>
      <w:r w:rsidRPr="00610FF2">
        <w:rPr>
          <w:rFonts w:cs="Arial"/>
          <w:i/>
          <w:sz w:val="23"/>
          <w:szCs w:val="23"/>
          <w:u w:val="single"/>
        </w:rPr>
        <w:t>19.6 milioni di franchi di produzione lorda, un valore aggiunto lordo di 8.7 milioni di franchi e circa 120 posti di lavoro ETP</w:t>
      </w:r>
      <w:r w:rsidRPr="00610FF2">
        <w:rPr>
          <w:rFonts w:cs="Arial"/>
          <w:i/>
          <w:sz w:val="23"/>
          <w:szCs w:val="23"/>
        </w:rPr>
        <w:t>. Sia a livello regionale che cantonale circa la metà del valore aggiunto lordo e dell’occupazione sono imputabili alla stazione sciistica di Airolo.</w:t>
      </w:r>
    </w:p>
    <w:p w:rsidR="00380CC1" w:rsidRPr="00610FF2" w:rsidRDefault="00380CC1" w:rsidP="002A5A52">
      <w:pPr>
        <w:pStyle w:val="Paragrafoelenco1"/>
        <w:numPr>
          <w:ilvl w:val="0"/>
          <w:numId w:val="5"/>
        </w:numPr>
        <w:spacing w:before="80"/>
        <w:ind w:left="284" w:hanging="284"/>
        <w:contextualSpacing w:val="0"/>
        <w:rPr>
          <w:rFonts w:cs="Arial"/>
          <w:i/>
          <w:sz w:val="23"/>
          <w:szCs w:val="23"/>
        </w:rPr>
      </w:pPr>
      <w:r w:rsidRPr="00610FF2">
        <w:rPr>
          <w:rFonts w:cs="Arial"/>
          <w:i/>
          <w:sz w:val="23"/>
          <w:szCs w:val="23"/>
        </w:rPr>
        <w:t xml:space="preserve">È interessante notare che </w:t>
      </w:r>
      <w:r w:rsidRPr="00610FF2">
        <w:rPr>
          <w:rFonts w:cs="Arial"/>
          <w:i/>
          <w:sz w:val="23"/>
          <w:szCs w:val="23"/>
          <w:u w:val="single"/>
        </w:rPr>
        <w:t>per ogni franco dato</w:t>
      </w:r>
      <w:r w:rsidRPr="00610FF2">
        <w:rPr>
          <w:rFonts w:cs="Arial"/>
          <w:i/>
          <w:sz w:val="23"/>
          <w:szCs w:val="23"/>
        </w:rPr>
        <w:t xml:space="preserve"> alle stazioni sciistiche sotto forma di sussidio cantonale viene generata (in Ticino) una </w:t>
      </w:r>
      <w:r w:rsidRPr="00610FF2">
        <w:rPr>
          <w:rFonts w:cs="Arial"/>
          <w:i/>
          <w:sz w:val="23"/>
          <w:szCs w:val="23"/>
          <w:u w:val="single"/>
        </w:rPr>
        <w:t>produzione lorda di 14 franchi</w:t>
      </w:r>
      <w:r w:rsidRPr="00610FF2">
        <w:rPr>
          <w:rFonts w:cs="Arial"/>
          <w:i/>
          <w:sz w:val="23"/>
          <w:szCs w:val="23"/>
        </w:rPr>
        <w:t xml:space="preserve"> (effetto moltiplicatore).</w:t>
      </w:r>
    </w:p>
    <w:p w:rsidR="00380CC1" w:rsidRPr="00F316EB" w:rsidRDefault="00380CC1" w:rsidP="00380CC1">
      <w:pPr>
        <w:rPr>
          <w:rFonts w:cs="Arial"/>
        </w:rPr>
      </w:pPr>
    </w:p>
    <w:p w:rsidR="00380CC1" w:rsidRPr="00F316EB" w:rsidRDefault="00380CC1" w:rsidP="00380CC1">
      <w:pPr>
        <w:pStyle w:val="Default"/>
        <w:jc w:val="both"/>
      </w:pPr>
      <w:r w:rsidRPr="00F316EB">
        <w:t xml:space="preserve">Lo studio riferito al Ticino si inserisce e conferma quanto era stato riscontrato sul piano nazionale (studio </w:t>
      </w:r>
      <w:proofErr w:type="spellStart"/>
      <w:r w:rsidRPr="00F316EB">
        <w:t>Berwert</w:t>
      </w:r>
      <w:proofErr w:type="spellEnd"/>
      <w:r w:rsidRPr="00F316EB">
        <w:t xml:space="preserve">, </w:t>
      </w:r>
      <w:proofErr w:type="spellStart"/>
      <w:r w:rsidRPr="00F316EB">
        <w:t>Rütter</w:t>
      </w:r>
      <w:proofErr w:type="spellEnd"/>
      <w:r w:rsidRPr="00F316EB">
        <w:t>, 2008), ossia che il turismo invernale rappresenta:</w:t>
      </w:r>
    </w:p>
    <w:p w:rsidR="00380CC1" w:rsidRPr="00F316EB" w:rsidRDefault="00380CC1" w:rsidP="002A5A52">
      <w:pPr>
        <w:pStyle w:val="Paragrafoelenco1"/>
        <w:numPr>
          <w:ilvl w:val="0"/>
          <w:numId w:val="5"/>
        </w:numPr>
        <w:spacing w:before="60"/>
        <w:ind w:left="284" w:hanging="284"/>
        <w:contextualSpacing w:val="0"/>
        <w:rPr>
          <w:rFonts w:cs="Arial"/>
        </w:rPr>
      </w:pPr>
      <w:r w:rsidRPr="00F316EB">
        <w:rPr>
          <w:rFonts w:cs="Arial"/>
        </w:rPr>
        <w:t xml:space="preserve">25% dell’economia complessiva generata dallo sport </w:t>
      </w:r>
    </w:p>
    <w:p w:rsidR="00380CC1" w:rsidRPr="00F316EB" w:rsidRDefault="00610FF2" w:rsidP="002A5A52">
      <w:pPr>
        <w:pStyle w:val="Paragrafoelenco1"/>
        <w:numPr>
          <w:ilvl w:val="0"/>
          <w:numId w:val="5"/>
        </w:numPr>
        <w:spacing w:before="60"/>
        <w:ind w:left="284" w:hanging="284"/>
        <w:contextualSpacing w:val="0"/>
        <w:rPr>
          <w:rFonts w:cs="Arial"/>
        </w:rPr>
      </w:pPr>
      <w:r>
        <w:rPr>
          <w:rFonts w:cs="Arial"/>
        </w:rPr>
        <w:t>un valore aggiunto lordo di</w:t>
      </w:r>
      <w:r w:rsidR="00380CC1" w:rsidRPr="00F316EB">
        <w:rPr>
          <w:rFonts w:cs="Arial"/>
        </w:rPr>
        <w:t xml:space="preserve"> 2.16 mia </w:t>
      </w:r>
      <w:r>
        <w:rPr>
          <w:rFonts w:cs="Arial"/>
        </w:rPr>
        <w:t>di franchi</w:t>
      </w:r>
    </w:p>
    <w:p w:rsidR="00380CC1" w:rsidRPr="00F316EB" w:rsidRDefault="00380CC1" w:rsidP="002A5A52">
      <w:pPr>
        <w:pStyle w:val="Paragrafoelenco1"/>
        <w:numPr>
          <w:ilvl w:val="0"/>
          <w:numId w:val="5"/>
        </w:numPr>
        <w:spacing w:before="60"/>
        <w:ind w:left="284" w:hanging="284"/>
        <w:contextualSpacing w:val="0"/>
        <w:rPr>
          <w:rFonts w:cs="Arial"/>
        </w:rPr>
      </w:pPr>
      <w:r w:rsidRPr="00F316EB">
        <w:rPr>
          <w:rFonts w:cs="Arial"/>
        </w:rPr>
        <w:t xml:space="preserve">26’600 posti di lavoro </w:t>
      </w:r>
    </w:p>
    <w:p w:rsidR="00380CC1" w:rsidRPr="00F316EB" w:rsidRDefault="00610FF2" w:rsidP="002A5A52">
      <w:pPr>
        <w:pStyle w:val="Paragrafoelenco1"/>
        <w:numPr>
          <w:ilvl w:val="0"/>
          <w:numId w:val="5"/>
        </w:numPr>
        <w:spacing w:before="60"/>
        <w:ind w:left="284" w:hanging="284"/>
        <w:contextualSpacing w:val="0"/>
        <w:rPr>
          <w:rFonts w:cs="Arial"/>
        </w:rPr>
      </w:pPr>
      <w:r>
        <w:rPr>
          <w:rFonts w:cs="Arial"/>
        </w:rPr>
        <w:t>i</w:t>
      </w:r>
      <w:r w:rsidR="00380CC1" w:rsidRPr="00F316EB">
        <w:rPr>
          <w:rFonts w:cs="Arial"/>
        </w:rPr>
        <w:t>l 50% del valore aggiunto del settore è generato nello spazio alpino</w:t>
      </w:r>
    </w:p>
    <w:p w:rsidR="00380CC1" w:rsidRPr="00F316EB" w:rsidRDefault="00380CC1" w:rsidP="00380CC1">
      <w:pPr>
        <w:rPr>
          <w:rFonts w:cs="Arial"/>
        </w:rPr>
      </w:pPr>
    </w:p>
    <w:p w:rsidR="00380CC1" w:rsidRPr="00F316EB" w:rsidRDefault="00380CC1" w:rsidP="00380CC1">
      <w:pPr>
        <w:rPr>
          <w:rFonts w:cs="Arial"/>
        </w:rPr>
      </w:pPr>
      <w:r w:rsidRPr="00F316EB">
        <w:rPr>
          <w:rFonts w:cs="Arial"/>
        </w:rPr>
        <w:t xml:space="preserve">Ci sembrano essere dati significativi che consentono di giustificare un sostegno a queste attività che consentono a regioni periferiche un’attività economica certamente interessante </w:t>
      </w:r>
    </w:p>
    <w:p w:rsidR="00380CC1" w:rsidRPr="00F316EB" w:rsidRDefault="00380CC1" w:rsidP="00380CC1">
      <w:pPr>
        <w:rPr>
          <w:rFonts w:cs="Arial"/>
        </w:rPr>
      </w:pPr>
    </w:p>
    <w:p w:rsidR="00380CC1" w:rsidRPr="00F316EB" w:rsidRDefault="00380CC1" w:rsidP="00380CC1">
      <w:pPr>
        <w:rPr>
          <w:rFonts w:cs="Arial"/>
        </w:rPr>
      </w:pPr>
    </w:p>
    <w:p w:rsidR="00380CC1" w:rsidRPr="00F316EB" w:rsidRDefault="00380CC1" w:rsidP="002A5A52">
      <w:pPr>
        <w:pStyle w:val="Titolo1"/>
      </w:pPr>
      <w:r w:rsidRPr="00F316EB">
        <w:t>La strategia</w:t>
      </w:r>
    </w:p>
    <w:p w:rsidR="00380CC1" w:rsidRPr="00F316EB" w:rsidRDefault="00380CC1" w:rsidP="00380CC1">
      <w:pPr>
        <w:pStyle w:val="Paragrafoelenco1"/>
        <w:ind w:left="0"/>
        <w:rPr>
          <w:rFonts w:cs="Arial"/>
        </w:rPr>
      </w:pPr>
      <w:r w:rsidRPr="00F316EB">
        <w:rPr>
          <w:rFonts w:cs="Arial"/>
        </w:rPr>
        <w:t>Il tema deve essere affrontato con una forte condivisione da parte degli attori in quanto solo in questo modo si può giustificare un impegno di risorse pubbliche importanti a favore del settore. Riprendiamo quanto indicato dal messaggio del Governo in merito alla strategia proposta.</w:t>
      </w:r>
    </w:p>
    <w:p w:rsidR="00380CC1" w:rsidRPr="00610FF2" w:rsidRDefault="00380CC1" w:rsidP="00380CC1">
      <w:pPr>
        <w:pStyle w:val="Paragrafoelenco1"/>
        <w:ind w:left="0"/>
        <w:rPr>
          <w:rFonts w:cs="Arial"/>
          <w:sz w:val="18"/>
          <w:szCs w:val="18"/>
        </w:rPr>
      </w:pPr>
    </w:p>
    <w:p w:rsidR="00380CC1" w:rsidRPr="00610FF2" w:rsidRDefault="00380CC1" w:rsidP="00380CC1">
      <w:pPr>
        <w:pStyle w:val="Paragrafoelenco1"/>
        <w:ind w:left="0"/>
        <w:rPr>
          <w:rFonts w:cs="Arial"/>
          <w:i/>
          <w:sz w:val="22"/>
          <w:szCs w:val="22"/>
        </w:rPr>
      </w:pPr>
      <w:r w:rsidRPr="00610FF2">
        <w:rPr>
          <w:rFonts w:cs="Arial"/>
          <w:i/>
          <w:sz w:val="22"/>
          <w:szCs w:val="22"/>
        </w:rPr>
        <w:t>Il Consiglio di Stato ha istituito, con risoluzione governativa n. 2799 dell’11 giugno 2014, un gruppo di lavoro - composto da rappresentanti dell'autorità cantonale, dai gestori degli impianti di risalita, dagli enti locali interessati, dall'Agenzia turistica ticinese, dalle Organizzazioni turistiche regionali e dagli Enti regionali di sviluppo - con l’incarico di proporre entro il 31 dicembre 2015 un piano di lavoro e una strategia complessiva coordinata per gli impianti sussidiati dal Cantone.</w:t>
      </w:r>
    </w:p>
    <w:p w:rsidR="00380CC1" w:rsidRPr="00610FF2" w:rsidRDefault="00380CC1" w:rsidP="00380CC1">
      <w:pPr>
        <w:rPr>
          <w:rFonts w:cs="Arial"/>
          <w:i/>
          <w:sz w:val="22"/>
        </w:rPr>
      </w:pPr>
      <w:r w:rsidRPr="00610FF2">
        <w:rPr>
          <w:rFonts w:cs="Arial"/>
          <w:i/>
          <w:sz w:val="22"/>
        </w:rPr>
        <w:t xml:space="preserve">Con lettera del 15 dicembre 2015 il Consiglio di Stato informava </w:t>
      </w:r>
      <w:smartTag w:uri="urn:schemas-microsoft-com:office:smarttags" w:element="PersonName">
        <w:smartTagPr>
          <w:attr w:name="ProductID" w:val="la Commissione"/>
        </w:smartTagPr>
        <w:r w:rsidRPr="00610FF2">
          <w:rPr>
            <w:rFonts w:cs="Arial"/>
            <w:i/>
            <w:sz w:val="22"/>
          </w:rPr>
          <w:t>la Commissione</w:t>
        </w:r>
      </w:smartTag>
      <w:r w:rsidRPr="00610FF2">
        <w:rPr>
          <w:rFonts w:cs="Arial"/>
          <w:i/>
          <w:sz w:val="22"/>
        </w:rPr>
        <w:t xml:space="preserve"> della gestione e delle finanze del Gran Consiglio sullo stato dei lavori e preannunciava la consegna di un rapporto finale entro il primo trimestre del 2016. Il 22 marzo 2016 il Consiglio di Stato trasmetteva alla stessa Commissione il rapporto finale del gruppo di lavoro sulla strategia impianti di risalita invernali sussidiati con allegato un rapporto concernente l'importanza economica e turistica degli impianti di risalita nei comprensori sciistici di Airolo, Bosco </w:t>
      </w:r>
      <w:proofErr w:type="spellStart"/>
      <w:r w:rsidRPr="00610FF2">
        <w:rPr>
          <w:rFonts w:cs="Arial"/>
          <w:i/>
          <w:sz w:val="22"/>
        </w:rPr>
        <w:t>Gurin</w:t>
      </w:r>
      <w:proofErr w:type="spellEnd"/>
      <w:r w:rsidRPr="00610FF2">
        <w:rPr>
          <w:rFonts w:cs="Arial"/>
          <w:i/>
          <w:sz w:val="22"/>
        </w:rPr>
        <w:t xml:space="preserve">, </w:t>
      </w:r>
      <w:proofErr w:type="spellStart"/>
      <w:r w:rsidRPr="00610FF2">
        <w:rPr>
          <w:rFonts w:cs="Arial"/>
          <w:i/>
          <w:sz w:val="22"/>
        </w:rPr>
        <w:t>Carì</w:t>
      </w:r>
      <w:proofErr w:type="spellEnd"/>
      <w:r w:rsidRPr="00610FF2">
        <w:rPr>
          <w:rFonts w:cs="Arial"/>
          <w:i/>
          <w:sz w:val="22"/>
        </w:rPr>
        <w:t xml:space="preserve">, Campo Blenio e Nara, elaborato dal consorzio </w:t>
      </w:r>
      <w:proofErr w:type="spellStart"/>
      <w:r w:rsidRPr="00610FF2">
        <w:rPr>
          <w:rFonts w:cs="Arial"/>
          <w:i/>
          <w:sz w:val="22"/>
        </w:rPr>
        <w:t>Rütter</w:t>
      </w:r>
      <w:proofErr w:type="spellEnd"/>
      <w:r w:rsidRPr="00610FF2">
        <w:rPr>
          <w:rFonts w:cs="Arial"/>
          <w:i/>
          <w:sz w:val="22"/>
        </w:rPr>
        <w:t xml:space="preserve"> </w:t>
      </w:r>
      <w:proofErr w:type="spellStart"/>
      <w:r w:rsidRPr="00610FF2">
        <w:rPr>
          <w:rFonts w:cs="Arial"/>
          <w:i/>
          <w:sz w:val="22"/>
        </w:rPr>
        <w:t>Soceco</w:t>
      </w:r>
      <w:proofErr w:type="spellEnd"/>
      <w:r w:rsidRPr="00610FF2">
        <w:rPr>
          <w:rFonts w:cs="Arial"/>
          <w:i/>
          <w:sz w:val="22"/>
        </w:rPr>
        <w:t xml:space="preserve"> AG e un documento sui dati previsionali concernenti l'evoluzione finanziaria degli impianti di risalita per le stagioni dal 2015/2016 al 2018/2019. I </w:t>
      </w:r>
      <w:r w:rsidRPr="00610FF2">
        <w:rPr>
          <w:rFonts w:cs="Arial"/>
          <w:i/>
          <w:sz w:val="22"/>
        </w:rPr>
        <w:lastRenderedPageBreak/>
        <w:t>contenuti del rapporto sono stati presentati alla Commissione della gestione e delle finanze il 4 ottobre 2016.</w:t>
      </w:r>
    </w:p>
    <w:p w:rsidR="00380CC1" w:rsidRPr="00610FF2" w:rsidRDefault="00380CC1" w:rsidP="00380CC1">
      <w:pPr>
        <w:pStyle w:val="Paragrafoelenco1"/>
        <w:ind w:left="0"/>
        <w:rPr>
          <w:rFonts w:cs="Arial"/>
          <w:i/>
          <w:sz w:val="18"/>
          <w:szCs w:val="18"/>
        </w:rPr>
      </w:pPr>
    </w:p>
    <w:p w:rsidR="00380CC1" w:rsidRPr="00610FF2" w:rsidRDefault="00380CC1" w:rsidP="00380CC1">
      <w:pPr>
        <w:rPr>
          <w:rFonts w:cs="Arial"/>
          <w:i/>
          <w:sz w:val="22"/>
        </w:rPr>
      </w:pPr>
      <w:r w:rsidRPr="00610FF2">
        <w:rPr>
          <w:rFonts w:cs="Arial"/>
          <w:i/>
          <w:sz w:val="22"/>
        </w:rPr>
        <w:t xml:space="preserve">Il gruppo di lavoro ha condiviso il principio secondo il quale la valorizzazione degli impianti di risalita deve rientrare in una strategia che tenga conto di tutti gli elementi presenti sul territorio montano, in modo da offrire al turista un’esperienza unica e completa. La soddisfazione del turista non è infatti legata al solo mezzo di trasporto, ma all’intera offerta ad esso collegata. </w:t>
      </w:r>
    </w:p>
    <w:p w:rsidR="00380CC1" w:rsidRPr="00610FF2" w:rsidRDefault="00380CC1" w:rsidP="00380CC1">
      <w:pPr>
        <w:rPr>
          <w:rFonts w:cs="Arial"/>
          <w:i/>
          <w:sz w:val="22"/>
        </w:rPr>
      </w:pPr>
      <w:r w:rsidRPr="00610FF2">
        <w:rPr>
          <w:rFonts w:cs="Arial"/>
          <w:i/>
          <w:sz w:val="22"/>
        </w:rPr>
        <w:t xml:space="preserve">Risulta quindi fondamentale la messa in rete e l’integrazione di tutte le attrazioni, così da creare un prodotto turistico di qualità, capace di generare ricadute positive sul territorio. Il gruppo di lavoro ha quindi condiviso il principio secondo il quale il ruolo degli impianti di risalita è da contestualizzare all’interno dei </w:t>
      </w:r>
      <w:proofErr w:type="spellStart"/>
      <w:r w:rsidRPr="00610FF2">
        <w:rPr>
          <w:rFonts w:cs="Arial"/>
          <w:i/>
          <w:sz w:val="22"/>
        </w:rPr>
        <w:t>masterplan</w:t>
      </w:r>
      <w:proofErr w:type="spellEnd"/>
      <w:r w:rsidRPr="00610FF2">
        <w:rPr>
          <w:rFonts w:cs="Arial"/>
          <w:i/>
          <w:sz w:val="22"/>
        </w:rPr>
        <w:t xml:space="preserve"> regionali, attualmente in fase di elaborazione proprio nelle regioni periferiche che hanno sul loro territorio degli impianti di risalita invernali sussidiati.</w:t>
      </w:r>
    </w:p>
    <w:p w:rsidR="00380CC1" w:rsidRPr="00610FF2" w:rsidRDefault="00380CC1" w:rsidP="00380CC1">
      <w:pPr>
        <w:rPr>
          <w:rFonts w:cs="Arial"/>
          <w:i/>
          <w:sz w:val="22"/>
        </w:rPr>
      </w:pPr>
      <w:r w:rsidRPr="00610FF2">
        <w:rPr>
          <w:rFonts w:cs="Arial"/>
          <w:i/>
          <w:sz w:val="22"/>
        </w:rPr>
        <w:t>È proprio con questo spirito che il tema della valorizzazione degli impianti di risalita è già stato contestualizzato (capitolo 3.5) nel programma d’attuazione della politica economica regionale 2016-2019.</w:t>
      </w:r>
    </w:p>
    <w:p w:rsidR="00380CC1" w:rsidRPr="00610FF2" w:rsidRDefault="00380CC1" w:rsidP="00380CC1">
      <w:pPr>
        <w:rPr>
          <w:rFonts w:cs="Arial"/>
          <w:i/>
          <w:sz w:val="18"/>
          <w:szCs w:val="18"/>
        </w:rPr>
      </w:pPr>
    </w:p>
    <w:p w:rsidR="00380CC1" w:rsidRPr="00610FF2" w:rsidRDefault="00380CC1" w:rsidP="00380CC1">
      <w:pPr>
        <w:rPr>
          <w:rFonts w:cs="Arial"/>
          <w:i/>
          <w:sz w:val="22"/>
        </w:rPr>
      </w:pPr>
      <w:r w:rsidRPr="00610FF2">
        <w:rPr>
          <w:rFonts w:cs="Arial"/>
          <w:i/>
          <w:sz w:val="22"/>
        </w:rPr>
        <w:t>La strategia sugli impianti di risalita cantonali si appoggia sui seguenti ambiti:</w:t>
      </w:r>
    </w:p>
    <w:p w:rsidR="00380CC1" w:rsidRPr="00610FF2" w:rsidRDefault="00380CC1" w:rsidP="00610FF2">
      <w:pPr>
        <w:pStyle w:val="Paragrafoelenco1"/>
        <w:numPr>
          <w:ilvl w:val="0"/>
          <w:numId w:val="5"/>
        </w:numPr>
        <w:spacing w:before="60"/>
        <w:ind w:left="284" w:hanging="284"/>
        <w:contextualSpacing w:val="0"/>
        <w:rPr>
          <w:rFonts w:cs="Arial"/>
          <w:i/>
          <w:sz w:val="22"/>
          <w:szCs w:val="22"/>
        </w:rPr>
      </w:pPr>
      <w:r w:rsidRPr="00610FF2">
        <w:rPr>
          <w:rFonts w:cs="Arial"/>
          <w:i/>
          <w:sz w:val="22"/>
          <w:szCs w:val="22"/>
        </w:rPr>
        <w:t>collaborazioni interaziendali (cap. 4.3.3);</w:t>
      </w:r>
    </w:p>
    <w:p w:rsidR="00380CC1" w:rsidRPr="00610FF2" w:rsidRDefault="00380CC1" w:rsidP="00610FF2">
      <w:pPr>
        <w:pStyle w:val="Paragrafoelenco1"/>
        <w:numPr>
          <w:ilvl w:val="0"/>
          <w:numId w:val="5"/>
        </w:numPr>
        <w:spacing w:before="60"/>
        <w:ind w:left="284" w:hanging="284"/>
        <w:contextualSpacing w:val="0"/>
        <w:rPr>
          <w:rFonts w:cs="Arial"/>
          <w:i/>
          <w:sz w:val="22"/>
          <w:szCs w:val="22"/>
        </w:rPr>
      </w:pPr>
      <w:r w:rsidRPr="00610FF2">
        <w:rPr>
          <w:rFonts w:cs="Arial"/>
          <w:i/>
          <w:sz w:val="22"/>
          <w:szCs w:val="22"/>
        </w:rPr>
        <w:t>valorizzazione e messa in scena della montagna nell'ottica di un prodotto turistico integrato (cap. 4.3.4);</w:t>
      </w:r>
    </w:p>
    <w:p w:rsidR="00380CC1" w:rsidRPr="00610FF2" w:rsidRDefault="00380CC1" w:rsidP="00610FF2">
      <w:pPr>
        <w:pStyle w:val="Paragrafoelenco1"/>
        <w:numPr>
          <w:ilvl w:val="0"/>
          <w:numId w:val="5"/>
        </w:numPr>
        <w:spacing w:before="60"/>
        <w:ind w:left="284" w:hanging="284"/>
        <w:contextualSpacing w:val="0"/>
        <w:rPr>
          <w:rFonts w:cs="Arial"/>
          <w:i/>
          <w:sz w:val="22"/>
          <w:szCs w:val="22"/>
        </w:rPr>
      </w:pPr>
      <w:r w:rsidRPr="00610FF2">
        <w:rPr>
          <w:rFonts w:cs="Arial"/>
          <w:i/>
          <w:sz w:val="22"/>
          <w:szCs w:val="22"/>
        </w:rPr>
        <w:t>posizionamento e sviluppo delle destinazioni (cap. 4.3.5);</w:t>
      </w:r>
    </w:p>
    <w:p w:rsidR="00380CC1" w:rsidRPr="00610FF2" w:rsidRDefault="00380CC1" w:rsidP="00610FF2">
      <w:pPr>
        <w:pStyle w:val="Paragrafoelenco1"/>
        <w:numPr>
          <w:ilvl w:val="0"/>
          <w:numId w:val="5"/>
        </w:numPr>
        <w:spacing w:before="60"/>
        <w:ind w:left="284" w:hanging="284"/>
        <w:contextualSpacing w:val="0"/>
        <w:rPr>
          <w:rFonts w:cs="Arial"/>
          <w:i/>
          <w:sz w:val="22"/>
          <w:szCs w:val="22"/>
        </w:rPr>
      </w:pPr>
      <w:r w:rsidRPr="00610FF2">
        <w:rPr>
          <w:rFonts w:cs="Arial"/>
          <w:i/>
          <w:sz w:val="22"/>
          <w:szCs w:val="22"/>
        </w:rPr>
        <w:t xml:space="preserve">riposizionamento delle regioni periferiche, tramite l’elaborazione di specifici </w:t>
      </w:r>
      <w:proofErr w:type="spellStart"/>
      <w:r w:rsidRPr="00610FF2">
        <w:rPr>
          <w:rFonts w:cs="Arial"/>
          <w:i/>
          <w:sz w:val="22"/>
          <w:szCs w:val="22"/>
        </w:rPr>
        <w:t>masterplan</w:t>
      </w:r>
      <w:proofErr w:type="spellEnd"/>
      <w:r w:rsidRPr="00610FF2">
        <w:rPr>
          <w:rFonts w:cs="Arial"/>
          <w:i/>
          <w:sz w:val="22"/>
          <w:szCs w:val="22"/>
        </w:rPr>
        <w:t xml:space="preserve"> (cap. 4.4).</w:t>
      </w:r>
    </w:p>
    <w:p w:rsidR="00380CC1" w:rsidRPr="00610FF2" w:rsidRDefault="00380CC1" w:rsidP="00380CC1">
      <w:pPr>
        <w:rPr>
          <w:rFonts w:cs="Arial"/>
          <w:i/>
          <w:sz w:val="18"/>
          <w:szCs w:val="18"/>
        </w:rPr>
      </w:pPr>
    </w:p>
    <w:p w:rsidR="00380CC1" w:rsidRPr="00610FF2" w:rsidRDefault="00380CC1" w:rsidP="00380CC1">
      <w:pPr>
        <w:rPr>
          <w:rFonts w:cs="Arial"/>
          <w:i/>
          <w:sz w:val="22"/>
        </w:rPr>
      </w:pPr>
      <w:r w:rsidRPr="00610FF2">
        <w:rPr>
          <w:rFonts w:cs="Arial"/>
          <w:i/>
          <w:sz w:val="22"/>
        </w:rPr>
        <w:t xml:space="preserve">Questa strategia rientra in un quadro di riferimento chiaro che, grazie alla politica economica regionale 2016-2019, può sostenere lo sviluppo della cosiddetta “messa in scena della montagna”, con l’obiettivo finale di creare un </w:t>
      </w:r>
      <w:r w:rsidRPr="00610FF2">
        <w:rPr>
          <w:rFonts w:cs="Arial"/>
          <w:b/>
          <w:i/>
          <w:sz w:val="22"/>
        </w:rPr>
        <w:t>“prodotto montagna”</w:t>
      </w:r>
      <w:r w:rsidRPr="00610FF2">
        <w:rPr>
          <w:rFonts w:cs="Arial"/>
          <w:i/>
          <w:sz w:val="22"/>
        </w:rPr>
        <w:t xml:space="preserve"> che possa essere promosso come eccellenza del nostro territorio sul mercato nazionale e internazionale, con un suo chiaro posizionamento. </w:t>
      </w:r>
    </w:p>
    <w:p w:rsidR="00380CC1" w:rsidRPr="00610FF2" w:rsidRDefault="00380CC1" w:rsidP="00380CC1">
      <w:pPr>
        <w:pStyle w:val="Paragrafoelenco1"/>
        <w:ind w:left="0"/>
        <w:rPr>
          <w:rFonts w:cs="Arial"/>
          <w:i/>
          <w:sz w:val="18"/>
          <w:szCs w:val="18"/>
        </w:rPr>
      </w:pPr>
      <w:r w:rsidRPr="00610FF2">
        <w:rPr>
          <w:rFonts w:cs="Arial"/>
          <w:i/>
          <w:sz w:val="22"/>
          <w:szCs w:val="22"/>
        </w:rPr>
        <w:t>…</w:t>
      </w:r>
    </w:p>
    <w:p w:rsidR="00380CC1" w:rsidRPr="00610FF2" w:rsidRDefault="00380CC1" w:rsidP="00380CC1">
      <w:pPr>
        <w:rPr>
          <w:rFonts w:cs="Arial"/>
          <w:i/>
          <w:sz w:val="22"/>
        </w:rPr>
      </w:pPr>
      <w:r w:rsidRPr="00610FF2">
        <w:rPr>
          <w:rFonts w:cs="Arial"/>
          <w:i/>
          <w:sz w:val="22"/>
        </w:rPr>
        <w:t>Concludendo occorre rilevare che le premesse per rilanciare le regioni periferiche e per valorizzare la montagna sono state poste, mentre la valorizzazione degli impianti di risalita potrà avvenire unicamente attraverso la messa in rete di tutta l’offerta legata alla montagna. Nel contempo va sottolineata nuovamente la necessità di integrare le collaborazioni interaziendali nell’elaborazione del piano aziendale e finanziario dei singoli impianti di risalita.</w:t>
      </w:r>
    </w:p>
    <w:p w:rsidR="00380CC1" w:rsidRPr="00F316EB" w:rsidRDefault="00380CC1" w:rsidP="00380CC1">
      <w:pPr>
        <w:pStyle w:val="Paragrafoelenco1"/>
        <w:ind w:left="0"/>
        <w:rPr>
          <w:rFonts w:cs="Arial"/>
        </w:rPr>
      </w:pPr>
    </w:p>
    <w:p w:rsidR="00380CC1" w:rsidRPr="00F316EB" w:rsidRDefault="00380CC1" w:rsidP="00380CC1">
      <w:pPr>
        <w:pStyle w:val="Paragrafoelenco1"/>
        <w:ind w:left="0"/>
        <w:rPr>
          <w:rFonts w:cs="Arial"/>
        </w:rPr>
      </w:pPr>
      <w:r w:rsidRPr="00F316EB">
        <w:rPr>
          <w:rFonts w:cs="Arial"/>
        </w:rPr>
        <w:t xml:space="preserve">Alla Commissione sembra particolarmente interessante sottolineare la condivisione di un’impostazione strategica del settore che possa dare le indispensabili rassicurazioni in merito ad un impiego efficace ed efficienze delle risorse richieste. </w:t>
      </w:r>
    </w:p>
    <w:p w:rsidR="00380CC1" w:rsidRPr="00F316EB" w:rsidRDefault="00380CC1" w:rsidP="00380CC1">
      <w:pPr>
        <w:pStyle w:val="Paragrafoelenco1"/>
        <w:ind w:left="0"/>
        <w:rPr>
          <w:rFonts w:cs="Arial"/>
        </w:rPr>
      </w:pPr>
      <w:r w:rsidRPr="00F316EB">
        <w:rPr>
          <w:rFonts w:cs="Arial"/>
        </w:rPr>
        <w:t xml:space="preserve">Con il “prodotto montagna” si intende superare il ragionamento limitato alla sola stagione invernale estendendo la visione ad un approccio che privilegia un prodotto che tenga conto della possibile offerta sulle quattro stagioni. Oggi diventa sempre più importante da un lato educare i giovani alla montagna e dall’altro attrarre la popolazione per l’insieme che la montagna sa offrire grazie alle sue diverse peculiarità come le innumerevoli attività sportive, ricreative, culinarie e culturali. </w:t>
      </w:r>
    </w:p>
    <w:p w:rsidR="00380CC1" w:rsidRPr="00F316EB" w:rsidRDefault="00380CC1" w:rsidP="00380CC1">
      <w:pPr>
        <w:pStyle w:val="Paragrafoelenco1"/>
        <w:ind w:left="0"/>
        <w:rPr>
          <w:rFonts w:cs="Arial"/>
        </w:rPr>
      </w:pPr>
    </w:p>
    <w:p w:rsidR="00380CC1" w:rsidRDefault="00380CC1" w:rsidP="00380CC1">
      <w:pPr>
        <w:pStyle w:val="Paragrafoelenco1"/>
        <w:ind w:left="0"/>
        <w:rPr>
          <w:rFonts w:cs="Arial"/>
        </w:rPr>
      </w:pPr>
      <w:r w:rsidRPr="00F316EB">
        <w:rPr>
          <w:rFonts w:cs="Arial"/>
        </w:rPr>
        <w:t>Infine rimane evidente la necessità da parte del Cantone di attuare un sistema di monitoraggio affinché possa essere possibile verificare l’attuazione dei progetti pianificati.</w:t>
      </w:r>
    </w:p>
    <w:p w:rsidR="00610FF2" w:rsidRDefault="00610FF2" w:rsidP="00380CC1">
      <w:pPr>
        <w:pStyle w:val="Paragrafoelenco1"/>
        <w:ind w:left="0"/>
        <w:rPr>
          <w:rFonts w:cs="Arial"/>
        </w:rPr>
      </w:pPr>
    </w:p>
    <w:p w:rsidR="00610FF2" w:rsidRPr="00F316EB" w:rsidRDefault="00610FF2" w:rsidP="00380CC1">
      <w:pPr>
        <w:pStyle w:val="Paragrafoelenco1"/>
        <w:ind w:left="0"/>
        <w:rPr>
          <w:rFonts w:cs="Arial"/>
        </w:rPr>
      </w:pPr>
    </w:p>
    <w:p w:rsidR="00380CC1" w:rsidRPr="00F316EB" w:rsidRDefault="00380CC1" w:rsidP="002A5A52">
      <w:pPr>
        <w:pStyle w:val="Titolo1"/>
      </w:pPr>
      <w:r w:rsidRPr="00F316EB">
        <w:t>Turismo e sport invernali</w:t>
      </w:r>
    </w:p>
    <w:p w:rsidR="00380CC1" w:rsidRPr="00F316EB" w:rsidRDefault="00380CC1" w:rsidP="00380CC1">
      <w:pPr>
        <w:pStyle w:val="Paragrafoelenco1"/>
        <w:ind w:left="0"/>
        <w:rPr>
          <w:rFonts w:cs="Arial"/>
        </w:rPr>
      </w:pPr>
      <w:r w:rsidRPr="00F316EB">
        <w:rPr>
          <w:rFonts w:cs="Arial"/>
        </w:rPr>
        <w:t>In Svizzera gli sport della neve hanno storicamente una grande importanza economica. Bast</w:t>
      </w:r>
      <w:r w:rsidR="00610FF2">
        <w:rPr>
          <w:rFonts w:cs="Arial"/>
        </w:rPr>
        <w:t>a</w:t>
      </w:r>
      <w:r w:rsidRPr="00F316EB">
        <w:rPr>
          <w:rFonts w:cs="Arial"/>
        </w:rPr>
        <w:t xml:space="preserve"> una visita alla recente mostra sulla cartellonistica turistica allestita a Castelgrande di Bellinzona nell’occasione del centenario di Svizzera Turismo. </w:t>
      </w:r>
    </w:p>
    <w:p w:rsidR="00380CC1" w:rsidRPr="00F316EB" w:rsidRDefault="00380CC1" w:rsidP="00380CC1">
      <w:pPr>
        <w:pStyle w:val="Paragrafoelenco1"/>
        <w:ind w:left="0"/>
        <w:rPr>
          <w:rFonts w:cs="Arial"/>
        </w:rPr>
      </w:pPr>
      <w:r w:rsidRPr="00F316EB">
        <w:rPr>
          <w:rFonts w:cs="Arial"/>
        </w:rPr>
        <w:lastRenderedPageBreak/>
        <w:t xml:space="preserve">Ma negli ultimi anni si va delineando però una preoccupante tendenza a un sempre minore interesse alla pratica degli sport invernali, soprattutto fra le giovani generazioni. Nello specifico la progressiva riduzione del numero di settimane bianche organizzate dalle scuole ha destato molta preoccupazione negli attori coinvolti. Per far fronte a tale tendenza un'alleanza che raggruppa istanze che rappresentano sport, turismo, formazione e amministrazione ha creato </w:t>
      </w:r>
      <w:hyperlink r:id="rId9" w:tgtFrame="_blank" w:tooltip="http://www.schneesportinitiative.ch/fr/" w:history="1">
        <w:r w:rsidRPr="00F316EB">
          <w:rPr>
            <w:rFonts w:cs="Arial"/>
          </w:rPr>
          <w:t>un’associazione per un'iniziativa</w:t>
        </w:r>
      </w:hyperlink>
      <w:r w:rsidRPr="00F316EB">
        <w:rPr>
          <w:rFonts w:cs="Arial"/>
        </w:rPr>
        <w:t xml:space="preserve"> per gli sport della neve con cui si vuole contribuire a riportare un numero crescente di bambini e giovani sulle piste (“</w:t>
      </w:r>
      <w:hyperlink r:id="rId10" w:history="1">
        <w:r w:rsidRPr="00E274D8">
          <w:rPr>
            <w:rStyle w:val="Collegamentoipertestuale"/>
            <w:rFonts w:cs="Arial"/>
          </w:rPr>
          <w:t>Iniziativa per gl</w:t>
        </w:r>
        <w:r w:rsidR="00610FF2" w:rsidRPr="00E274D8">
          <w:rPr>
            <w:rStyle w:val="Collegamentoipertestuale"/>
            <w:rFonts w:cs="Arial"/>
          </w:rPr>
          <w:t>i sport sulla Neve in Svizzera</w:t>
        </w:r>
      </w:hyperlink>
      <w:r w:rsidR="00610FF2">
        <w:rPr>
          <w:rFonts w:cs="Arial"/>
        </w:rPr>
        <w:t>”</w:t>
      </w:r>
      <w:r w:rsidR="00E274D8">
        <w:rPr>
          <w:rFonts w:cs="Arial"/>
        </w:rPr>
        <w:t>)</w:t>
      </w:r>
      <w:r w:rsidR="00F56D78">
        <w:rPr>
          <w:rFonts w:cs="Arial"/>
        </w:rPr>
        <w:t>.</w:t>
      </w:r>
    </w:p>
    <w:p w:rsidR="00380CC1" w:rsidRPr="00F316EB" w:rsidRDefault="00380CC1" w:rsidP="00380CC1">
      <w:pPr>
        <w:pStyle w:val="Paragrafoelenco1"/>
        <w:ind w:left="0"/>
        <w:rPr>
          <w:rFonts w:cs="Arial"/>
        </w:rPr>
      </w:pPr>
      <w:r w:rsidRPr="00F316EB">
        <w:rPr>
          <w:rFonts w:cs="Arial"/>
        </w:rPr>
        <w:t xml:space="preserve">La stessa iniziativa è stata oggetto di discussione nel parlamento federale. Con l’approvazione della mozione de </w:t>
      </w:r>
      <w:proofErr w:type="spellStart"/>
      <w:r w:rsidRPr="00F316EB">
        <w:rPr>
          <w:rFonts w:cs="Arial"/>
        </w:rPr>
        <w:t>Buman</w:t>
      </w:r>
      <w:proofErr w:type="spellEnd"/>
      <w:r w:rsidRPr="00F316EB">
        <w:rPr>
          <w:rFonts w:cs="Arial"/>
        </w:rPr>
        <w:t xml:space="preserve"> è stato deciso di sostenere un’offensiva a favore degli sport della neve condividendo il principio secondo cui la popolazione dovrebbe praticare maggiormente gli sport della neve. </w:t>
      </w:r>
    </w:p>
    <w:p w:rsidR="00380CC1" w:rsidRPr="00F316EB" w:rsidRDefault="00380CC1" w:rsidP="00380CC1">
      <w:pPr>
        <w:pStyle w:val="Paragrafoelenco1"/>
        <w:ind w:left="0"/>
        <w:rPr>
          <w:rFonts w:cs="Arial"/>
        </w:rPr>
      </w:pPr>
    </w:p>
    <w:p w:rsidR="00380CC1" w:rsidRPr="00F316EB" w:rsidRDefault="00380CC1" w:rsidP="00380CC1">
      <w:pPr>
        <w:pStyle w:val="Paragrafoelenco1"/>
        <w:ind w:left="0"/>
        <w:rPr>
          <w:rFonts w:cs="Arial"/>
        </w:rPr>
      </w:pPr>
    </w:p>
    <w:p w:rsidR="00380CC1" w:rsidRPr="00F316EB" w:rsidRDefault="00380CC1" w:rsidP="002A5A52">
      <w:pPr>
        <w:pStyle w:val="Titolo1"/>
      </w:pPr>
      <w:r w:rsidRPr="00F316EB">
        <w:t>Il credito quadro</w:t>
      </w:r>
    </w:p>
    <w:p w:rsidR="00380CC1" w:rsidRPr="00E274D8" w:rsidRDefault="00380CC1" w:rsidP="00380CC1">
      <w:pPr>
        <w:autoSpaceDE w:val="0"/>
        <w:autoSpaceDN w:val="0"/>
        <w:adjustRightInd w:val="0"/>
        <w:rPr>
          <w:rFonts w:cs="Arial"/>
          <w:i/>
          <w:sz w:val="22"/>
        </w:rPr>
      </w:pPr>
      <w:r w:rsidRPr="00E274D8">
        <w:rPr>
          <w:rFonts w:cs="Arial"/>
          <w:i/>
          <w:sz w:val="22"/>
        </w:rPr>
        <w:t>A seguito delle riflessioni fatte dal gruppo di lavoro sulla strategia impianti di risalita invernale e alla luce dei risultati dell’ultimo studio sull’importanza economica e turistica degli impianti di risalita sussidiati, sono stati elaborati - sulla base delle informazioni fornite dai proprietari e dai gerenti delle stazioni - gli scenari finanziari dalla stagione attuale (2016/17) fino alla stagione 2020/21, partendo dal presupposto che sia l’entità complessiva così come la suddivisione dei contributi cantonali restino sostanzialmente identiche anche per le prossime quattro stagioni (dal 2017/18 al 2020/21).</w:t>
      </w:r>
    </w:p>
    <w:p w:rsidR="00380CC1" w:rsidRPr="00E274D8" w:rsidRDefault="00380CC1" w:rsidP="00380CC1">
      <w:pPr>
        <w:autoSpaceDE w:val="0"/>
        <w:autoSpaceDN w:val="0"/>
        <w:adjustRightInd w:val="0"/>
        <w:rPr>
          <w:rFonts w:cs="Arial"/>
          <w:i/>
          <w:sz w:val="22"/>
        </w:rPr>
      </w:pPr>
    </w:p>
    <w:p w:rsidR="00380CC1" w:rsidRPr="00E274D8" w:rsidRDefault="00380CC1" w:rsidP="00380CC1">
      <w:pPr>
        <w:autoSpaceDE w:val="0"/>
        <w:autoSpaceDN w:val="0"/>
        <w:adjustRightInd w:val="0"/>
        <w:rPr>
          <w:rFonts w:cs="Arial"/>
          <w:bCs/>
          <w:i/>
          <w:sz w:val="22"/>
        </w:rPr>
      </w:pPr>
      <w:r w:rsidRPr="00E274D8">
        <w:rPr>
          <w:rFonts w:cs="Arial"/>
          <w:bCs/>
          <w:i/>
          <w:sz w:val="22"/>
        </w:rPr>
        <w:t>I capitoli seguenti riportano uno scenario realistico e condiviso di come potrebbero evolvere, nel corso dei prossimi anni (fino alla stagione 2020/21), le situazioni finanziarie delle società. Queste previsioni, oltre a tener conto dei risultati derivanti dall’attività corrente, prendono pure in considerazione gli investimenti che si prevede potrebbero essere eseguiti nel corso di questi anni, come anche gli impegni finanziari a cui le società saranno chiamate a far fronte durante lo stesso periodo.</w:t>
      </w:r>
    </w:p>
    <w:p w:rsidR="00380CC1" w:rsidRPr="00E274D8" w:rsidRDefault="00380CC1" w:rsidP="00380CC1">
      <w:pPr>
        <w:autoSpaceDE w:val="0"/>
        <w:autoSpaceDN w:val="0"/>
        <w:adjustRightInd w:val="0"/>
        <w:rPr>
          <w:rFonts w:cs="Arial"/>
          <w:bCs/>
          <w:i/>
          <w:sz w:val="22"/>
        </w:rPr>
      </w:pPr>
    </w:p>
    <w:p w:rsidR="00380CC1" w:rsidRPr="00E274D8" w:rsidRDefault="00380CC1" w:rsidP="00380CC1">
      <w:pPr>
        <w:autoSpaceDE w:val="0"/>
        <w:autoSpaceDN w:val="0"/>
        <w:adjustRightInd w:val="0"/>
        <w:rPr>
          <w:rFonts w:cs="Arial"/>
          <w:bCs/>
          <w:i/>
          <w:sz w:val="22"/>
        </w:rPr>
      </w:pPr>
      <w:r w:rsidRPr="00E274D8">
        <w:rPr>
          <w:rFonts w:cs="Arial"/>
          <w:bCs/>
          <w:i/>
          <w:sz w:val="22"/>
        </w:rPr>
        <w:t xml:space="preserve">I risultati di questi scenari, che sono stati allestiti mantenendo una certa prudenza nell’elaborazione dei dati, sono presentati, dapprima complessivamente e poi singolarmente. </w:t>
      </w:r>
    </w:p>
    <w:p w:rsidR="00380CC1" w:rsidRPr="00F316EB" w:rsidRDefault="00380CC1" w:rsidP="00380CC1">
      <w:pPr>
        <w:autoSpaceDE w:val="0"/>
        <w:autoSpaceDN w:val="0"/>
        <w:adjustRightInd w:val="0"/>
        <w:rPr>
          <w:rFonts w:cs="Arial"/>
          <w:bCs/>
        </w:rPr>
      </w:pPr>
    </w:p>
    <w:p w:rsidR="00380CC1" w:rsidRPr="00F316EB" w:rsidRDefault="00380CC1" w:rsidP="00380CC1">
      <w:pPr>
        <w:pStyle w:val="Titolo2"/>
        <w:keepLines/>
        <w:tabs>
          <w:tab w:val="left" w:pos="708"/>
        </w:tabs>
      </w:pPr>
      <w:bookmarkStart w:id="1" w:name="_Toc486407482"/>
      <w:bookmarkStart w:id="2" w:name="_Toc485131896"/>
      <w:r w:rsidRPr="00F316EB">
        <w:t>Visione generale delle cinque stazioni</w:t>
      </w:r>
      <w:bookmarkEnd w:id="1"/>
      <w:bookmarkEnd w:id="2"/>
    </w:p>
    <w:p w:rsidR="00380CC1" w:rsidRPr="00F316EB" w:rsidRDefault="00380CC1" w:rsidP="00380CC1">
      <w:pPr>
        <w:rPr>
          <w:rFonts w:cs="Arial"/>
          <w:sz w:val="12"/>
          <w:szCs w:val="12"/>
        </w:rPr>
      </w:pPr>
    </w:p>
    <w:tbl>
      <w:tblPr>
        <w:tblW w:w="9639" w:type="dxa"/>
        <w:tblInd w:w="70" w:type="dxa"/>
        <w:tblCellMar>
          <w:left w:w="70" w:type="dxa"/>
          <w:right w:w="70" w:type="dxa"/>
        </w:tblCellMar>
        <w:tblLook w:val="00A0" w:firstRow="1" w:lastRow="0" w:firstColumn="1" w:lastColumn="0" w:noHBand="0" w:noVBand="0"/>
      </w:tblPr>
      <w:tblGrid>
        <w:gridCol w:w="4253"/>
        <w:gridCol w:w="1154"/>
        <w:gridCol w:w="1030"/>
        <w:gridCol w:w="1134"/>
        <w:gridCol w:w="1134"/>
        <w:gridCol w:w="992"/>
      </w:tblGrid>
      <w:tr w:rsidR="00380CC1" w:rsidRPr="00F316EB" w:rsidTr="00793558">
        <w:trPr>
          <w:trHeight w:val="255"/>
        </w:trPr>
        <w:tc>
          <w:tcPr>
            <w:tcW w:w="4253" w:type="dxa"/>
            <w:noWrap/>
            <w:vAlign w:val="bottom"/>
          </w:tcPr>
          <w:p w:rsidR="00380CC1" w:rsidRPr="00F316EB" w:rsidRDefault="00380CC1" w:rsidP="00793558">
            <w:pPr>
              <w:rPr>
                <w:rFonts w:cs="Arial"/>
                <w:b/>
                <w:bCs/>
                <w:sz w:val="16"/>
                <w:szCs w:val="16"/>
              </w:rPr>
            </w:pPr>
            <w:r w:rsidRPr="00F316EB">
              <w:rPr>
                <w:rFonts w:cs="Arial"/>
                <w:b/>
                <w:bCs/>
                <w:sz w:val="16"/>
                <w:szCs w:val="16"/>
              </w:rPr>
              <w:t>Conto Economico</w:t>
            </w:r>
          </w:p>
        </w:tc>
        <w:tc>
          <w:tcPr>
            <w:tcW w:w="1096" w:type="dxa"/>
            <w:noWrap/>
            <w:vAlign w:val="bottom"/>
          </w:tcPr>
          <w:p w:rsidR="00380CC1" w:rsidRPr="00F316EB" w:rsidRDefault="00380CC1" w:rsidP="00793558">
            <w:pPr>
              <w:rPr>
                <w:rFonts w:cs="Arial"/>
                <w:b/>
                <w:bCs/>
                <w:sz w:val="16"/>
                <w:szCs w:val="16"/>
              </w:rPr>
            </w:pPr>
          </w:p>
        </w:tc>
        <w:tc>
          <w:tcPr>
            <w:tcW w:w="1030" w:type="dxa"/>
            <w:noWrap/>
            <w:vAlign w:val="bottom"/>
          </w:tcPr>
          <w:p w:rsidR="00380CC1" w:rsidRPr="00F316EB" w:rsidRDefault="00380CC1" w:rsidP="00793558">
            <w:pPr>
              <w:rPr>
                <w:rFonts w:cs="Arial"/>
                <w:sz w:val="20"/>
              </w:rPr>
            </w:pPr>
          </w:p>
        </w:tc>
        <w:tc>
          <w:tcPr>
            <w:tcW w:w="1134" w:type="dxa"/>
            <w:noWrap/>
            <w:vAlign w:val="bottom"/>
          </w:tcPr>
          <w:p w:rsidR="00380CC1" w:rsidRPr="00F316EB" w:rsidRDefault="00380CC1" w:rsidP="00793558">
            <w:pPr>
              <w:rPr>
                <w:rFonts w:cs="Arial"/>
                <w:sz w:val="20"/>
              </w:rPr>
            </w:pPr>
          </w:p>
        </w:tc>
        <w:tc>
          <w:tcPr>
            <w:tcW w:w="1134" w:type="dxa"/>
            <w:noWrap/>
            <w:vAlign w:val="bottom"/>
          </w:tcPr>
          <w:p w:rsidR="00380CC1" w:rsidRPr="00F316EB" w:rsidRDefault="00380CC1" w:rsidP="00793558">
            <w:pPr>
              <w:rPr>
                <w:rFonts w:cs="Arial"/>
                <w:sz w:val="20"/>
              </w:rPr>
            </w:pPr>
          </w:p>
        </w:tc>
        <w:tc>
          <w:tcPr>
            <w:tcW w:w="992" w:type="dxa"/>
            <w:noWrap/>
            <w:vAlign w:val="bottom"/>
          </w:tcPr>
          <w:p w:rsidR="00380CC1" w:rsidRPr="00F316EB" w:rsidRDefault="00380CC1" w:rsidP="00793558">
            <w:pPr>
              <w:rPr>
                <w:rFonts w:cs="Arial"/>
                <w:sz w:val="20"/>
              </w:rPr>
            </w:pPr>
          </w:p>
        </w:tc>
      </w:tr>
      <w:tr w:rsidR="00380CC1" w:rsidRPr="00F316EB" w:rsidTr="00793558">
        <w:trPr>
          <w:trHeight w:val="255"/>
        </w:trPr>
        <w:tc>
          <w:tcPr>
            <w:tcW w:w="4253" w:type="dxa"/>
            <w:noWrap/>
            <w:vAlign w:val="bottom"/>
          </w:tcPr>
          <w:p w:rsidR="00380CC1" w:rsidRPr="00F316EB" w:rsidRDefault="00380CC1" w:rsidP="00793558">
            <w:pPr>
              <w:rPr>
                <w:rFonts w:cs="Arial"/>
                <w:sz w:val="20"/>
              </w:rPr>
            </w:pPr>
          </w:p>
        </w:tc>
        <w:tc>
          <w:tcPr>
            <w:tcW w:w="1096" w:type="dxa"/>
            <w:noWrap/>
            <w:vAlign w:val="bottom"/>
          </w:tcPr>
          <w:p w:rsidR="00380CC1" w:rsidRPr="00F316EB" w:rsidRDefault="00380CC1" w:rsidP="00793558">
            <w:pPr>
              <w:rPr>
                <w:rFonts w:cs="Arial"/>
                <w:sz w:val="20"/>
              </w:rPr>
            </w:pPr>
          </w:p>
        </w:tc>
        <w:tc>
          <w:tcPr>
            <w:tcW w:w="1030" w:type="dxa"/>
            <w:noWrap/>
            <w:vAlign w:val="bottom"/>
          </w:tcPr>
          <w:p w:rsidR="00380CC1" w:rsidRPr="00F316EB" w:rsidRDefault="00380CC1" w:rsidP="00793558">
            <w:pPr>
              <w:rPr>
                <w:rFonts w:cs="Arial"/>
                <w:sz w:val="20"/>
              </w:rPr>
            </w:pPr>
          </w:p>
        </w:tc>
        <w:tc>
          <w:tcPr>
            <w:tcW w:w="1134" w:type="dxa"/>
            <w:noWrap/>
            <w:vAlign w:val="bottom"/>
          </w:tcPr>
          <w:p w:rsidR="00380CC1" w:rsidRPr="00F316EB" w:rsidRDefault="00380CC1" w:rsidP="00793558">
            <w:pPr>
              <w:rPr>
                <w:rFonts w:cs="Arial"/>
                <w:sz w:val="20"/>
              </w:rPr>
            </w:pPr>
          </w:p>
        </w:tc>
        <w:tc>
          <w:tcPr>
            <w:tcW w:w="1134" w:type="dxa"/>
            <w:noWrap/>
            <w:vAlign w:val="bottom"/>
          </w:tcPr>
          <w:p w:rsidR="00380CC1" w:rsidRPr="00F316EB" w:rsidRDefault="00380CC1" w:rsidP="00793558">
            <w:pPr>
              <w:rPr>
                <w:rFonts w:cs="Arial"/>
                <w:sz w:val="20"/>
              </w:rPr>
            </w:pPr>
          </w:p>
        </w:tc>
        <w:tc>
          <w:tcPr>
            <w:tcW w:w="992" w:type="dxa"/>
            <w:noWrap/>
            <w:vAlign w:val="bottom"/>
          </w:tcPr>
          <w:p w:rsidR="00380CC1" w:rsidRPr="00F316EB" w:rsidRDefault="00380CC1" w:rsidP="00793558">
            <w:pPr>
              <w:rPr>
                <w:rFonts w:cs="Arial"/>
                <w:sz w:val="20"/>
              </w:rPr>
            </w:pPr>
          </w:p>
        </w:tc>
      </w:tr>
      <w:tr w:rsidR="00380CC1" w:rsidRPr="00F316EB" w:rsidTr="00793558">
        <w:trPr>
          <w:trHeight w:val="255"/>
        </w:trPr>
        <w:tc>
          <w:tcPr>
            <w:tcW w:w="4253" w:type="dxa"/>
            <w:noWrap/>
            <w:vAlign w:val="bottom"/>
          </w:tcPr>
          <w:p w:rsidR="00380CC1" w:rsidRPr="00F316EB" w:rsidRDefault="00380CC1" w:rsidP="00793558">
            <w:pPr>
              <w:rPr>
                <w:rFonts w:cs="Arial"/>
                <w:sz w:val="20"/>
              </w:rPr>
            </w:pPr>
          </w:p>
        </w:tc>
        <w:tc>
          <w:tcPr>
            <w:tcW w:w="1096" w:type="dxa"/>
            <w:noWrap/>
            <w:vAlign w:val="bottom"/>
          </w:tcPr>
          <w:p w:rsidR="00380CC1" w:rsidRPr="00F316EB" w:rsidRDefault="00380CC1" w:rsidP="00793558">
            <w:pPr>
              <w:rPr>
                <w:rFonts w:cs="Arial"/>
                <w:sz w:val="16"/>
                <w:szCs w:val="16"/>
              </w:rPr>
            </w:pPr>
            <w:r w:rsidRPr="00F316EB">
              <w:rPr>
                <w:rFonts w:cs="Arial"/>
                <w:sz w:val="16"/>
                <w:szCs w:val="16"/>
              </w:rPr>
              <w:t>2016/2017</w:t>
            </w:r>
          </w:p>
        </w:tc>
        <w:tc>
          <w:tcPr>
            <w:tcW w:w="1030" w:type="dxa"/>
            <w:noWrap/>
            <w:vAlign w:val="bottom"/>
          </w:tcPr>
          <w:p w:rsidR="00380CC1" w:rsidRPr="00F316EB" w:rsidRDefault="00380CC1" w:rsidP="00793558">
            <w:pPr>
              <w:rPr>
                <w:rFonts w:cs="Arial"/>
                <w:sz w:val="16"/>
                <w:szCs w:val="16"/>
              </w:rPr>
            </w:pPr>
            <w:r w:rsidRPr="00F316EB">
              <w:rPr>
                <w:rFonts w:cs="Arial"/>
                <w:sz w:val="16"/>
                <w:szCs w:val="16"/>
              </w:rPr>
              <w:t>2017/2018</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2018/2019</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2019/2020</w:t>
            </w:r>
          </w:p>
        </w:tc>
        <w:tc>
          <w:tcPr>
            <w:tcW w:w="992" w:type="dxa"/>
            <w:noWrap/>
            <w:vAlign w:val="bottom"/>
          </w:tcPr>
          <w:p w:rsidR="00380CC1" w:rsidRPr="00F316EB" w:rsidRDefault="00380CC1" w:rsidP="00793558">
            <w:pPr>
              <w:rPr>
                <w:rFonts w:cs="Arial"/>
                <w:sz w:val="16"/>
                <w:szCs w:val="16"/>
              </w:rPr>
            </w:pPr>
            <w:r w:rsidRPr="00F316EB">
              <w:rPr>
                <w:rFonts w:cs="Arial"/>
                <w:sz w:val="16"/>
                <w:szCs w:val="16"/>
              </w:rPr>
              <w:t>2020/2021</w:t>
            </w:r>
          </w:p>
        </w:tc>
      </w:tr>
      <w:tr w:rsidR="00380CC1" w:rsidRPr="00F316EB" w:rsidTr="00793558">
        <w:trPr>
          <w:trHeight w:val="255"/>
        </w:trPr>
        <w:tc>
          <w:tcPr>
            <w:tcW w:w="4253" w:type="dxa"/>
            <w:noWrap/>
            <w:vAlign w:val="bottom"/>
          </w:tcPr>
          <w:p w:rsidR="00380CC1" w:rsidRPr="00F316EB" w:rsidRDefault="00380CC1" w:rsidP="00793558">
            <w:pPr>
              <w:rPr>
                <w:rFonts w:cs="Arial"/>
                <w:sz w:val="16"/>
                <w:szCs w:val="16"/>
              </w:rPr>
            </w:pPr>
          </w:p>
        </w:tc>
        <w:tc>
          <w:tcPr>
            <w:tcW w:w="1096" w:type="dxa"/>
            <w:noWrap/>
            <w:vAlign w:val="bottom"/>
          </w:tcPr>
          <w:p w:rsidR="00380CC1" w:rsidRPr="00F316EB" w:rsidRDefault="00380CC1" w:rsidP="00793558">
            <w:pPr>
              <w:rPr>
                <w:rFonts w:cs="Arial"/>
                <w:sz w:val="16"/>
                <w:szCs w:val="16"/>
              </w:rPr>
            </w:pPr>
            <w:r w:rsidRPr="00F316EB">
              <w:rPr>
                <w:rFonts w:cs="Arial"/>
                <w:sz w:val="16"/>
                <w:szCs w:val="16"/>
              </w:rPr>
              <w:t>Preconsuntivo</w:t>
            </w:r>
          </w:p>
        </w:tc>
        <w:tc>
          <w:tcPr>
            <w:tcW w:w="1030" w:type="dxa"/>
            <w:noWrap/>
            <w:vAlign w:val="bottom"/>
          </w:tcPr>
          <w:p w:rsidR="00380CC1" w:rsidRPr="00F316EB" w:rsidRDefault="00380CC1" w:rsidP="00793558">
            <w:pPr>
              <w:rPr>
                <w:rFonts w:cs="Arial"/>
                <w:sz w:val="16"/>
                <w:szCs w:val="16"/>
              </w:rPr>
            </w:pPr>
            <w:r w:rsidRPr="00F316EB">
              <w:rPr>
                <w:rFonts w:cs="Arial"/>
                <w:sz w:val="16"/>
                <w:szCs w:val="16"/>
              </w:rPr>
              <w:t>Preventivo</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Preventivo</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Preventivo</w:t>
            </w:r>
          </w:p>
        </w:tc>
        <w:tc>
          <w:tcPr>
            <w:tcW w:w="992" w:type="dxa"/>
            <w:noWrap/>
            <w:vAlign w:val="bottom"/>
          </w:tcPr>
          <w:p w:rsidR="00380CC1" w:rsidRPr="00F316EB" w:rsidRDefault="00380CC1" w:rsidP="00793558">
            <w:pPr>
              <w:rPr>
                <w:rFonts w:cs="Arial"/>
                <w:sz w:val="16"/>
                <w:szCs w:val="16"/>
              </w:rPr>
            </w:pPr>
            <w:r w:rsidRPr="00F316EB">
              <w:rPr>
                <w:rFonts w:cs="Arial"/>
                <w:sz w:val="16"/>
                <w:szCs w:val="16"/>
              </w:rPr>
              <w:t>Preventivo</w:t>
            </w:r>
          </w:p>
        </w:tc>
      </w:tr>
      <w:tr w:rsidR="00380CC1" w:rsidRPr="00F316EB" w:rsidTr="00793558">
        <w:trPr>
          <w:trHeight w:val="255"/>
        </w:trPr>
        <w:tc>
          <w:tcPr>
            <w:tcW w:w="4253"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Ricavi complessivi</w:t>
            </w:r>
          </w:p>
        </w:tc>
        <w:tc>
          <w:tcPr>
            <w:tcW w:w="1096"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3'918'173</w:t>
            </w:r>
          </w:p>
        </w:tc>
        <w:tc>
          <w:tcPr>
            <w:tcW w:w="1030"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5'266'234</w:t>
            </w:r>
          </w:p>
        </w:tc>
        <w:tc>
          <w:tcPr>
            <w:tcW w:w="1134"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5'596'203</w:t>
            </w:r>
          </w:p>
        </w:tc>
        <w:tc>
          <w:tcPr>
            <w:tcW w:w="1134"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5'728'227</w:t>
            </w:r>
          </w:p>
        </w:tc>
        <w:tc>
          <w:tcPr>
            <w:tcW w:w="992"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5'815'104</w:t>
            </w:r>
          </w:p>
        </w:tc>
      </w:tr>
      <w:tr w:rsidR="00380CC1" w:rsidRPr="00F316EB" w:rsidTr="00793558">
        <w:trPr>
          <w:trHeight w:val="255"/>
        </w:trPr>
        <w:tc>
          <w:tcPr>
            <w:tcW w:w="4253"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Totale costi</w:t>
            </w:r>
          </w:p>
        </w:tc>
        <w:tc>
          <w:tcPr>
            <w:tcW w:w="1096"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-5'359'492</w:t>
            </w:r>
          </w:p>
        </w:tc>
        <w:tc>
          <w:tcPr>
            <w:tcW w:w="1030"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-6'356'299</w:t>
            </w:r>
          </w:p>
        </w:tc>
        <w:tc>
          <w:tcPr>
            <w:tcW w:w="1134"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-6'590'490</w:t>
            </w:r>
          </w:p>
        </w:tc>
        <w:tc>
          <w:tcPr>
            <w:tcW w:w="1134"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-6'724'811</w:t>
            </w:r>
          </w:p>
        </w:tc>
        <w:tc>
          <w:tcPr>
            <w:tcW w:w="992" w:type="dxa"/>
            <w:tcBorders>
              <w:top w:val="single" w:sz="4" w:space="0" w:color="auto"/>
              <w:left w:val="nil"/>
              <w:bottom w:val="single" w:sz="4" w:space="0" w:color="auto"/>
              <w:right w:val="nil"/>
            </w:tcBorders>
            <w:noWrap/>
            <w:vAlign w:val="center"/>
          </w:tcPr>
          <w:p w:rsidR="00380CC1" w:rsidRPr="00F316EB" w:rsidRDefault="00380CC1" w:rsidP="00793558">
            <w:pPr>
              <w:rPr>
                <w:rFonts w:cs="Arial"/>
                <w:i/>
                <w:iCs/>
                <w:sz w:val="16"/>
                <w:szCs w:val="16"/>
              </w:rPr>
            </w:pPr>
            <w:r w:rsidRPr="00F316EB">
              <w:rPr>
                <w:rFonts w:cs="Arial"/>
                <w:i/>
                <w:iCs/>
                <w:sz w:val="16"/>
                <w:szCs w:val="16"/>
              </w:rPr>
              <w:t>-6'715'885</w:t>
            </w:r>
          </w:p>
        </w:tc>
      </w:tr>
      <w:tr w:rsidR="00380CC1" w:rsidRPr="00F316EB" w:rsidTr="00793558">
        <w:trPr>
          <w:trHeight w:val="270"/>
        </w:trPr>
        <w:tc>
          <w:tcPr>
            <w:tcW w:w="4253" w:type="dxa"/>
            <w:tcBorders>
              <w:top w:val="nil"/>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EBITDA *</w:t>
            </w:r>
          </w:p>
        </w:tc>
        <w:tc>
          <w:tcPr>
            <w:tcW w:w="1096" w:type="dxa"/>
            <w:tcBorders>
              <w:top w:val="nil"/>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-1'441'318</w:t>
            </w:r>
          </w:p>
        </w:tc>
        <w:tc>
          <w:tcPr>
            <w:tcW w:w="1030" w:type="dxa"/>
            <w:tcBorders>
              <w:top w:val="nil"/>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-1'090'065</w:t>
            </w:r>
          </w:p>
        </w:tc>
        <w:tc>
          <w:tcPr>
            <w:tcW w:w="1134" w:type="dxa"/>
            <w:tcBorders>
              <w:top w:val="nil"/>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-994'288</w:t>
            </w:r>
          </w:p>
        </w:tc>
        <w:tc>
          <w:tcPr>
            <w:tcW w:w="1134" w:type="dxa"/>
            <w:tcBorders>
              <w:top w:val="nil"/>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-996'584</w:t>
            </w:r>
          </w:p>
        </w:tc>
        <w:tc>
          <w:tcPr>
            <w:tcW w:w="992" w:type="dxa"/>
            <w:tcBorders>
              <w:top w:val="nil"/>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-900'781</w:t>
            </w:r>
          </w:p>
        </w:tc>
      </w:tr>
      <w:tr w:rsidR="00380CC1" w:rsidRPr="00F316EB" w:rsidTr="00793558">
        <w:trPr>
          <w:trHeight w:val="285"/>
        </w:trPr>
        <w:tc>
          <w:tcPr>
            <w:tcW w:w="4253"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Cash Flow (+)/</w:t>
            </w:r>
            <w:proofErr w:type="spellStart"/>
            <w:r w:rsidRPr="00F316EB">
              <w:rPr>
                <w:rFonts w:cs="Arial"/>
                <w:b/>
                <w:bCs/>
                <w:i/>
                <w:iCs/>
                <w:sz w:val="16"/>
                <w:szCs w:val="16"/>
              </w:rPr>
              <w:t>Drain</w:t>
            </w:r>
            <w:proofErr w:type="spellEnd"/>
            <w:r w:rsidRPr="00F316EB">
              <w:rPr>
                <w:rFonts w:cs="Arial"/>
                <w:b/>
                <w:bCs/>
                <w:i/>
                <w:iCs/>
                <w:sz w:val="16"/>
                <w:szCs w:val="16"/>
              </w:rPr>
              <w:t xml:space="preserve"> (-)</w:t>
            </w:r>
          </w:p>
        </w:tc>
        <w:tc>
          <w:tcPr>
            <w:tcW w:w="1096"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-1'561'997</w:t>
            </w:r>
          </w:p>
        </w:tc>
        <w:tc>
          <w:tcPr>
            <w:tcW w:w="1030"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-1'236'888</w:t>
            </w:r>
          </w:p>
        </w:tc>
        <w:tc>
          <w:tcPr>
            <w:tcW w:w="1134"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-1'153'123</w:t>
            </w:r>
          </w:p>
        </w:tc>
        <w:tc>
          <w:tcPr>
            <w:tcW w:w="1134"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-1'177'220</w:t>
            </w:r>
          </w:p>
        </w:tc>
        <w:tc>
          <w:tcPr>
            <w:tcW w:w="992"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-1'110'416</w:t>
            </w:r>
          </w:p>
        </w:tc>
      </w:tr>
      <w:tr w:rsidR="00380CC1" w:rsidRPr="00F316EB" w:rsidTr="00793558">
        <w:trPr>
          <w:trHeight w:val="285"/>
        </w:trPr>
        <w:tc>
          <w:tcPr>
            <w:tcW w:w="4253"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Risultato prima di contributi da enti pubblici</w:t>
            </w:r>
          </w:p>
        </w:tc>
        <w:tc>
          <w:tcPr>
            <w:tcW w:w="1096"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-2'130'504</w:t>
            </w:r>
          </w:p>
        </w:tc>
        <w:tc>
          <w:tcPr>
            <w:tcW w:w="1030"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-1'916'483</w:t>
            </w:r>
          </w:p>
        </w:tc>
        <w:tc>
          <w:tcPr>
            <w:tcW w:w="1134"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-1'857'966</w:t>
            </w:r>
          </w:p>
        </w:tc>
        <w:tc>
          <w:tcPr>
            <w:tcW w:w="1134"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-1'838'839</w:t>
            </w:r>
          </w:p>
        </w:tc>
        <w:tc>
          <w:tcPr>
            <w:tcW w:w="992"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-1'850'129</w:t>
            </w:r>
          </w:p>
        </w:tc>
      </w:tr>
      <w:tr w:rsidR="00380CC1" w:rsidRPr="00F316EB" w:rsidTr="00793558">
        <w:trPr>
          <w:trHeight w:val="270"/>
        </w:trPr>
        <w:tc>
          <w:tcPr>
            <w:tcW w:w="4253" w:type="dxa"/>
            <w:noWrap/>
            <w:vAlign w:val="center"/>
          </w:tcPr>
          <w:p w:rsidR="00380CC1" w:rsidRPr="00F316EB" w:rsidRDefault="00380CC1" w:rsidP="00793558">
            <w:pPr>
              <w:rPr>
                <w:rFonts w:cs="Arial"/>
                <w:i/>
                <w:iCs/>
                <w:sz w:val="16"/>
                <w:szCs w:val="16"/>
              </w:rPr>
            </w:pPr>
            <w:r w:rsidRPr="00F316EB">
              <w:rPr>
                <w:rFonts w:cs="Arial"/>
                <w:i/>
                <w:iCs/>
                <w:sz w:val="16"/>
                <w:szCs w:val="16"/>
              </w:rPr>
              <w:t>Ricavi da contributi cantonali</w:t>
            </w:r>
          </w:p>
        </w:tc>
        <w:tc>
          <w:tcPr>
            <w:tcW w:w="1096" w:type="dxa"/>
            <w:noWrap/>
            <w:vAlign w:val="bottom"/>
          </w:tcPr>
          <w:p w:rsidR="00380CC1" w:rsidRPr="00F316EB" w:rsidRDefault="00380CC1" w:rsidP="00793558">
            <w:pPr>
              <w:rPr>
                <w:rFonts w:cs="Arial"/>
                <w:sz w:val="16"/>
                <w:szCs w:val="16"/>
              </w:rPr>
            </w:pPr>
            <w:r w:rsidRPr="00F316EB">
              <w:rPr>
                <w:rFonts w:cs="Arial"/>
                <w:sz w:val="16"/>
                <w:szCs w:val="16"/>
              </w:rPr>
              <w:t>1'302'289</w:t>
            </w:r>
          </w:p>
        </w:tc>
        <w:tc>
          <w:tcPr>
            <w:tcW w:w="1030" w:type="dxa"/>
            <w:noWrap/>
            <w:vAlign w:val="bottom"/>
          </w:tcPr>
          <w:p w:rsidR="00380CC1" w:rsidRPr="00F316EB" w:rsidRDefault="00380CC1" w:rsidP="00793558">
            <w:pPr>
              <w:rPr>
                <w:rFonts w:cs="Arial"/>
                <w:sz w:val="16"/>
                <w:szCs w:val="16"/>
              </w:rPr>
            </w:pPr>
            <w:r w:rsidRPr="00F316EB">
              <w:rPr>
                <w:rFonts w:cs="Arial"/>
                <w:sz w:val="16"/>
                <w:szCs w:val="16"/>
              </w:rPr>
              <w:t>1'340'000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1'340'000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1'340'000</w:t>
            </w:r>
          </w:p>
        </w:tc>
        <w:tc>
          <w:tcPr>
            <w:tcW w:w="992" w:type="dxa"/>
            <w:noWrap/>
            <w:vAlign w:val="bottom"/>
          </w:tcPr>
          <w:p w:rsidR="00380CC1" w:rsidRPr="00F316EB" w:rsidRDefault="00380CC1" w:rsidP="00793558">
            <w:pPr>
              <w:rPr>
                <w:rFonts w:cs="Arial"/>
                <w:sz w:val="16"/>
                <w:szCs w:val="16"/>
              </w:rPr>
            </w:pPr>
            <w:r w:rsidRPr="00F316EB">
              <w:rPr>
                <w:rFonts w:cs="Arial"/>
                <w:sz w:val="16"/>
                <w:szCs w:val="16"/>
              </w:rPr>
              <w:t>1'340'000</w:t>
            </w:r>
          </w:p>
        </w:tc>
      </w:tr>
      <w:tr w:rsidR="00380CC1" w:rsidRPr="00F316EB" w:rsidTr="00793558">
        <w:trPr>
          <w:trHeight w:val="255"/>
        </w:trPr>
        <w:tc>
          <w:tcPr>
            <w:tcW w:w="4253" w:type="dxa"/>
            <w:noWrap/>
            <w:vAlign w:val="bottom"/>
          </w:tcPr>
          <w:p w:rsidR="00380CC1" w:rsidRPr="00F316EB" w:rsidRDefault="00380CC1" w:rsidP="00793558">
            <w:pPr>
              <w:rPr>
                <w:rFonts w:cs="Arial"/>
                <w:sz w:val="16"/>
                <w:szCs w:val="16"/>
              </w:rPr>
            </w:pPr>
            <w:r w:rsidRPr="00F316EB">
              <w:rPr>
                <w:rFonts w:cs="Arial"/>
                <w:sz w:val="16"/>
                <w:szCs w:val="16"/>
              </w:rPr>
              <w:t>Ricavi enti pubblici</w:t>
            </w:r>
          </w:p>
        </w:tc>
        <w:tc>
          <w:tcPr>
            <w:tcW w:w="1096" w:type="dxa"/>
            <w:noWrap/>
            <w:vAlign w:val="bottom"/>
          </w:tcPr>
          <w:p w:rsidR="00380CC1" w:rsidRPr="00F316EB" w:rsidRDefault="00380CC1" w:rsidP="00793558">
            <w:pPr>
              <w:rPr>
                <w:rFonts w:cs="Arial"/>
                <w:sz w:val="16"/>
                <w:szCs w:val="16"/>
              </w:rPr>
            </w:pPr>
            <w:r w:rsidRPr="00F316EB">
              <w:rPr>
                <w:rFonts w:cs="Arial"/>
                <w:sz w:val="16"/>
                <w:szCs w:val="16"/>
              </w:rPr>
              <w:t>601'121</w:t>
            </w:r>
          </w:p>
        </w:tc>
        <w:tc>
          <w:tcPr>
            <w:tcW w:w="1030" w:type="dxa"/>
            <w:noWrap/>
            <w:vAlign w:val="bottom"/>
          </w:tcPr>
          <w:p w:rsidR="00380CC1" w:rsidRPr="00F316EB" w:rsidRDefault="00380CC1" w:rsidP="00793558">
            <w:pPr>
              <w:rPr>
                <w:rFonts w:cs="Arial"/>
                <w:sz w:val="16"/>
                <w:szCs w:val="16"/>
              </w:rPr>
            </w:pPr>
            <w:r w:rsidRPr="00F316EB">
              <w:rPr>
                <w:rFonts w:cs="Arial"/>
                <w:sz w:val="16"/>
                <w:szCs w:val="16"/>
              </w:rPr>
              <w:t>528'000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380'000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380'000</w:t>
            </w:r>
          </w:p>
        </w:tc>
        <w:tc>
          <w:tcPr>
            <w:tcW w:w="992" w:type="dxa"/>
            <w:noWrap/>
            <w:vAlign w:val="bottom"/>
          </w:tcPr>
          <w:p w:rsidR="00380CC1" w:rsidRPr="00F316EB" w:rsidRDefault="00380CC1" w:rsidP="00793558">
            <w:pPr>
              <w:rPr>
                <w:rFonts w:cs="Arial"/>
                <w:sz w:val="16"/>
                <w:szCs w:val="16"/>
              </w:rPr>
            </w:pPr>
            <w:r w:rsidRPr="00F316EB">
              <w:rPr>
                <w:rFonts w:cs="Arial"/>
                <w:sz w:val="16"/>
                <w:szCs w:val="16"/>
              </w:rPr>
              <w:t>380'000</w:t>
            </w:r>
          </w:p>
        </w:tc>
      </w:tr>
      <w:tr w:rsidR="00380CC1" w:rsidRPr="00F316EB" w:rsidTr="00793558">
        <w:trPr>
          <w:trHeight w:val="270"/>
        </w:trPr>
        <w:tc>
          <w:tcPr>
            <w:tcW w:w="4253"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Utile netto/Perdita netta</w:t>
            </w:r>
          </w:p>
        </w:tc>
        <w:tc>
          <w:tcPr>
            <w:tcW w:w="1096"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-227'094</w:t>
            </w:r>
          </w:p>
        </w:tc>
        <w:tc>
          <w:tcPr>
            <w:tcW w:w="1030"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-28'483</w:t>
            </w:r>
          </w:p>
        </w:tc>
        <w:tc>
          <w:tcPr>
            <w:tcW w:w="1134"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-137'966</w:t>
            </w:r>
          </w:p>
        </w:tc>
        <w:tc>
          <w:tcPr>
            <w:tcW w:w="1134"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-118'839</w:t>
            </w:r>
          </w:p>
        </w:tc>
        <w:tc>
          <w:tcPr>
            <w:tcW w:w="992" w:type="dxa"/>
            <w:tcBorders>
              <w:top w:val="single" w:sz="4" w:space="0" w:color="auto"/>
              <w:left w:val="nil"/>
              <w:bottom w:val="double" w:sz="6" w:space="0" w:color="auto"/>
              <w:right w:val="nil"/>
            </w:tcBorders>
            <w:noWrap/>
            <w:vAlign w:val="center"/>
          </w:tcPr>
          <w:p w:rsidR="00380CC1" w:rsidRPr="00F316EB" w:rsidRDefault="00380CC1" w:rsidP="00793558">
            <w:pPr>
              <w:rPr>
                <w:rFonts w:cs="Arial"/>
                <w:b/>
                <w:bCs/>
                <w:i/>
                <w:iCs/>
                <w:sz w:val="16"/>
                <w:szCs w:val="16"/>
              </w:rPr>
            </w:pPr>
            <w:r w:rsidRPr="00F316EB">
              <w:rPr>
                <w:rFonts w:cs="Arial"/>
                <w:b/>
                <w:bCs/>
                <w:i/>
                <w:iCs/>
                <w:sz w:val="16"/>
                <w:szCs w:val="16"/>
              </w:rPr>
              <w:t>-130'129</w:t>
            </w:r>
          </w:p>
        </w:tc>
      </w:tr>
      <w:tr w:rsidR="00380CC1" w:rsidRPr="00F316EB" w:rsidTr="00793558">
        <w:trPr>
          <w:trHeight w:val="369"/>
        </w:trPr>
        <w:tc>
          <w:tcPr>
            <w:tcW w:w="4253"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Eccedenza (+) / fabbisogno (-) di liquidità annuale</w:t>
            </w:r>
          </w:p>
        </w:tc>
        <w:tc>
          <w:tcPr>
            <w:tcW w:w="1096"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341'413</w:t>
            </w:r>
          </w:p>
        </w:tc>
        <w:tc>
          <w:tcPr>
            <w:tcW w:w="1030"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651'112</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566'877</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542'780</w:t>
            </w:r>
          </w:p>
        </w:tc>
        <w:tc>
          <w:tcPr>
            <w:tcW w:w="992"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609'584</w:t>
            </w:r>
          </w:p>
        </w:tc>
      </w:tr>
      <w:tr w:rsidR="00380CC1" w:rsidRPr="00F316EB" w:rsidTr="00793558">
        <w:trPr>
          <w:trHeight w:val="369"/>
        </w:trPr>
        <w:tc>
          <w:tcPr>
            <w:tcW w:w="4253"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Investimenti netti eseguiti (-) /ceduti (+)</w:t>
            </w:r>
          </w:p>
        </w:tc>
        <w:tc>
          <w:tcPr>
            <w:tcW w:w="1096"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-813'376</w:t>
            </w:r>
          </w:p>
        </w:tc>
        <w:tc>
          <w:tcPr>
            <w:tcW w:w="1030"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-1'231'189</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-1'383'667</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-1'045'837</w:t>
            </w:r>
          </w:p>
        </w:tc>
        <w:tc>
          <w:tcPr>
            <w:tcW w:w="992"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-1'646'297</w:t>
            </w:r>
          </w:p>
        </w:tc>
      </w:tr>
      <w:tr w:rsidR="00380CC1" w:rsidRPr="00F316EB" w:rsidTr="00793558">
        <w:trPr>
          <w:trHeight w:val="369"/>
        </w:trPr>
        <w:tc>
          <w:tcPr>
            <w:tcW w:w="4253"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Eccedenza (+) / fabbisogno (-) annuo totale di liquidità</w:t>
            </w:r>
          </w:p>
        </w:tc>
        <w:tc>
          <w:tcPr>
            <w:tcW w:w="1096"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-471'963</w:t>
            </w:r>
          </w:p>
        </w:tc>
        <w:tc>
          <w:tcPr>
            <w:tcW w:w="1030"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-580'078</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-816'790</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-503'056</w:t>
            </w:r>
          </w:p>
        </w:tc>
        <w:tc>
          <w:tcPr>
            <w:tcW w:w="992"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-1'036'713</w:t>
            </w:r>
          </w:p>
        </w:tc>
      </w:tr>
      <w:tr w:rsidR="00380CC1" w:rsidRPr="00F316EB" w:rsidTr="00793558">
        <w:trPr>
          <w:trHeight w:val="369"/>
        </w:trPr>
        <w:tc>
          <w:tcPr>
            <w:tcW w:w="4253"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Variazione della liquidità nella gestione corrente</w:t>
            </w:r>
          </w:p>
        </w:tc>
        <w:tc>
          <w:tcPr>
            <w:tcW w:w="1096"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127'433</w:t>
            </w:r>
          </w:p>
        </w:tc>
        <w:tc>
          <w:tcPr>
            <w:tcW w:w="1030"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71'000</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0</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0</w:t>
            </w:r>
          </w:p>
        </w:tc>
        <w:tc>
          <w:tcPr>
            <w:tcW w:w="992"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0</w:t>
            </w:r>
          </w:p>
        </w:tc>
      </w:tr>
      <w:tr w:rsidR="00380CC1" w:rsidRPr="00F316EB" w:rsidTr="00793558">
        <w:trPr>
          <w:trHeight w:val="369"/>
        </w:trPr>
        <w:tc>
          <w:tcPr>
            <w:tcW w:w="4253"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lastRenderedPageBreak/>
              <w:t>Apporti (+) / Rimborsi (-) di liquidità da / a terzi</w:t>
            </w:r>
          </w:p>
        </w:tc>
        <w:tc>
          <w:tcPr>
            <w:tcW w:w="1096"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-112'038</w:t>
            </w:r>
          </w:p>
        </w:tc>
        <w:tc>
          <w:tcPr>
            <w:tcW w:w="1030"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343'000</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343'500</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550'000</w:t>
            </w:r>
          </w:p>
        </w:tc>
        <w:tc>
          <w:tcPr>
            <w:tcW w:w="992"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758'800</w:t>
            </w:r>
          </w:p>
        </w:tc>
      </w:tr>
      <w:tr w:rsidR="00380CC1" w:rsidRPr="00F316EB" w:rsidTr="00793558">
        <w:trPr>
          <w:trHeight w:val="369"/>
        </w:trPr>
        <w:tc>
          <w:tcPr>
            <w:tcW w:w="4253"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Eccedenza (+) / fabbisogno (-) annuo di liquidità</w:t>
            </w:r>
          </w:p>
        </w:tc>
        <w:tc>
          <w:tcPr>
            <w:tcW w:w="1096"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-456'568</w:t>
            </w:r>
          </w:p>
        </w:tc>
        <w:tc>
          <w:tcPr>
            <w:tcW w:w="1030"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-166'078</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-473'290</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46'944</w:t>
            </w:r>
          </w:p>
        </w:tc>
        <w:tc>
          <w:tcPr>
            <w:tcW w:w="992"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-277'913</w:t>
            </w:r>
          </w:p>
        </w:tc>
      </w:tr>
      <w:tr w:rsidR="00380CC1" w:rsidRPr="00F316EB" w:rsidTr="00793558">
        <w:trPr>
          <w:trHeight w:val="369"/>
        </w:trPr>
        <w:tc>
          <w:tcPr>
            <w:tcW w:w="4253"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Eccedenza (+) /fabbisogno  (-) di liquidità cumulato</w:t>
            </w:r>
          </w:p>
        </w:tc>
        <w:tc>
          <w:tcPr>
            <w:tcW w:w="1096"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129'245</w:t>
            </w:r>
          </w:p>
        </w:tc>
        <w:tc>
          <w:tcPr>
            <w:tcW w:w="1030"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-36'833</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-510'123</w:t>
            </w:r>
          </w:p>
        </w:tc>
        <w:tc>
          <w:tcPr>
            <w:tcW w:w="1134"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-463'179</w:t>
            </w:r>
          </w:p>
        </w:tc>
        <w:tc>
          <w:tcPr>
            <w:tcW w:w="992"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-741'092</w:t>
            </w:r>
          </w:p>
        </w:tc>
      </w:tr>
      <w:tr w:rsidR="00380CC1" w:rsidRPr="00F316EB" w:rsidTr="00793558">
        <w:trPr>
          <w:trHeight w:val="369"/>
        </w:trPr>
        <w:tc>
          <w:tcPr>
            <w:tcW w:w="4253" w:type="dxa"/>
            <w:noWrap/>
            <w:vAlign w:val="center"/>
          </w:tcPr>
          <w:p w:rsidR="00380CC1" w:rsidRPr="00F316EB" w:rsidRDefault="00380CC1" w:rsidP="00793558">
            <w:pPr>
              <w:rPr>
                <w:rFonts w:cs="Arial"/>
                <w:b/>
                <w:bCs/>
                <w:i/>
                <w:iCs/>
                <w:sz w:val="16"/>
                <w:szCs w:val="16"/>
              </w:rPr>
            </w:pPr>
            <w:r w:rsidRPr="00F316EB">
              <w:rPr>
                <w:rFonts w:cs="Arial"/>
                <w:b/>
                <w:bCs/>
                <w:i/>
                <w:iCs/>
                <w:sz w:val="16"/>
                <w:szCs w:val="16"/>
              </w:rPr>
              <w:t>* risultato prima di interessi ammortamenti e imposte</w:t>
            </w:r>
          </w:p>
        </w:tc>
        <w:tc>
          <w:tcPr>
            <w:tcW w:w="1096" w:type="dxa"/>
            <w:noWrap/>
            <w:vAlign w:val="center"/>
          </w:tcPr>
          <w:p w:rsidR="00380CC1" w:rsidRPr="00F316EB" w:rsidRDefault="00380CC1" w:rsidP="00793558">
            <w:pPr>
              <w:rPr>
                <w:rFonts w:cs="Arial"/>
                <w:b/>
                <w:bCs/>
                <w:i/>
                <w:iCs/>
                <w:sz w:val="16"/>
                <w:szCs w:val="16"/>
              </w:rPr>
            </w:pPr>
          </w:p>
        </w:tc>
        <w:tc>
          <w:tcPr>
            <w:tcW w:w="1030" w:type="dxa"/>
            <w:noWrap/>
            <w:vAlign w:val="center"/>
          </w:tcPr>
          <w:p w:rsidR="00380CC1" w:rsidRPr="00F316EB" w:rsidRDefault="00380CC1" w:rsidP="00793558">
            <w:pPr>
              <w:rPr>
                <w:rFonts w:cs="Arial"/>
                <w:sz w:val="20"/>
              </w:rPr>
            </w:pPr>
          </w:p>
        </w:tc>
        <w:tc>
          <w:tcPr>
            <w:tcW w:w="1134" w:type="dxa"/>
            <w:noWrap/>
            <w:vAlign w:val="center"/>
          </w:tcPr>
          <w:p w:rsidR="00380CC1" w:rsidRPr="00F316EB" w:rsidRDefault="00380CC1" w:rsidP="00793558">
            <w:pPr>
              <w:rPr>
                <w:rFonts w:cs="Arial"/>
                <w:sz w:val="20"/>
              </w:rPr>
            </w:pPr>
          </w:p>
        </w:tc>
        <w:tc>
          <w:tcPr>
            <w:tcW w:w="1134" w:type="dxa"/>
            <w:noWrap/>
            <w:vAlign w:val="center"/>
          </w:tcPr>
          <w:p w:rsidR="00380CC1" w:rsidRPr="00F316EB" w:rsidRDefault="00380CC1" w:rsidP="00793558">
            <w:pPr>
              <w:rPr>
                <w:rFonts w:cs="Arial"/>
                <w:sz w:val="20"/>
              </w:rPr>
            </w:pPr>
          </w:p>
        </w:tc>
        <w:tc>
          <w:tcPr>
            <w:tcW w:w="992" w:type="dxa"/>
            <w:noWrap/>
            <w:vAlign w:val="center"/>
          </w:tcPr>
          <w:p w:rsidR="00380CC1" w:rsidRPr="00F316EB" w:rsidRDefault="00380CC1" w:rsidP="00793558">
            <w:pPr>
              <w:rPr>
                <w:rFonts w:cs="Arial"/>
                <w:sz w:val="20"/>
              </w:rPr>
            </w:pPr>
          </w:p>
        </w:tc>
      </w:tr>
      <w:tr w:rsidR="00380CC1" w:rsidRPr="00F316EB" w:rsidTr="00793558">
        <w:trPr>
          <w:trHeight w:val="255"/>
        </w:trPr>
        <w:tc>
          <w:tcPr>
            <w:tcW w:w="4253" w:type="dxa"/>
            <w:noWrap/>
            <w:vAlign w:val="bottom"/>
          </w:tcPr>
          <w:p w:rsidR="00380CC1" w:rsidRPr="00F316EB" w:rsidRDefault="00380CC1" w:rsidP="00793558">
            <w:pPr>
              <w:rPr>
                <w:rFonts w:cs="Arial"/>
                <w:sz w:val="16"/>
                <w:szCs w:val="16"/>
              </w:rPr>
            </w:pPr>
            <w:r w:rsidRPr="00F316EB">
              <w:rPr>
                <w:rFonts w:cs="Arial"/>
                <w:sz w:val="16"/>
                <w:szCs w:val="16"/>
              </w:rPr>
              <w:t>Totale passaggi, di cui</w:t>
            </w:r>
          </w:p>
        </w:tc>
        <w:tc>
          <w:tcPr>
            <w:tcW w:w="1096" w:type="dxa"/>
            <w:noWrap/>
            <w:vAlign w:val="bottom"/>
          </w:tcPr>
          <w:p w:rsidR="00380CC1" w:rsidRPr="00F316EB" w:rsidRDefault="00380CC1" w:rsidP="00793558">
            <w:pPr>
              <w:rPr>
                <w:rFonts w:cs="Arial"/>
                <w:sz w:val="16"/>
                <w:szCs w:val="16"/>
              </w:rPr>
            </w:pPr>
            <w:r w:rsidRPr="00F316EB">
              <w:rPr>
                <w:rFonts w:cs="Arial"/>
                <w:sz w:val="16"/>
                <w:szCs w:val="16"/>
              </w:rPr>
              <w:t>131'200</w:t>
            </w:r>
          </w:p>
        </w:tc>
        <w:tc>
          <w:tcPr>
            <w:tcW w:w="1030" w:type="dxa"/>
            <w:noWrap/>
            <w:vAlign w:val="bottom"/>
          </w:tcPr>
          <w:p w:rsidR="00380CC1" w:rsidRPr="00F316EB" w:rsidRDefault="00380CC1" w:rsidP="00793558">
            <w:pPr>
              <w:rPr>
                <w:rFonts w:cs="Arial"/>
                <w:sz w:val="16"/>
                <w:szCs w:val="16"/>
              </w:rPr>
            </w:pPr>
            <w:r w:rsidRPr="00F316EB">
              <w:rPr>
                <w:rFonts w:cs="Arial"/>
                <w:sz w:val="16"/>
                <w:szCs w:val="16"/>
              </w:rPr>
              <w:t>169'000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183'500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192'500</w:t>
            </w:r>
          </w:p>
        </w:tc>
        <w:tc>
          <w:tcPr>
            <w:tcW w:w="992" w:type="dxa"/>
            <w:noWrap/>
            <w:vAlign w:val="bottom"/>
          </w:tcPr>
          <w:p w:rsidR="00380CC1" w:rsidRPr="00F316EB" w:rsidRDefault="00380CC1" w:rsidP="00793558">
            <w:pPr>
              <w:rPr>
                <w:rFonts w:cs="Arial"/>
                <w:sz w:val="16"/>
                <w:szCs w:val="16"/>
              </w:rPr>
            </w:pPr>
            <w:r w:rsidRPr="00F316EB">
              <w:rPr>
                <w:rFonts w:cs="Arial"/>
                <w:sz w:val="16"/>
                <w:szCs w:val="16"/>
              </w:rPr>
              <w:t>197'000</w:t>
            </w:r>
          </w:p>
        </w:tc>
      </w:tr>
      <w:tr w:rsidR="00380CC1" w:rsidRPr="00F316EB" w:rsidTr="00793558">
        <w:trPr>
          <w:trHeight w:val="255"/>
        </w:trPr>
        <w:tc>
          <w:tcPr>
            <w:tcW w:w="4253" w:type="dxa"/>
            <w:noWrap/>
            <w:vAlign w:val="bottom"/>
          </w:tcPr>
          <w:p w:rsidR="00380CC1" w:rsidRPr="00F316EB" w:rsidRDefault="00380CC1" w:rsidP="00793558">
            <w:pPr>
              <w:rPr>
                <w:rFonts w:cs="Arial"/>
                <w:sz w:val="16"/>
                <w:szCs w:val="16"/>
              </w:rPr>
            </w:pPr>
            <w:r w:rsidRPr="00F316EB">
              <w:rPr>
                <w:rFonts w:cs="Arial"/>
                <w:sz w:val="16"/>
                <w:szCs w:val="16"/>
              </w:rPr>
              <w:t>Totale passaggi stagione estiva</w:t>
            </w:r>
          </w:p>
        </w:tc>
        <w:tc>
          <w:tcPr>
            <w:tcW w:w="1096" w:type="dxa"/>
            <w:noWrap/>
            <w:vAlign w:val="bottom"/>
          </w:tcPr>
          <w:p w:rsidR="00380CC1" w:rsidRPr="00F316EB" w:rsidRDefault="00380CC1" w:rsidP="00793558">
            <w:pPr>
              <w:rPr>
                <w:rFonts w:cs="Arial"/>
                <w:sz w:val="16"/>
                <w:szCs w:val="16"/>
              </w:rPr>
            </w:pPr>
            <w:r w:rsidRPr="00F316EB">
              <w:rPr>
                <w:rFonts w:cs="Arial"/>
                <w:sz w:val="16"/>
                <w:szCs w:val="16"/>
              </w:rPr>
              <w:t>11'700</w:t>
            </w:r>
          </w:p>
        </w:tc>
        <w:tc>
          <w:tcPr>
            <w:tcW w:w="1030" w:type="dxa"/>
            <w:noWrap/>
            <w:vAlign w:val="bottom"/>
          </w:tcPr>
          <w:p w:rsidR="00380CC1" w:rsidRPr="00F316EB" w:rsidRDefault="00380CC1" w:rsidP="00793558">
            <w:pPr>
              <w:rPr>
                <w:rFonts w:cs="Arial"/>
                <w:sz w:val="16"/>
                <w:szCs w:val="16"/>
              </w:rPr>
            </w:pPr>
            <w:r w:rsidRPr="00F316EB">
              <w:rPr>
                <w:rFonts w:cs="Arial"/>
                <w:sz w:val="16"/>
                <w:szCs w:val="16"/>
              </w:rPr>
              <w:t>15'500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18'000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19'000</w:t>
            </w:r>
          </w:p>
        </w:tc>
        <w:tc>
          <w:tcPr>
            <w:tcW w:w="992" w:type="dxa"/>
            <w:noWrap/>
            <w:vAlign w:val="bottom"/>
          </w:tcPr>
          <w:p w:rsidR="00380CC1" w:rsidRPr="00F316EB" w:rsidRDefault="00380CC1" w:rsidP="00793558">
            <w:pPr>
              <w:rPr>
                <w:rFonts w:cs="Arial"/>
                <w:sz w:val="16"/>
                <w:szCs w:val="16"/>
              </w:rPr>
            </w:pPr>
            <w:r w:rsidRPr="00F316EB">
              <w:rPr>
                <w:rFonts w:cs="Arial"/>
                <w:sz w:val="16"/>
                <w:szCs w:val="16"/>
              </w:rPr>
              <w:t>21'000</w:t>
            </w:r>
          </w:p>
        </w:tc>
      </w:tr>
      <w:tr w:rsidR="00380CC1" w:rsidRPr="00F316EB" w:rsidTr="00793558">
        <w:trPr>
          <w:trHeight w:val="255"/>
        </w:trPr>
        <w:tc>
          <w:tcPr>
            <w:tcW w:w="4253" w:type="dxa"/>
            <w:noWrap/>
            <w:vAlign w:val="bottom"/>
          </w:tcPr>
          <w:p w:rsidR="00380CC1" w:rsidRPr="00F316EB" w:rsidRDefault="00380CC1" w:rsidP="00793558">
            <w:pPr>
              <w:rPr>
                <w:rFonts w:cs="Arial"/>
                <w:sz w:val="16"/>
                <w:szCs w:val="16"/>
              </w:rPr>
            </w:pPr>
            <w:r w:rsidRPr="00F316EB">
              <w:rPr>
                <w:rFonts w:cs="Arial"/>
                <w:sz w:val="16"/>
                <w:szCs w:val="16"/>
              </w:rPr>
              <w:t>Totale passaggi stagione invernale</w:t>
            </w:r>
          </w:p>
        </w:tc>
        <w:tc>
          <w:tcPr>
            <w:tcW w:w="1096" w:type="dxa"/>
            <w:noWrap/>
            <w:vAlign w:val="bottom"/>
          </w:tcPr>
          <w:p w:rsidR="00380CC1" w:rsidRPr="00F316EB" w:rsidRDefault="00380CC1" w:rsidP="00793558">
            <w:pPr>
              <w:rPr>
                <w:rFonts w:cs="Arial"/>
                <w:sz w:val="16"/>
                <w:szCs w:val="16"/>
              </w:rPr>
            </w:pPr>
            <w:r w:rsidRPr="00F316EB">
              <w:rPr>
                <w:rFonts w:cs="Arial"/>
                <w:sz w:val="16"/>
                <w:szCs w:val="16"/>
              </w:rPr>
              <w:t>119'500</w:t>
            </w:r>
          </w:p>
        </w:tc>
        <w:tc>
          <w:tcPr>
            <w:tcW w:w="1030" w:type="dxa"/>
            <w:noWrap/>
            <w:vAlign w:val="bottom"/>
          </w:tcPr>
          <w:p w:rsidR="00380CC1" w:rsidRPr="00F316EB" w:rsidRDefault="00380CC1" w:rsidP="00793558">
            <w:pPr>
              <w:rPr>
                <w:rFonts w:cs="Arial"/>
                <w:sz w:val="16"/>
                <w:szCs w:val="16"/>
              </w:rPr>
            </w:pPr>
            <w:r w:rsidRPr="00F316EB">
              <w:rPr>
                <w:rFonts w:cs="Arial"/>
                <w:sz w:val="16"/>
                <w:szCs w:val="16"/>
              </w:rPr>
              <w:t>153'500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165'500</w:t>
            </w:r>
          </w:p>
        </w:tc>
        <w:tc>
          <w:tcPr>
            <w:tcW w:w="1134" w:type="dxa"/>
            <w:noWrap/>
            <w:vAlign w:val="bottom"/>
          </w:tcPr>
          <w:p w:rsidR="00380CC1" w:rsidRPr="00F316EB" w:rsidRDefault="00380CC1" w:rsidP="00793558">
            <w:pPr>
              <w:rPr>
                <w:rFonts w:cs="Arial"/>
                <w:sz w:val="16"/>
                <w:szCs w:val="16"/>
              </w:rPr>
            </w:pPr>
            <w:r w:rsidRPr="00F316EB">
              <w:rPr>
                <w:rFonts w:cs="Arial"/>
                <w:sz w:val="16"/>
                <w:szCs w:val="16"/>
              </w:rPr>
              <w:t>173'500</w:t>
            </w:r>
          </w:p>
        </w:tc>
        <w:tc>
          <w:tcPr>
            <w:tcW w:w="992" w:type="dxa"/>
            <w:noWrap/>
            <w:vAlign w:val="bottom"/>
          </w:tcPr>
          <w:p w:rsidR="00380CC1" w:rsidRPr="00F316EB" w:rsidRDefault="00380CC1" w:rsidP="00793558">
            <w:pPr>
              <w:rPr>
                <w:rFonts w:cs="Arial"/>
                <w:sz w:val="16"/>
                <w:szCs w:val="16"/>
              </w:rPr>
            </w:pPr>
            <w:r w:rsidRPr="00F316EB">
              <w:rPr>
                <w:rFonts w:cs="Arial"/>
                <w:sz w:val="16"/>
                <w:szCs w:val="16"/>
              </w:rPr>
              <w:t>176'000</w:t>
            </w:r>
          </w:p>
        </w:tc>
      </w:tr>
    </w:tbl>
    <w:p w:rsidR="00380CC1" w:rsidRPr="00F316EB" w:rsidRDefault="00380CC1" w:rsidP="00380CC1">
      <w:pPr>
        <w:rPr>
          <w:rFonts w:cs="Arial"/>
        </w:rPr>
      </w:pPr>
    </w:p>
    <w:p w:rsidR="00380CC1" w:rsidRPr="00E274D8" w:rsidRDefault="00380CC1" w:rsidP="00380CC1">
      <w:pPr>
        <w:rPr>
          <w:rFonts w:cs="Arial"/>
          <w:i/>
          <w:sz w:val="22"/>
        </w:rPr>
      </w:pPr>
      <w:r w:rsidRPr="00E274D8">
        <w:rPr>
          <w:rFonts w:cs="Arial"/>
          <w:i/>
          <w:sz w:val="22"/>
        </w:rPr>
        <w:t>Lo specchietto riassuntivo conferma che:</w:t>
      </w:r>
    </w:p>
    <w:p w:rsidR="00380CC1" w:rsidRPr="00E274D8" w:rsidRDefault="00380CC1" w:rsidP="00E274D8">
      <w:pPr>
        <w:pStyle w:val="Paragrafoelenco1"/>
        <w:numPr>
          <w:ilvl w:val="0"/>
          <w:numId w:val="5"/>
        </w:numPr>
        <w:spacing w:before="80"/>
        <w:ind w:left="284" w:hanging="284"/>
        <w:contextualSpacing w:val="0"/>
        <w:rPr>
          <w:rFonts w:cs="Arial"/>
          <w:i/>
          <w:sz w:val="22"/>
          <w:szCs w:val="22"/>
        </w:rPr>
      </w:pPr>
      <w:r w:rsidRPr="00E274D8">
        <w:rPr>
          <w:rFonts w:cs="Arial"/>
          <w:i/>
          <w:sz w:val="22"/>
          <w:szCs w:val="22"/>
        </w:rPr>
        <w:t xml:space="preserve">il risultato complessivo, prima di eventuali contributi pubblici, rimane in linea con quello dell’intero periodo 2011/12 </w:t>
      </w:r>
      <w:r w:rsidR="00E274D8">
        <w:rPr>
          <w:rFonts w:cs="Arial"/>
          <w:i/>
          <w:sz w:val="22"/>
          <w:szCs w:val="22"/>
        </w:rPr>
        <w:t>-</w:t>
      </w:r>
      <w:r w:rsidRPr="00E274D8">
        <w:rPr>
          <w:rFonts w:cs="Arial"/>
          <w:i/>
          <w:sz w:val="22"/>
          <w:szCs w:val="22"/>
        </w:rPr>
        <w:t xml:space="preserve"> 2015/2016. Durante l’intero periodo dal 2016/17 al 2020/21 tutte le entità proprietarie e che gestiscono i cinque impianti di risalita genereranno complessivamente </w:t>
      </w:r>
      <w:proofErr w:type="spellStart"/>
      <w:r w:rsidRPr="00E274D8">
        <w:rPr>
          <w:rFonts w:cs="Arial"/>
          <w:i/>
          <w:sz w:val="22"/>
          <w:szCs w:val="22"/>
        </w:rPr>
        <w:t>ca</w:t>
      </w:r>
      <w:proofErr w:type="spellEnd"/>
      <w:r w:rsidRPr="00E274D8">
        <w:rPr>
          <w:rFonts w:cs="Arial"/>
          <w:i/>
          <w:sz w:val="22"/>
          <w:szCs w:val="22"/>
        </w:rPr>
        <w:t>. 10 mio di franchi di perdite (al netto dei sussidi);</w:t>
      </w:r>
    </w:p>
    <w:p w:rsidR="00380CC1" w:rsidRPr="00E274D8" w:rsidRDefault="00380CC1" w:rsidP="00E274D8">
      <w:pPr>
        <w:pStyle w:val="Paragrafoelenco1"/>
        <w:numPr>
          <w:ilvl w:val="0"/>
          <w:numId w:val="5"/>
        </w:numPr>
        <w:spacing w:before="80"/>
        <w:ind w:left="284" w:hanging="284"/>
        <w:contextualSpacing w:val="0"/>
        <w:rPr>
          <w:rFonts w:cs="Arial"/>
          <w:i/>
          <w:sz w:val="22"/>
          <w:szCs w:val="22"/>
        </w:rPr>
      </w:pPr>
      <w:r w:rsidRPr="00E274D8">
        <w:rPr>
          <w:rFonts w:cs="Arial"/>
          <w:i/>
          <w:sz w:val="22"/>
          <w:szCs w:val="22"/>
        </w:rPr>
        <w:t>il contributo cantonale, e le garanzie che offrono oggi i Comuni, restano un elemento centrale per poter garantire la continuità a medio termine delle cinque stazioni in esame;</w:t>
      </w:r>
    </w:p>
    <w:p w:rsidR="00380CC1" w:rsidRPr="00F316EB" w:rsidRDefault="00380CC1" w:rsidP="00E274D8">
      <w:pPr>
        <w:pStyle w:val="Paragrafoelenco1"/>
        <w:numPr>
          <w:ilvl w:val="0"/>
          <w:numId w:val="5"/>
        </w:numPr>
        <w:spacing w:before="80"/>
        <w:ind w:left="284" w:hanging="284"/>
        <w:contextualSpacing w:val="0"/>
        <w:rPr>
          <w:rFonts w:cs="Arial"/>
        </w:rPr>
      </w:pPr>
      <w:r w:rsidRPr="00E274D8">
        <w:rPr>
          <w:rFonts w:cs="Arial"/>
          <w:i/>
          <w:sz w:val="22"/>
          <w:szCs w:val="22"/>
        </w:rPr>
        <w:t>il rinnovo di questi contributi permetterà, in sostanza, a tutte le stazioni di continuare a svolgere le proprie attività correnti</w:t>
      </w:r>
      <w:r w:rsidRPr="00F316EB">
        <w:rPr>
          <w:rFonts w:cs="Arial"/>
        </w:rPr>
        <w:t xml:space="preserve">. </w:t>
      </w:r>
    </w:p>
    <w:p w:rsidR="00380CC1" w:rsidRPr="00F316EB" w:rsidRDefault="00380CC1" w:rsidP="00380CC1">
      <w:pPr>
        <w:rPr>
          <w:rFonts w:cs="Arial"/>
        </w:rPr>
      </w:pPr>
    </w:p>
    <w:p w:rsidR="00380CC1" w:rsidRPr="00F316EB" w:rsidRDefault="00380CC1" w:rsidP="00380CC1">
      <w:pPr>
        <w:rPr>
          <w:rFonts w:cs="Arial"/>
        </w:rPr>
      </w:pPr>
      <w:r w:rsidRPr="00F316EB">
        <w:rPr>
          <w:rFonts w:cs="Arial"/>
        </w:rPr>
        <w:t>Importante sottolineare come i promotori abbiano confermato di essere in grado di reperire i fondi necessari all’esecuzione degli investimenti futuri, senza far capo ad ulteriori richieste di finanziamento cantonale.</w:t>
      </w:r>
    </w:p>
    <w:p w:rsidR="00380CC1" w:rsidRPr="00F316EB" w:rsidRDefault="00380CC1" w:rsidP="00380CC1">
      <w:pPr>
        <w:pStyle w:val="Paragrafoelenco1"/>
        <w:ind w:left="0"/>
        <w:rPr>
          <w:rFonts w:cs="Arial"/>
        </w:rPr>
      </w:pPr>
    </w:p>
    <w:p w:rsidR="00380CC1" w:rsidRPr="00F316EB" w:rsidRDefault="00380CC1" w:rsidP="00380CC1">
      <w:pPr>
        <w:pStyle w:val="Paragrafoelenco1"/>
        <w:ind w:left="0"/>
        <w:rPr>
          <w:rFonts w:cs="Arial"/>
        </w:rPr>
      </w:pPr>
    </w:p>
    <w:p w:rsidR="00380CC1" w:rsidRPr="00F316EB" w:rsidRDefault="00380CC1" w:rsidP="002A5A52">
      <w:pPr>
        <w:pStyle w:val="Titolo1"/>
      </w:pPr>
      <w:r w:rsidRPr="00F316EB">
        <w:t xml:space="preserve">Il ruolo sussidiario del Cantone </w:t>
      </w:r>
    </w:p>
    <w:p w:rsidR="00380CC1" w:rsidRPr="00F316EB" w:rsidRDefault="00380CC1" w:rsidP="00380CC1">
      <w:pPr>
        <w:rPr>
          <w:rFonts w:cs="Arial"/>
        </w:rPr>
      </w:pPr>
      <w:r w:rsidRPr="00F316EB">
        <w:rPr>
          <w:rFonts w:cs="Arial"/>
        </w:rPr>
        <w:t>Con il presente messaggio si propone di rinnovare il contributo alle stazioni invernali mantenendo l’entità complessiva e la suddivisione tra singole stazioni in linea con i contributi attuali.</w:t>
      </w:r>
    </w:p>
    <w:p w:rsidR="00380CC1" w:rsidRPr="00F316EB" w:rsidRDefault="00380CC1" w:rsidP="00380CC1">
      <w:pPr>
        <w:rPr>
          <w:rFonts w:cs="Arial"/>
        </w:rPr>
      </w:pPr>
      <w:r w:rsidRPr="00F316EB">
        <w:rPr>
          <w:rFonts w:cs="Arial"/>
        </w:rPr>
        <w:t xml:space="preserve">Alla luce dell’esperienza fatta, si propone di modificare la modalità di erogazione dei sussidi, allineandosi a quanto già oggi avviene per Airolo, ovvero non legare la concessione dei sussidi ad una percentuale prestabilita dei costi computabili (oggi fissata al 60%), ma riconoscere questo sussidio sotto forma di contributo forfettario alla gestione corrente, ovviamente strettamente vincolato alla corretta pianificazione ed esecuzione degli interventi di manutenzione ai sensi dell’Ordinanza federale sugli impianti a fune OIFT. Questo adeguamento permetterebbe di applicare le medesime modalità di erogazione a tutte e cinque le stazioni, di garantire alle stesse una certezza e stabilità in merito agli importi che effettivamente saranno erogati (e quindi agevolare la pianificazione finanziaria) e di snellire le procedure amministrative, vincolando nel contempo il controllo della correttezza della manutenzione agli organi preposti. </w:t>
      </w:r>
    </w:p>
    <w:p w:rsidR="00380CC1" w:rsidRPr="00F316EB" w:rsidRDefault="00380CC1" w:rsidP="00380CC1">
      <w:pPr>
        <w:rPr>
          <w:rFonts w:cs="Arial"/>
        </w:rPr>
      </w:pPr>
    </w:p>
    <w:p w:rsidR="00380CC1" w:rsidRPr="00F316EB" w:rsidRDefault="00380CC1" w:rsidP="00380CC1">
      <w:pPr>
        <w:rPr>
          <w:rFonts w:cs="Arial"/>
        </w:rPr>
      </w:pPr>
      <w:r w:rsidRPr="00F316EB">
        <w:rPr>
          <w:rFonts w:cs="Arial"/>
        </w:rPr>
        <w:t>Ritenuto infatti che la manutenzione degli impianti resta l’obiettivo primario per la concessione dei sussidi, verrà impostato un sistema di monitoraggio dei lavori eseguiti sugli impianti sulla base degli obblighi cantonali e federali a cui le stazioni e i rispettivi capi tecnici sono tenuti a sottostare. Una volta accertato che i lavori di manutenzione sono stati eseguiti secondo le regole stabilite dalle ordinanze in vigore, si potranno sbloccare i fondi annuali che si intendono riservare con il presente messaggio per ogni stazione. Per questa ragione i gestori degli impianti di risalita al beneficio del contributo cantonale sono tenuti ad adottare, entro la fine del quadriennio, moderni strumenti informatici per la pianificazione, la gestione, la tracciabilità e il reporting della manutenzione.</w:t>
      </w:r>
    </w:p>
    <w:p w:rsidR="00380CC1" w:rsidRPr="00F316EB" w:rsidRDefault="00380CC1" w:rsidP="00380CC1">
      <w:pPr>
        <w:rPr>
          <w:rFonts w:cs="Arial"/>
        </w:rPr>
      </w:pPr>
    </w:p>
    <w:p w:rsidR="00380CC1" w:rsidRPr="00F316EB" w:rsidRDefault="00380CC1" w:rsidP="00380CC1">
      <w:pPr>
        <w:rPr>
          <w:rFonts w:cs="Arial"/>
        </w:rPr>
      </w:pPr>
      <w:r w:rsidRPr="00F316EB">
        <w:rPr>
          <w:rFonts w:cs="Arial"/>
        </w:rPr>
        <w:lastRenderedPageBreak/>
        <w:t>Il Consiglio di Stato si riserva la facoltà di bloccare l’erogazione dei contributi qualora le società beneficiarie non dovessero più garantire una sostenibilità finanziaria, rispettivamente se i controlli eseguiti dagli esperti del settore durante le verifiche degli impianti dovessero far emergere importanti lacune nella manutenzione.</w:t>
      </w:r>
    </w:p>
    <w:p w:rsidR="00380CC1" w:rsidRPr="00F316EB" w:rsidRDefault="00380CC1" w:rsidP="00380CC1">
      <w:pPr>
        <w:rPr>
          <w:rFonts w:cs="Arial"/>
        </w:rPr>
      </w:pPr>
    </w:p>
    <w:p w:rsidR="00380CC1" w:rsidRPr="00F316EB" w:rsidRDefault="00380CC1" w:rsidP="00380CC1">
      <w:pPr>
        <w:rPr>
          <w:rFonts w:cs="Arial"/>
        </w:rPr>
      </w:pPr>
      <w:r w:rsidRPr="00F316EB">
        <w:rPr>
          <w:rFonts w:cs="Arial"/>
        </w:rPr>
        <w:t xml:space="preserve">Vi è da sottolineare inoltre che: </w:t>
      </w:r>
    </w:p>
    <w:p w:rsidR="00380CC1" w:rsidRPr="00F316EB" w:rsidRDefault="00380CC1" w:rsidP="00E274D8">
      <w:pPr>
        <w:pStyle w:val="Paragrafoelenco1"/>
        <w:numPr>
          <w:ilvl w:val="0"/>
          <w:numId w:val="5"/>
        </w:numPr>
        <w:spacing w:before="60"/>
        <w:ind w:left="284" w:hanging="284"/>
        <w:contextualSpacing w:val="0"/>
        <w:rPr>
          <w:rFonts w:cs="Arial"/>
        </w:rPr>
      </w:pPr>
      <w:r w:rsidRPr="00F316EB">
        <w:rPr>
          <w:rFonts w:cs="Arial"/>
        </w:rPr>
        <w:t xml:space="preserve">le direttive imposte dalla Confederazione, </w:t>
      </w:r>
    </w:p>
    <w:p w:rsidR="00380CC1" w:rsidRPr="00F316EB" w:rsidRDefault="00380CC1" w:rsidP="00E274D8">
      <w:pPr>
        <w:pStyle w:val="Paragrafoelenco1"/>
        <w:numPr>
          <w:ilvl w:val="0"/>
          <w:numId w:val="5"/>
        </w:numPr>
        <w:spacing w:before="60"/>
        <w:ind w:left="284" w:hanging="284"/>
        <w:contextualSpacing w:val="0"/>
        <w:rPr>
          <w:rFonts w:cs="Arial"/>
        </w:rPr>
      </w:pPr>
      <w:r w:rsidRPr="00F316EB">
        <w:rPr>
          <w:rFonts w:cs="Arial"/>
        </w:rPr>
        <w:t>i controlli che la stessa esegue per il tramite dell’Ufficio federale dei trasporti (UFT),</w:t>
      </w:r>
    </w:p>
    <w:p w:rsidR="00380CC1" w:rsidRPr="00F316EB" w:rsidRDefault="00380CC1" w:rsidP="00E274D8">
      <w:pPr>
        <w:pStyle w:val="Paragrafoelenco1"/>
        <w:numPr>
          <w:ilvl w:val="0"/>
          <w:numId w:val="5"/>
        </w:numPr>
        <w:spacing w:before="60"/>
        <w:ind w:left="284" w:hanging="284"/>
        <w:contextualSpacing w:val="0"/>
        <w:rPr>
          <w:rFonts w:cs="Arial"/>
        </w:rPr>
      </w:pPr>
      <w:r w:rsidRPr="00F316EB">
        <w:rPr>
          <w:rFonts w:cs="Arial"/>
        </w:rPr>
        <w:t xml:space="preserve">la responsabilità dei capi tecnici che lavorano sugli impianti, </w:t>
      </w:r>
    </w:p>
    <w:p w:rsidR="00380CC1" w:rsidRPr="00F316EB" w:rsidRDefault="00380CC1" w:rsidP="00E274D8">
      <w:pPr>
        <w:pStyle w:val="Paragrafoelenco1"/>
        <w:numPr>
          <w:ilvl w:val="0"/>
          <w:numId w:val="5"/>
        </w:numPr>
        <w:spacing w:before="60"/>
        <w:ind w:left="284" w:hanging="284"/>
        <w:contextualSpacing w:val="0"/>
        <w:rPr>
          <w:rFonts w:cs="Arial"/>
        </w:rPr>
      </w:pPr>
      <w:r w:rsidRPr="00F316EB">
        <w:rPr>
          <w:rFonts w:cs="Arial"/>
        </w:rPr>
        <w:t xml:space="preserve">le scadenze regolari che devono essere rispettate per tutti i lavori di manutenzione, </w:t>
      </w:r>
    </w:p>
    <w:p w:rsidR="00380CC1" w:rsidRPr="00F316EB" w:rsidRDefault="00380CC1" w:rsidP="00E274D8">
      <w:pPr>
        <w:pStyle w:val="Paragrafoelenco1"/>
        <w:numPr>
          <w:ilvl w:val="0"/>
          <w:numId w:val="5"/>
        </w:numPr>
        <w:spacing w:before="60"/>
        <w:ind w:left="284" w:hanging="284"/>
        <w:contextualSpacing w:val="0"/>
        <w:rPr>
          <w:rFonts w:cs="Arial"/>
        </w:rPr>
      </w:pPr>
      <w:r w:rsidRPr="00F316EB">
        <w:rPr>
          <w:rFonts w:cs="Arial"/>
        </w:rPr>
        <w:t xml:space="preserve">i rapporti sulla manutenzione che annualmente i responsabili degli impianti devono inoltrare all’UFT, </w:t>
      </w:r>
    </w:p>
    <w:p w:rsidR="00380CC1" w:rsidRPr="00F316EB" w:rsidRDefault="00380CC1" w:rsidP="00380CC1">
      <w:pPr>
        <w:spacing w:before="80"/>
        <w:rPr>
          <w:rFonts w:cs="Arial"/>
        </w:rPr>
      </w:pPr>
      <w:r w:rsidRPr="00F316EB">
        <w:rPr>
          <w:rFonts w:cs="Arial"/>
        </w:rPr>
        <w:t>hanno portato alla proposta di allineare le modalità di erogazione di tutte e cinque le stazioni, considerato che le questione tecniche legate ai lavori di manutenzione saranno valutate e monitorate da proprietari, capi tecnici e in particolare dall’UFT, evitando un ulteriore dispendioso controllo di ogni singola fattura da parte dei servizi amministrativi cantonali preposti all’erogazione dei sussidi.</w:t>
      </w:r>
    </w:p>
    <w:p w:rsidR="00380CC1" w:rsidRPr="00F316EB" w:rsidRDefault="00380CC1" w:rsidP="00380CC1">
      <w:pPr>
        <w:rPr>
          <w:rFonts w:cs="Arial"/>
        </w:rPr>
      </w:pPr>
    </w:p>
    <w:p w:rsidR="00380CC1" w:rsidRPr="00F316EB" w:rsidRDefault="00380CC1" w:rsidP="00380CC1">
      <w:pPr>
        <w:rPr>
          <w:rFonts w:cs="Arial"/>
        </w:rPr>
      </w:pPr>
      <w:r w:rsidRPr="00F316EB">
        <w:rPr>
          <w:rFonts w:cs="Arial"/>
        </w:rPr>
        <w:t>Il Cantone continuerà il monitoraggio finanziario delle cinque stazioni, in modo da erogare i contributi unicamente a quelle società, persone o Comuni proprietari o che gestiscono gli impianti, che garantiscano una solidità finanziaria sul medio-lungo termine. In caso di incertezze concrete sulla continuità nel medio termine di queste strutture, il Cantone si riserverà il diritto di sospendere le erogazioni previste fino a quando non verranno accertate le garanzie sulla continuità.</w:t>
      </w:r>
    </w:p>
    <w:p w:rsidR="00380CC1" w:rsidRDefault="00380CC1" w:rsidP="00380CC1">
      <w:pPr>
        <w:tabs>
          <w:tab w:val="left" w:pos="4253"/>
          <w:tab w:val="left" w:pos="5387"/>
          <w:tab w:val="left" w:pos="7371"/>
        </w:tabs>
        <w:rPr>
          <w:rFonts w:cs="Arial"/>
        </w:rPr>
      </w:pPr>
    </w:p>
    <w:p w:rsidR="00380CC1" w:rsidRDefault="00380CC1" w:rsidP="00380CC1">
      <w:pPr>
        <w:tabs>
          <w:tab w:val="left" w:pos="4253"/>
          <w:tab w:val="left" w:pos="5387"/>
          <w:tab w:val="left" w:pos="7371"/>
        </w:tabs>
        <w:rPr>
          <w:rFonts w:cs="Arial"/>
        </w:rPr>
      </w:pPr>
      <w:r>
        <w:rPr>
          <w:rFonts w:cs="Arial"/>
        </w:rPr>
        <w:t xml:space="preserve">A mente della Commissione si ritiene opportuno che le stazioni principali destinatarie del contributo cantonale approfondiscano le possibili sinergie in particolare per quanto attiene il marketing e la manutenzione. La Commissione invita il Consiglio di Stato nel suo ruolo sussidiario a sollecitare la stazioni nel procedere in tal senso affinché al più tardi prima dell’eventuale rinnovo di un futuro credito quadro si possa disporre degli indispensabili elementi di valutazione. </w:t>
      </w:r>
    </w:p>
    <w:p w:rsidR="00380CC1" w:rsidRPr="00F316EB" w:rsidRDefault="00380CC1" w:rsidP="00380CC1">
      <w:pPr>
        <w:tabs>
          <w:tab w:val="left" w:pos="4253"/>
          <w:tab w:val="left" w:pos="5387"/>
          <w:tab w:val="left" w:pos="7371"/>
        </w:tabs>
        <w:rPr>
          <w:rFonts w:cs="Arial"/>
        </w:rPr>
      </w:pPr>
    </w:p>
    <w:p w:rsidR="00380CC1" w:rsidRPr="00F316EB" w:rsidRDefault="00380CC1" w:rsidP="00380CC1">
      <w:pPr>
        <w:tabs>
          <w:tab w:val="left" w:pos="4253"/>
          <w:tab w:val="left" w:pos="5387"/>
          <w:tab w:val="left" w:pos="7371"/>
        </w:tabs>
        <w:rPr>
          <w:rFonts w:cs="Arial"/>
        </w:rPr>
      </w:pPr>
      <w:r w:rsidRPr="00F316EB">
        <w:rPr>
          <w:rFonts w:cs="Arial"/>
        </w:rPr>
        <w:t>La tabella sottostante riporta, in dettaglio, i contributi previsti per singola stazione e stagione:</w:t>
      </w:r>
    </w:p>
    <w:p w:rsidR="00380CC1" w:rsidRPr="00F316EB" w:rsidRDefault="00380CC1" w:rsidP="00380CC1">
      <w:pPr>
        <w:tabs>
          <w:tab w:val="left" w:pos="4253"/>
          <w:tab w:val="left" w:pos="5387"/>
          <w:tab w:val="left" w:pos="7371"/>
        </w:tabs>
        <w:rPr>
          <w:rFonts w:cs="Arial"/>
        </w:rPr>
      </w:pPr>
    </w:p>
    <w:p w:rsidR="00380CC1" w:rsidRPr="00F316EB" w:rsidRDefault="00380CC1" w:rsidP="00380CC1">
      <w:pPr>
        <w:rPr>
          <w:rFonts w:cs="Arial"/>
          <w:b/>
          <w:sz w:val="22"/>
        </w:rPr>
      </w:pPr>
      <w:r w:rsidRPr="00F316EB">
        <w:rPr>
          <w:rFonts w:cs="Arial"/>
          <w:b/>
          <w:sz w:val="22"/>
        </w:rPr>
        <w:t>Tabella 2: Contributi totali preventivati alle cinque stazioni invernali per le stagioni dal 2017/18 al 2020/21</w:t>
      </w:r>
    </w:p>
    <w:p w:rsidR="00380CC1" w:rsidRPr="00F316EB" w:rsidRDefault="00380CC1" w:rsidP="00380CC1">
      <w:pPr>
        <w:rPr>
          <w:rFonts w:cs="Arial"/>
        </w:rPr>
      </w:pPr>
    </w:p>
    <w:tbl>
      <w:tblPr>
        <w:tblW w:w="840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992"/>
        <w:gridCol w:w="934"/>
        <w:gridCol w:w="1120"/>
        <w:gridCol w:w="1120"/>
        <w:gridCol w:w="1120"/>
        <w:gridCol w:w="1120"/>
      </w:tblGrid>
      <w:tr w:rsidR="00380CC1" w:rsidRPr="00F316EB" w:rsidTr="00793558">
        <w:trPr>
          <w:trHeight w:val="270"/>
        </w:trPr>
        <w:tc>
          <w:tcPr>
            <w:tcW w:w="2992" w:type="dxa"/>
            <w:noWrap/>
          </w:tcPr>
          <w:p w:rsidR="00380CC1" w:rsidRPr="00F316EB" w:rsidRDefault="00380CC1" w:rsidP="00793558">
            <w:pPr>
              <w:rPr>
                <w:rFonts w:cs="Arial"/>
                <w:b/>
                <w:bCs/>
                <w:sz w:val="18"/>
                <w:szCs w:val="18"/>
              </w:rPr>
            </w:pPr>
            <w:r w:rsidRPr="00F316EB">
              <w:rPr>
                <w:rFonts w:cs="Arial"/>
                <w:b/>
                <w:bCs/>
                <w:sz w:val="18"/>
                <w:szCs w:val="18"/>
              </w:rPr>
              <w:t>Stagione invernale</w:t>
            </w:r>
          </w:p>
        </w:tc>
        <w:tc>
          <w:tcPr>
            <w:tcW w:w="934" w:type="dxa"/>
            <w:vAlign w:val="bottom"/>
          </w:tcPr>
          <w:p w:rsidR="00380CC1" w:rsidRPr="00F316EB" w:rsidRDefault="00380CC1" w:rsidP="00793558">
            <w:pPr>
              <w:rPr>
                <w:rFonts w:cs="Arial"/>
                <w:b/>
                <w:bCs/>
                <w:sz w:val="18"/>
                <w:szCs w:val="18"/>
              </w:rPr>
            </w:pPr>
            <w:r w:rsidRPr="00F316EB">
              <w:rPr>
                <w:rFonts w:cs="Arial"/>
                <w:b/>
                <w:bCs/>
                <w:sz w:val="18"/>
                <w:szCs w:val="18"/>
              </w:rPr>
              <w:t>2017/18</w:t>
            </w:r>
          </w:p>
        </w:tc>
        <w:tc>
          <w:tcPr>
            <w:tcW w:w="1120" w:type="dxa"/>
            <w:vAlign w:val="bottom"/>
          </w:tcPr>
          <w:p w:rsidR="00380CC1" w:rsidRPr="00F316EB" w:rsidRDefault="00380CC1" w:rsidP="00793558">
            <w:pPr>
              <w:rPr>
                <w:rFonts w:cs="Arial"/>
                <w:b/>
                <w:bCs/>
                <w:sz w:val="18"/>
                <w:szCs w:val="18"/>
              </w:rPr>
            </w:pPr>
            <w:r w:rsidRPr="00F316EB">
              <w:rPr>
                <w:rFonts w:cs="Arial"/>
                <w:b/>
                <w:bCs/>
                <w:sz w:val="18"/>
                <w:szCs w:val="18"/>
              </w:rPr>
              <w:t>2018/19</w:t>
            </w:r>
          </w:p>
        </w:tc>
        <w:tc>
          <w:tcPr>
            <w:tcW w:w="1120" w:type="dxa"/>
            <w:vAlign w:val="bottom"/>
          </w:tcPr>
          <w:p w:rsidR="00380CC1" w:rsidRPr="00F316EB" w:rsidRDefault="00380CC1" w:rsidP="00793558">
            <w:pPr>
              <w:rPr>
                <w:rFonts w:cs="Arial"/>
                <w:b/>
                <w:bCs/>
                <w:sz w:val="18"/>
                <w:szCs w:val="18"/>
              </w:rPr>
            </w:pPr>
            <w:r w:rsidRPr="00F316EB">
              <w:rPr>
                <w:rFonts w:cs="Arial"/>
                <w:b/>
                <w:bCs/>
                <w:sz w:val="18"/>
                <w:szCs w:val="18"/>
              </w:rPr>
              <w:t>2019/20</w:t>
            </w:r>
          </w:p>
        </w:tc>
        <w:tc>
          <w:tcPr>
            <w:tcW w:w="1120" w:type="dxa"/>
            <w:tcBorders>
              <w:right w:val="double" w:sz="4" w:space="0" w:color="auto"/>
            </w:tcBorders>
            <w:vAlign w:val="bottom"/>
          </w:tcPr>
          <w:p w:rsidR="00380CC1" w:rsidRPr="00F316EB" w:rsidRDefault="00380CC1" w:rsidP="00793558">
            <w:pPr>
              <w:rPr>
                <w:rFonts w:cs="Arial"/>
                <w:b/>
                <w:bCs/>
                <w:sz w:val="18"/>
                <w:szCs w:val="18"/>
              </w:rPr>
            </w:pPr>
            <w:r w:rsidRPr="00F316EB">
              <w:rPr>
                <w:rFonts w:cs="Arial"/>
                <w:b/>
                <w:bCs/>
                <w:sz w:val="18"/>
                <w:szCs w:val="18"/>
              </w:rPr>
              <w:t>2020/21</w:t>
            </w:r>
          </w:p>
        </w:tc>
        <w:tc>
          <w:tcPr>
            <w:tcW w:w="1120" w:type="dxa"/>
            <w:tcBorders>
              <w:left w:val="double" w:sz="4" w:space="0" w:color="auto"/>
            </w:tcBorders>
            <w:vAlign w:val="bottom"/>
          </w:tcPr>
          <w:p w:rsidR="00380CC1" w:rsidRPr="00F316EB" w:rsidRDefault="00380CC1" w:rsidP="00793558">
            <w:pPr>
              <w:rPr>
                <w:rFonts w:cs="Arial"/>
                <w:b/>
                <w:bCs/>
                <w:sz w:val="18"/>
                <w:szCs w:val="18"/>
              </w:rPr>
            </w:pPr>
            <w:r w:rsidRPr="00F316EB">
              <w:rPr>
                <w:rFonts w:cs="Arial"/>
                <w:b/>
                <w:bCs/>
                <w:sz w:val="18"/>
                <w:szCs w:val="18"/>
              </w:rPr>
              <w:t>Totale</w:t>
            </w:r>
          </w:p>
        </w:tc>
      </w:tr>
      <w:tr w:rsidR="00380CC1" w:rsidRPr="00F316EB" w:rsidTr="00793558">
        <w:trPr>
          <w:trHeight w:val="270"/>
        </w:trPr>
        <w:tc>
          <w:tcPr>
            <w:tcW w:w="2992" w:type="dxa"/>
            <w:noWrap/>
            <w:vAlign w:val="bottom"/>
          </w:tcPr>
          <w:p w:rsidR="00380CC1" w:rsidRPr="00F316EB" w:rsidRDefault="00380CC1" w:rsidP="00793558">
            <w:pPr>
              <w:rPr>
                <w:rFonts w:cs="Arial"/>
                <w:b/>
                <w:bCs/>
                <w:sz w:val="18"/>
                <w:szCs w:val="18"/>
              </w:rPr>
            </w:pPr>
            <w:r w:rsidRPr="00F316EB">
              <w:rPr>
                <w:rFonts w:cs="Arial"/>
                <w:b/>
                <w:bCs/>
                <w:sz w:val="18"/>
                <w:szCs w:val="18"/>
              </w:rPr>
              <w:t>Airolo</w:t>
            </w:r>
          </w:p>
        </w:tc>
        <w:tc>
          <w:tcPr>
            <w:tcW w:w="934" w:type="dxa"/>
            <w:vAlign w:val="bottom"/>
          </w:tcPr>
          <w:p w:rsidR="00380CC1" w:rsidRPr="00F316EB" w:rsidRDefault="00380CC1" w:rsidP="00793558">
            <w:pPr>
              <w:rPr>
                <w:rFonts w:cs="Arial"/>
                <w:sz w:val="18"/>
                <w:szCs w:val="18"/>
              </w:rPr>
            </w:pPr>
            <w:r w:rsidRPr="00F316EB">
              <w:rPr>
                <w:rFonts w:cs="Arial"/>
                <w:sz w:val="18"/>
                <w:szCs w:val="18"/>
              </w:rPr>
              <w:t>800’000</w:t>
            </w:r>
          </w:p>
        </w:tc>
        <w:tc>
          <w:tcPr>
            <w:tcW w:w="1120" w:type="dxa"/>
            <w:vAlign w:val="bottom"/>
          </w:tcPr>
          <w:p w:rsidR="00380CC1" w:rsidRPr="00F316EB" w:rsidRDefault="00380CC1" w:rsidP="00793558">
            <w:pPr>
              <w:rPr>
                <w:rFonts w:cs="Arial"/>
                <w:sz w:val="18"/>
                <w:szCs w:val="18"/>
              </w:rPr>
            </w:pPr>
            <w:r w:rsidRPr="00F316EB">
              <w:rPr>
                <w:rFonts w:cs="Arial"/>
                <w:sz w:val="18"/>
                <w:szCs w:val="18"/>
              </w:rPr>
              <w:t>800’000</w:t>
            </w:r>
          </w:p>
        </w:tc>
        <w:tc>
          <w:tcPr>
            <w:tcW w:w="1120" w:type="dxa"/>
            <w:vAlign w:val="bottom"/>
          </w:tcPr>
          <w:p w:rsidR="00380CC1" w:rsidRPr="00F316EB" w:rsidRDefault="00380CC1" w:rsidP="00793558">
            <w:pPr>
              <w:rPr>
                <w:rFonts w:cs="Arial"/>
                <w:sz w:val="18"/>
                <w:szCs w:val="18"/>
              </w:rPr>
            </w:pPr>
            <w:r w:rsidRPr="00F316EB">
              <w:rPr>
                <w:rFonts w:cs="Arial"/>
                <w:sz w:val="18"/>
                <w:szCs w:val="18"/>
              </w:rPr>
              <w:t>800’000</w:t>
            </w:r>
          </w:p>
        </w:tc>
        <w:tc>
          <w:tcPr>
            <w:tcW w:w="1120" w:type="dxa"/>
            <w:tcBorders>
              <w:right w:val="double" w:sz="4" w:space="0" w:color="auto"/>
            </w:tcBorders>
            <w:vAlign w:val="bottom"/>
          </w:tcPr>
          <w:p w:rsidR="00380CC1" w:rsidRPr="00F316EB" w:rsidRDefault="00380CC1" w:rsidP="00793558">
            <w:pPr>
              <w:rPr>
                <w:rFonts w:cs="Arial"/>
                <w:sz w:val="18"/>
                <w:szCs w:val="18"/>
              </w:rPr>
            </w:pPr>
            <w:r w:rsidRPr="00F316EB">
              <w:rPr>
                <w:rFonts w:cs="Arial"/>
                <w:sz w:val="18"/>
                <w:szCs w:val="18"/>
              </w:rPr>
              <w:t>800’000</w:t>
            </w:r>
          </w:p>
        </w:tc>
        <w:tc>
          <w:tcPr>
            <w:tcW w:w="1120" w:type="dxa"/>
            <w:tcBorders>
              <w:left w:val="double" w:sz="4" w:space="0" w:color="auto"/>
            </w:tcBorders>
            <w:vAlign w:val="bottom"/>
          </w:tcPr>
          <w:p w:rsidR="00380CC1" w:rsidRPr="00F316EB" w:rsidRDefault="00380CC1" w:rsidP="00793558">
            <w:pPr>
              <w:rPr>
                <w:rFonts w:cs="Arial"/>
                <w:b/>
                <w:bCs/>
                <w:sz w:val="18"/>
                <w:szCs w:val="18"/>
              </w:rPr>
            </w:pPr>
            <w:r w:rsidRPr="00F316EB">
              <w:rPr>
                <w:rFonts w:cs="Arial"/>
                <w:b/>
                <w:bCs/>
                <w:sz w:val="18"/>
                <w:szCs w:val="18"/>
              </w:rPr>
              <w:t>3'200’000</w:t>
            </w:r>
          </w:p>
        </w:tc>
      </w:tr>
      <w:tr w:rsidR="00380CC1" w:rsidRPr="00F316EB" w:rsidTr="00793558">
        <w:trPr>
          <w:trHeight w:val="270"/>
        </w:trPr>
        <w:tc>
          <w:tcPr>
            <w:tcW w:w="2992" w:type="dxa"/>
            <w:noWrap/>
            <w:vAlign w:val="bottom"/>
          </w:tcPr>
          <w:p w:rsidR="00380CC1" w:rsidRPr="00F316EB" w:rsidRDefault="00380CC1" w:rsidP="00793558">
            <w:pPr>
              <w:rPr>
                <w:rFonts w:cs="Arial"/>
                <w:b/>
                <w:bCs/>
                <w:sz w:val="18"/>
                <w:szCs w:val="18"/>
              </w:rPr>
            </w:pPr>
            <w:r w:rsidRPr="00F316EB">
              <w:rPr>
                <w:rFonts w:cs="Arial"/>
                <w:b/>
                <w:bCs/>
                <w:sz w:val="18"/>
                <w:szCs w:val="18"/>
              </w:rPr>
              <w:t xml:space="preserve">Bosco </w:t>
            </w:r>
            <w:proofErr w:type="spellStart"/>
            <w:r w:rsidRPr="00F316EB">
              <w:rPr>
                <w:rFonts w:cs="Arial"/>
                <w:b/>
                <w:bCs/>
                <w:sz w:val="18"/>
                <w:szCs w:val="18"/>
              </w:rPr>
              <w:t>Gurin</w:t>
            </w:r>
            <w:proofErr w:type="spellEnd"/>
          </w:p>
        </w:tc>
        <w:tc>
          <w:tcPr>
            <w:tcW w:w="934" w:type="dxa"/>
            <w:vAlign w:val="bottom"/>
          </w:tcPr>
          <w:p w:rsidR="00380CC1" w:rsidRPr="00F316EB" w:rsidRDefault="00380CC1" w:rsidP="00793558">
            <w:pPr>
              <w:rPr>
                <w:rFonts w:cs="Arial"/>
                <w:sz w:val="18"/>
                <w:szCs w:val="18"/>
              </w:rPr>
            </w:pPr>
            <w:r w:rsidRPr="00F316EB">
              <w:rPr>
                <w:rFonts w:cs="Arial"/>
                <w:sz w:val="18"/>
                <w:szCs w:val="18"/>
              </w:rPr>
              <w:t>180’000</w:t>
            </w:r>
          </w:p>
        </w:tc>
        <w:tc>
          <w:tcPr>
            <w:tcW w:w="1120" w:type="dxa"/>
            <w:vAlign w:val="bottom"/>
          </w:tcPr>
          <w:p w:rsidR="00380CC1" w:rsidRPr="00F316EB" w:rsidRDefault="00380CC1" w:rsidP="00793558">
            <w:pPr>
              <w:rPr>
                <w:rFonts w:cs="Arial"/>
                <w:sz w:val="18"/>
                <w:szCs w:val="18"/>
              </w:rPr>
            </w:pPr>
            <w:r w:rsidRPr="00F316EB">
              <w:rPr>
                <w:rFonts w:cs="Arial"/>
                <w:sz w:val="18"/>
                <w:szCs w:val="18"/>
              </w:rPr>
              <w:t>180’000</w:t>
            </w:r>
          </w:p>
        </w:tc>
        <w:tc>
          <w:tcPr>
            <w:tcW w:w="1120" w:type="dxa"/>
            <w:vAlign w:val="bottom"/>
          </w:tcPr>
          <w:p w:rsidR="00380CC1" w:rsidRPr="00F316EB" w:rsidRDefault="00380CC1" w:rsidP="00793558">
            <w:pPr>
              <w:rPr>
                <w:rFonts w:cs="Arial"/>
                <w:sz w:val="18"/>
                <w:szCs w:val="18"/>
              </w:rPr>
            </w:pPr>
            <w:r w:rsidRPr="00F316EB">
              <w:rPr>
                <w:rFonts w:cs="Arial"/>
                <w:sz w:val="18"/>
                <w:szCs w:val="18"/>
              </w:rPr>
              <w:t>180’000</w:t>
            </w:r>
          </w:p>
        </w:tc>
        <w:tc>
          <w:tcPr>
            <w:tcW w:w="1120" w:type="dxa"/>
            <w:tcBorders>
              <w:right w:val="double" w:sz="4" w:space="0" w:color="auto"/>
            </w:tcBorders>
            <w:vAlign w:val="bottom"/>
          </w:tcPr>
          <w:p w:rsidR="00380CC1" w:rsidRPr="00F316EB" w:rsidRDefault="00380CC1" w:rsidP="00793558">
            <w:pPr>
              <w:rPr>
                <w:rFonts w:cs="Arial"/>
                <w:sz w:val="18"/>
                <w:szCs w:val="18"/>
              </w:rPr>
            </w:pPr>
            <w:r w:rsidRPr="00F316EB">
              <w:rPr>
                <w:rFonts w:cs="Arial"/>
                <w:sz w:val="18"/>
                <w:szCs w:val="18"/>
              </w:rPr>
              <w:t>180’000</w:t>
            </w:r>
          </w:p>
        </w:tc>
        <w:tc>
          <w:tcPr>
            <w:tcW w:w="1120" w:type="dxa"/>
            <w:tcBorders>
              <w:left w:val="double" w:sz="4" w:space="0" w:color="auto"/>
            </w:tcBorders>
            <w:vAlign w:val="bottom"/>
          </w:tcPr>
          <w:p w:rsidR="00380CC1" w:rsidRPr="00F316EB" w:rsidRDefault="00380CC1" w:rsidP="00793558">
            <w:pPr>
              <w:rPr>
                <w:rFonts w:cs="Arial"/>
                <w:b/>
                <w:bCs/>
                <w:sz w:val="18"/>
                <w:szCs w:val="18"/>
              </w:rPr>
            </w:pPr>
            <w:r w:rsidRPr="00F316EB">
              <w:rPr>
                <w:rFonts w:cs="Arial"/>
                <w:b/>
                <w:bCs/>
                <w:sz w:val="18"/>
                <w:szCs w:val="18"/>
              </w:rPr>
              <w:t>720’000</w:t>
            </w:r>
          </w:p>
        </w:tc>
      </w:tr>
      <w:tr w:rsidR="00380CC1" w:rsidRPr="00F316EB" w:rsidTr="00793558">
        <w:trPr>
          <w:trHeight w:val="270"/>
        </w:trPr>
        <w:tc>
          <w:tcPr>
            <w:tcW w:w="2992" w:type="dxa"/>
            <w:noWrap/>
            <w:vAlign w:val="bottom"/>
          </w:tcPr>
          <w:p w:rsidR="00380CC1" w:rsidRPr="00F316EB" w:rsidRDefault="00380CC1" w:rsidP="00793558">
            <w:pPr>
              <w:rPr>
                <w:rFonts w:cs="Arial"/>
                <w:b/>
                <w:bCs/>
                <w:sz w:val="18"/>
                <w:szCs w:val="18"/>
              </w:rPr>
            </w:pPr>
            <w:r w:rsidRPr="00F316EB">
              <w:rPr>
                <w:rFonts w:cs="Arial"/>
                <w:b/>
                <w:bCs/>
                <w:sz w:val="18"/>
                <w:szCs w:val="18"/>
              </w:rPr>
              <w:t>Campo Blenio</w:t>
            </w:r>
          </w:p>
        </w:tc>
        <w:tc>
          <w:tcPr>
            <w:tcW w:w="934" w:type="dxa"/>
            <w:vAlign w:val="bottom"/>
          </w:tcPr>
          <w:p w:rsidR="00380CC1" w:rsidRPr="00F316EB" w:rsidRDefault="00380CC1" w:rsidP="00793558">
            <w:pPr>
              <w:rPr>
                <w:rFonts w:cs="Arial"/>
                <w:sz w:val="18"/>
                <w:szCs w:val="18"/>
              </w:rPr>
            </w:pPr>
            <w:r w:rsidRPr="00F316EB">
              <w:rPr>
                <w:rFonts w:cs="Arial"/>
                <w:sz w:val="18"/>
                <w:szCs w:val="18"/>
              </w:rPr>
              <w:t>80’000</w:t>
            </w:r>
          </w:p>
        </w:tc>
        <w:tc>
          <w:tcPr>
            <w:tcW w:w="1120" w:type="dxa"/>
            <w:vAlign w:val="bottom"/>
          </w:tcPr>
          <w:p w:rsidR="00380CC1" w:rsidRPr="00F316EB" w:rsidRDefault="00380CC1" w:rsidP="00793558">
            <w:pPr>
              <w:rPr>
                <w:rFonts w:cs="Arial"/>
                <w:sz w:val="18"/>
                <w:szCs w:val="18"/>
              </w:rPr>
            </w:pPr>
            <w:r w:rsidRPr="00F316EB">
              <w:rPr>
                <w:rFonts w:cs="Arial"/>
                <w:sz w:val="18"/>
                <w:szCs w:val="18"/>
              </w:rPr>
              <w:t>80’000</w:t>
            </w:r>
          </w:p>
        </w:tc>
        <w:tc>
          <w:tcPr>
            <w:tcW w:w="1120" w:type="dxa"/>
            <w:vAlign w:val="bottom"/>
          </w:tcPr>
          <w:p w:rsidR="00380CC1" w:rsidRPr="00F316EB" w:rsidRDefault="00380CC1" w:rsidP="00793558">
            <w:pPr>
              <w:rPr>
                <w:rFonts w:cs="Arial"/>
                <w:sz w:val="18"/>
                <w:szCs w:val="18"/>
              </w:rPr>
            </w:pPr>
            <w:r w:rsidRPr="00F316EB">
              <w:rPr>
                <w:rFonts w:cs="Arial"/>
                <w:sz w:val="18"/>
                <w:szCs w:val="18"/>
              </w:rPr>
              <w:t>80’000</w:t>
            </w:r>
          </w:p>
        </w:tc>
        <w:tc>
          <w:tcPr>
            <w:tcW w:w="1120" w:type="dxa"/>
            <w:tcBorders>
              <w:right w:val="double" w:sz="4" w:space="0" w:color="auto"/>
            </w:tcBorders>
            <w:vAlign w:val="bottom"/>
          </w:tcPr>
          <w:p w:rsidR="00380CC1" w:rsidRPr="00F316EB" w:rsidRDefault="00380CC1" w:rsidP="00793558">
            <w:pPr>
              <w:rPr>
                <w:rFonts w:cs="Arial"/>
                <w:sz w:val="18"/>
                <w:szCs w:val="18"/>
              </w:rPr>
            </w:pPr>
            <w:r w:rsidRPr="00F316EB">
              <w:rPr>
                <w:rFonts w:cs="Arial"/>
                <w:sz w:val="18"/>
                <w:szCs w:val="18"/>
              </w:rPr>
              <w:t>80’000</w:t>
            </w:r>
          </w:p>
        </w:tc>
        <w:tc>
          <w:tcPr>
            <w:tcW w:w="1120" w:type="dxa"/>
            <w:tcBorders>
              <w:left w:val="double" w:sz="4" w:space="0" w:color="auto"/>
            </w:tcBorders>
            <w:vAlign w:val="bottom"/>
          </w:tcPr>
          <w:p w:rsidR="00380CC1" w:rsidRPr="00F316EB" w:rsidRDefault="00380CC1" w:rsidP="00793558">
            <w:pPr>
              <w:rPr>
                <w:rFonts w:cs="Arial"/>
                <w:b/>
                <w:bCs/>
                <w:sz w:val="18"/>
                <w:szCs w:val="18"/>
              </w:rPr>
            </w:pPr>
            <w:r w:rsidRPr="00F316EB">
              <w:rPr>
                <w:rFonts w:cs="Arial"/>
                <w:b/>
                <w:bCs/>
                <w:sz w:val="18"/>
                <w:szCs w:val="18"/>
              </w:rPr>
              <w:t>320’000</w:t>
            </w:r>
          </w:p>
        </w:tc>
      </w:tr>
      <w:tr w:rsidR="00380CC1" w:rsidRPr="00F316EB" w:rsidTr="00793558">
        <w:trPr>
          <w:trHeight w:val="270"/>
        </w:trPr>
        <w:tc>
          <w:tcPr>
            <w:tcW w:w="2992" w:type="dxa"/>
            <w:noWrap/>
            <w:vAlign w:val="bottom"/>
          </w:tcPr>
          <w:p w:rsidR="00380CC1" w:rsidRPr="00F316EB" w:rsidRDefault="00380CC1" w:rsidP="00793558">
            <w:pPr>
              <w:rPr>
                <w:rFonts w:cs="Arial"/>
                <w:b/>
                <w:bCs/>
                <w:sz w:val="18"/>
                <w:szCs w:val="18"/>
              </w:rPr>
            </w:pPr>
            <w:proofErr w:type="spellStart"/>
            <w:r w:rsidRPr="00F316EB">
              <w:rPr>
                <w:rFonts w:cs="Arial"/>
                <w:b/>
                <w:bCs/>
                <w:sz w:val="18"/>
                <w:szCs w:val="18"/>
              </w:rPr>
              <w:t>Carì</w:t>
            </w:r>
            <w:proofErr w:type="spellEnd"/>
          </w:p>
        </w:tc>
        <w:tc>
          <w:tcPr>
            <w:tcW w:w="934" w:type="dxa"/>
            <w:vAlign w:val="bottom"/>
          </w:tcPr>
          <w:p w:rsidR="00380CC1" w:rsidRPr="00F316EB" w:rsidRDefault="00380CC1" w:rsidP="00793558">
            <w:pPr>
              <w:rPr>
                <w:rFonts w:cs="Arial"/>
                <w:sz w:val="18"/>
                <w:szCs w:val="18"/>
              </w:rPr>
            </w:pPr>
            <w:r w:rsidRPr="00F316EB">
              <w:rPr>
                <w:rFonts w:cs="Arial"/>
                <w:sz w:val="18"/>
                <w:szCs w:val="18"/>
              </w:rPr>
              <w:t>120’000</w:t>
            </w:r>
          </w:p>
        </w:tc>
        <w:tc>
          <w:tcPr>
            <w:tcW w:w="1120" w:type="dxa"/>
            <w:vAlign w:val="bottom"/>
          </w:tcPr>
          <w:p w:rsidR="00380CC1" w:rsidRPr="00F316EB" w:rsidRDefault="00380CC1" w:rsidP="00793558">
            <w:pPr>
              <w:rPr>
                <w:rFonts w:cs="Arial"/>
                <w:sz w:val="18"/>
                <w:szCs w:val="18"/>
              </w:rPr>
            </w:pPr>
            <w:r w:rsidRPr="00F316EB">
              <w:rPr>
                <w:rFonts w:cs="Arial"/>
                <w:sz w:val="18"/>
                <w:szCs w:val="18"/>
              </w:rPr>
              <w:t>120’000</w:t>
            </w:r>
          </w:p>
        </w:tc>
        <w:tc>
          <w:tcPr>
            <w:tcW w:w="1120" w:type="dxa"/>
            <w:vAlign w:val="bottom"/>
          </w:tcPr>
          <w:p w:rsidR="00380CC1" w:rsidRPr="00F316EB" w:rsidRDefault="00380CC1" w:rsidP="00793558">
            <w:pPr>
              <w:rPr>
                <w:rFonts w:cs="Arial"/>
                <w:sz w:val="18"/>
                <w:szCs w:val="18"/>
              </w:rPr>
            </w:pPr>
            <w:r w:rsidRPr="00F316EB">
              <w:rPr>
                <w:rFonts w:cs="Arial"/>
                <w:sz w:val="18"/>
                <w:szCs w:val="18"/>
              </w:rPr>
              <w:t>120’000</w:t>
            </w:r>
          </w:p>
        </w:tc>
        <w:tc>
          <w:tcPr>
            <w:tcW w:w="1120" w:type="dxa"/>
            <w:tcBorders>
              <w:right w:val="double" w:sz="4" w:space="0" w:color="auto"/>
            </w:tcBorders>
            <w:vAlign w:val="bottom"/>
          </w:tcPr>
          <w:p w:rsidR="00380CC1" w:rsidRPr="00F316EB" w:rsidRDefault="00380CC1" w:rsidP="00793558">
            <w:pPr>
              <w:rPr>
                <w:rFonts w:cs="Arial"/>
                <w:sz w:val="18"/>
                <w:szCs w:val="18"/>
              </w:rPr>
            </w:pPr>
            <w:r w:rsidRPr="00F316EB">
              <w:rPr>
                <w:rFonts w:cs="Arial"/>
                <w:sz w:val="18"/>
                <w:szCs w:val="18"/>
              </w:rPr>
              <w:t>120’000</w:t>
            </w:r>
          </w:p>
        </w:tc>
        <w:tc>
          <w:tcPr>
            <w:tcW w:w="1120" w:type="dxa"/>
            <w:tcBorders>
              <w:left w:val="double" w:sz="4" w:space="0" w:color="auto"/>
            </w:tcBorders>
            <w:vAlign w:val="bottom"/>
          </w:tcPr>
          <w:p w:rsidR="00380CC1" w:rsidRPr="00F316EB" w:rsidRDefault="00380CC1" w:rsidP="00793558">
            <w:pPr>
              <w:rPr>
                <w:rFonts w:cs="Arial"/>
                <w:b/>
                <w:bCs/>
                <w:sz w:val="18"/>
                <w:szCs w:val="18"/>
              </w:rPr>
            </w:pPr>
            <w:r w:rsidRPr="00F316EB">
              <w:rPr>
                <w:rFonts w:cs="Arial"/>
                <w:b/>
                <w:bCs/>
                <w:sz w:val="18"/>
                <w:szCs w:val="18"/>
              </w:rPr>
              <w:t>480’000</w:t>
            </w:r>
          </w:p>
        </w:tc>
      </w:tr>
      <w:tr w:rsidR="00380CC1" w:rsidRPr="00F316EB" w:rsidTr="00793558">
        <w:trPr>
          <w:trHeight w:val="270"/>
        </w:trPr>
        <w:tc>
          <w:tcPr>
            <w:tcW w:w="2992" w:type="dxa"/>
            <w:tcBorders>
              <w:bottom w:val="double" w:sz="4" w:space="0" w:color="auto"/>
            </w:tcBorders>
            <w:noWrap/>
            <w:vAlign w:val="bottom"/>
          </w:tcPr>
          <w:p w:rsidR="00380CC1" w:rsidRPr="00F316EB" w:rsidRDefault="00380CC1" w:rsidP="00793558">
            <w:pPr>
              <w:rPr>
                <w:rFonts w:cs="Arial"/>
                <w:b/>
                <w:bCs/>
                <w:sz w:val="18"/>
                <w:szCs w:val="18"/>
              </w:rPr>
            </w:pPr>
            <w:r w:rsidRPr="00F316EB">
              <w:rPr>
                <w:rFonts w:cs="Arial"/>
                <w:b/>
                <w:bCs/>
                <w:sz w:val="18"/>
                <w:szCs w:val="18"/>
              </w:rPr>
              <w:t>Nara</w:t>
            </w:r>
          </w:p>
        </w:tc>
        <w:tc>
          <w:tcPr>
            <w:tcW w:w="934" w:type="dxa"/>
            <w:tcBorders>
              <w:bottom w:val="double" w:sz="4" w:space="0" w:color="auto"/>
            </w:tcBorders>
            <w:vAlign w:val="bottom"/>
          </w:tcPr>
          <w:p w:rsidR="00380CC1" w:rsidRPr="00F316EB" w:rsidRDefault="00380CC1" w:rsidP="00793558">
            <w:pPr>
              <w:rPr>
                <w:rFonts w:cs="Arial"/>
                <w:sz w:val="18"/>
                <w:szCs w:val="18"/>
              </w:rPr>
            </w:pPr>
            <w:r w:rsidRPr="00F316EB">
              <w:rPr>
                <w:rFonts w:cs="Arial"/>
                <w:sz w:val="18"/>
                <w:szCs w:val="18"/>
              </w:rPr>
              <w:t>170’000</w:t>
            </w:r>
          </w:p>
        </w:tc>
        <w:tc>
          <w:tcPr>
            <w:tcW w:w="1120" w:type="dxa"/>
            <w:tcBorders>
              <w:bottom w:val="double" w:sz="4" w:space="0" w:color="auto"/>
            </w:tcBorders>
            <w:vAlign w:val="bottom"/>
          </w:tcPr>
          <w:p w:rsidR="00380CC1" w:rsidRPr="00F316EB" w:rsidRDefault="00380CC1" w:rsidP="00793558">
            <w:pPr>
              <w:rPr>
                <w:rFonts w:cs="Arial"/>
                <w:sz w:val="18"/>
                <w:szCs w:val="18"/>
              </w:rPr>
            </w:pPr>
            <w:r w:rsidRPr="00F316EB">
              <w:rPr>
                <w:rFonts w:cs="Arial"/>
                <w:sz w:val="18"/>
                <w:szCs w:val="18"/>
              </w:rPr>
              <w:t>170’000</w:t>
            </w:r>
          </w:p>
        </w:tc>
        <w:tc>
          <w:tcPr>
            <w:tcW w:w="1120" w:type="dxa"/>
            <w:tcBorders>
              <w:bottom w:val="double" w:sz="4" w:space="0" w:color="auto"/>
            </w:tcBorders>
            <w:vAlign w:val="bottom"/>
          </w:tcPr>
          <w:p w:rsidR="00380CC1" w:rsidRPr="00F316EB" w:rsidRDefault="00380CC1" w:rsidP="00793558">
            <w:pPr>
              <w:rPr>
                <w:rFonts w:cs="Arial"/>
                <w:sz w:val="18"/>
                <w:szCs w:val="18"/>
              </w:rPr>
            </w:pPr>
            <w:r w:rsidRPr="00F316EB">
              <w:rPr>
                <w:rFonts w:cs="Arial"/>
                <w:sz w:val="18"/>
                <w:szCs w:val="18"/>
              </w:rPr>
              <w:t>170’000</w:t>
            </w:r>
          </w:p>
        </w:tc>
        <w:tc>
          <w:tcPr>
            <w:tcW w:w="1120" w:type="dxa"/>
            <w:tcBorders>
              <w:bottom w:val="double" w:sz="4" w:space="0" w:color="auto"/>
              <w:right w:val="double" w:sz="4" w:space="0" w:color="auto"/>
            </w:tcBorders>
            <w:vAlign w:val="bottom"/>
          </w:tcPr>
          <w:p w:rsidR="00380CC1" w:rsidRPr="00F316EB" w:rsidRDefault="00380CC1" w:rsidP="00793558">
            <w:pPr>
              <w:rPr>
                <w:rFonts w:cs="Arial"/>
                <w:sz w:val="18"/>
                <w:szCs w:val="18"/>
              </w:rPr>
            </w:pPr>
            <w:r w:rsidRPr="00F316EB">
              <w:rPr>
                <w:rFonts w:cs="Arial"/>
                <w:sz w:val="18"/>
                <w:szCs w:val="18"/>
              </w:rPr>
              <w:t>170’000</w:t>
            </w:r>
          </w:p>
        </w:tc>
        <w:tc>
          <w:tcPr>
            <w:tcW w:w="1120" w:type="dxa"/>
            <w:tcBorders>
              <w:left w:val="double" w:sz="4" w:space="0" w:color="auto"/>
              <w:bottom w:val="double" w:sz="4" w:space="0" w:color="auto"/>
            </w:tcBorders>
            <w:vAlign w:val="bottom"/>
          </w:tcPr>
          <w:p w:rsidR="00380CC1" w:rsidRPr="00F316EB" w:rsidRDefault="00380CC1" w:rsidP="00793558">
            <w:pPr>
              <w:rPr>
                <w:rFonts w:cs="Arial"/>
                <w:b/>
                <w:bCs/>
                <w:sz w:val="18"/>
                <w:szCs w:val="18"/>
              </w:rPr>
            </w:pPr>
            <w:r w:rsidRPr="00F316EB">
              <w:rPr>
                <w:rFonts w:cs="Arial"/>
                <w:b/>
                <w:bCs/>
                <w:sz w:val="18"/>
                <w:szCs w:val="18"/>
              </w:rPr>
              <w:t>680’000</w:t>
            </w:r>
          </w:p>
        </w:tc>
      </w:tr>
      <w:tr w:rsidR="00380CC1" w:rsidRPr="00F316EB" w:rsidTr="00793558">
        <w:trPr>
          <w:trHeight w:val="270"/>
        </w:trPr>
        <w:tc>
          <w:tcPr>
            <w:tcW w:w="2992" w:type="dxa"/>
            <w:tcBorders>
              <w:top w:val="double" w:sz="4" w:space="0" w:color="auto"/>
            </w:tcBorders>
            <w:noWrap/>
            <w:vAlign w:val="bottom"/>
          </w:tcPr>
          <w:p w:rsidR="00380CC1" w:rsidRPr="00F316EB" w:rsidRDefault="00380CC1" w:rsidP="00793558">
            <w:pPr>
              <w:rPr>
                <w:rFonts w:cs="Arial"/>
                <w:b/>
                <w:bCs/>
                <w:sz w:val="18"/>
                <w:szCs w:val="18"/>
              </w:rPr>
            </w:pPr>
            <w:r w:rsidRPr="00F316EB">
              <w:rPr>
                <w:rFonts w:cs="Arial"/>
                <w:b/>
                <w:bCs/>
                <w:sz w:val="18"/>
                <w:szCs w:val="18"/>
              </w:rPr>
              <w:t>Totale</w:t>
            </w:r>
          </w:p>
        </w:tc>
        <w:tc>
          <w:tcPr>
            <w:tcW w:w="934" w:type="dxa"/>
            <w:tcBorders>
              <w:top w:val="double" w:sz="4" w:space="0" w:color="auto"/>
            </w:tcBorders>
            <w:vAlign w:val="bottom"/>
          </w:tcPr>
          <w:p w:rsidR="00380CC1" w:rsidRPr="00F316EB" w:rsidRDefault="00380CC1" w:rsidP="00793558">
            <w:pPr>
              <w:rPr>
                <w:rFonts w:cs="Arial"/>
                <w:sz w:val="18"/>
                <w:szCs w:val="18"/>
              </w:rPr>
            </w:pPr>
            <w:r w:rsidRPr="00F316EB">
              <w:rPr>
                <w:rFonts w:cs="Arial"/>
                <w:sz w:val="18"/>
                <w:szCs w:val="18"/>
              </w:rPr>
              <w:t>1'350’000</w:t>
            </w:r>
          </w:p>
        </w:tc>
        <w:tc>
          <w:tcPr>
            <w:tcW w:w="1120" w:type="dxa"/>
            <w:tcBorders>
              <w:top w:val="double" w:sz="4" w:space="0" w:color="auto"/>
            </w:tcBorders>
            <w:vAlign w:val="bottom"/>
          </w:tcPr>
          <w:p w:rsidR="00380CC1" w:rsidRPr="00F316EB" w:rsidRDefault="00380CC1" w:rsidP="00793558">
            <w:pPr>
              <w:rPr>
                <w:rFonts w:cs="Arial"/>
                <w:sz w:val="18"/>
                <w:szCs w:val="18"/>
              </w:rPr>
            </w:pPr>
            <w:r w:rsidRPr="00F316EB">
              <w:rPr>
                <w:rFonts w:cs="Arial"/>
                <w:sz w:val="18"/>
                <w:szCs w:val="18"/>
              </w:rPr>
              <w:t>1'350’000</w:t>
            </w:r>
          </w:p>
        </w:tc>
        <w:tc>
          <w:tcPr>
            <w:tcW w:w="1120" w:type="dxa"/>
            <w:tcBorders>
              <w:top w:val="double" w:sz="4" w:space="0" w:color="auto"/>
            </w:tcBorders>
            <w:vAlign w:val="bottom"/>
          </w:tcPr>
          <w:p w:rsidR="00380CC1" w:rsidRPr="00F316EB" w:rsidRDefault="00380CC1" w:rsidP="00793558">
            <w:pPr>
              <w:rPr>
                <w:rFonts w:cs="Arial"/>
                <w:sz w:val="18"/>
                <w:szCs w:val="18"/>
              </w:rPr>
            </w:pPr>
            <w:r w:rsidRPr="00F316EB">
              <w:rPr>
                <w:rFonts w:cs="Arial"/>
                <w:sz w:val="18"/>
                <w:szCs w:val="18"/>
              </w:rPr>
              <w:t>1'350’000</w:t>
            </w:r>
          </w:p>
        </w:tc>
        <w:tc>
          <w:tcPr>
            <w:tcW w:w="1120" w:type="dxa"/>
            <w:tcBorders>
              <w:top w:val="double" w:sz="4" w:space="0" w:color="auto"/>
              <w:right w:val="double" w:sz="4" w:space="0" w:color="auto"/>
            </w:tcBorders>
            <w:vAlign w:val="bottom"/>
          </w:tcPr>
          <w:p w:rsidR="00380CC1" w:rsidRPr="00F316EB" w:rsidRDefault="00380CC1" w:rsidP="00793558">
            <w:pPr>
              <w:rPr>
                <w:rFonts w:cs="Arial"/>
                <w:sz w:val="18"/>
                <w:szCs w:val="18"/>
              </w:rPr>
            </w:pPr>
            <w:r w:rsidRPr="00F316EB">
              <w:rPr>
                <w:rFonts w:cs="Arial"/>
                <w:sz w:val="18"/>
                <w:szCs w:val="18"/>
              </w:rPr>
              <w:t>1'350’000</w:t>
            </w:r>
          </w:p>
        </w:tc>
        <w:tc>
          <w:tcPr>
            <w:tcW w:w="1120" w:type="dxa"/>
            <w:tcBorders>
              <w:top w:val="double" w:sz="4" w:space="0" w:color="auto"/>
              <w:left w:val="double" w:sz="4" w:space="0" w:color="auto"/>
            </w:tcBorders>
            <w:vAlign w:val="bottom"/>
          </w:tcPr>
          <w:p w:rsidR="00380CC1" w:rsidRPr="00F316EB" w:rsidRDefault="00380CC1" w:rsidP="00793558">
            <w:pPr>
              <w:rPr>
                <w:rFonts w:cs="Arial"/>
                <w:b/>
                <w:bCs/>
                <w:sz w:val="18"/>
                <w:szCs w:val="18"/>
              </w:rPr>
            </w:pPr>
            <w:r w:rsidRPr="00F316EB">
              <w:rPr>
                <w:rFonts w:cs="Arial"/>
                <w:b/>
                <w:bCs/>
                <w:sz w:val="18"/>
                <w:szCs w:val="18"/>
              </w:rPr>
              <w:t>5'400’000</w:t>
            </w:r>
          </w:p>
        </w:tc>
      </w:tr>
    </w:tbl>
    <w:p w:rsidR="00380CC1" w:rsidRPr="00F316EB" w:rsidRDefault="00380CC1" w:rsidP="00380CC1">
      <w:pPr>
        <w:tabs>
          <w:tab w:val="left" w:pos="4253"/>
          <w:tab w:val="left" w:pos="5387"/>
          <w:tab w:val="left" w:pos="7371"/>
        </w:tabs>
        <w:spacing w:before="80"/>
        <w:rPr>
          <w:rFonts w:cs="Arial"/>
          <w:bCs/>
        </w:rPr>
      </w:pPr>
      <w:r w:rsidRPr="00F316EB">
        <w:rPr>
          <w:rFonts w:cs="Arial"/>
          <w:i/>
          <w:color w:val="000000"/>
          <w:sz w:val="16"/>
        </w:rPr>
        <w:t xml:space="preserve">Fonte: </w:t>
      </w:r>
      <w:proofErr w:type="spellStart"/>
      <w:r w:rsidRPr="00F316EB">
        <w:rPr>
          <w:rFonts w:cs="Arial"/>
          <w:b/>
          <w:color w:val="000000"/>
          <w:sz w:val="16"/>
        </w:rPr>
        <w:t>UAC</w:t>
      </w:r>
      <w:r w:rsidRPr="00F316EB">
        <w:rPr>
          <w:rFonts w:cs="Arial"/>
          <w:color w:val="000000"/>
          <w:sz w:val="16"/>
        </w:rPr>
        <w:t>_Ufficio</w:t>
      </w:r>
      <w:proofErr w:type="spellEnd"/>
      <w:r w:rsidRPr="00F316EB">
        <w:rPr>
          <w:rFonts w:cs="Arial"/>
          <w:color w:val="000000"/>
          <w:sz w:val="16"/>
        </w:rPr>
        <w:t xml:space="preserve"> dell’amministrazione e del </w:t>
      </w:r>
      <w:proofErr w:type="spellStart"/>
      <w:r w:rsidRPr="00F316EB">
        <w:rPr>
          <w:rFonts w:cs="Arial"/>
          <w:color w:val="000000"/>
          <w:sz w:val="16"/>
        </w:rPr>
        <w:t>controlling</w:t>
      </w:r>
      <w:proofErr w:type="spellEnd"/>
    </w:p>
    <w:p w:rsidR="00380CC1" w:rsidRPr="00F316EB" w:rsidRDefault="00380CC1" w:rsidP="00380CC1">
      <w:pPr>
        <w:autoSpaceDE w:val="0"/>
        <w:autoSpaceDN w:val="0"/>
        <w:adjustRightInd w:val="0"/>
        <w:rPr>
          <w:rFonts w:cs="Arial"/>
        </w:rPr>
      </w:pPr>
    </w:p>
    <w:p w:rsidR="00380CC1" w:rsidRPr="00F316EB" w:rsidRDefault="00380CC1" w:rsidP="00380CC1">
      <w:pPr>
        <w:autoSpaceDE w:val="0"/>
        <w:autoSpaceDN w:val="0"/>
        <w:adjustRightInd w:val="0"/>
        <w:rPr>
          <w:rFonts w:cs="Arial"/>
        </w:rPr>
      </w:pPr>
      <w:r w:rsidRPr="00F316EB">
        <w:rPr>
          <w:rFonts w:cs="Arial"/>
        </w:rPr>
        <w:t xml:space="preserve">Ai beneficiari di sussidi di cui al presente messaggio assoggettati per sussidio alla legislazione sulle commesse pubbliche, verrà imposto un unico consulente indipendente ai sensi degli artt. 60 cpv. 3 e 60a </w:t>
      </w:r>
      <w:proofErr w:type="spellStart"/>
      <w:r w:rsidRPr="00F316EB">
        <w:rPr>
          <w:rFonts w:cs="Arial"/>
        </w:rPr>
        <w:t>RLCPubb</w:t>
      </w:r>
      <w:proofErr w:type="spellEnd"/>
      <w:r w:rsidRPr="00F316EB">
        <w:rPr>
          <w:rFonts w:cs="Arial"/>
        </w:rPr>
        <w:t>/CIAP.</w:t>
      </w:r>
    </w:p>
    <w:p w:rsidR="00380CC1" w:rsidRPr="00F316EB" w:rsidRDefault="00380CC1" w:rsidP="00380CC1">
      <w:pPr>
        <w:pStyle w:val="Paragrafoelenco1"/>
        <w:ind w:left="0"/>
        <w:rPr>
          <w:rFonts w:cs="Arial"/>
        </w:rPr>
      </w:pPr>
    </w:p>
    <w:p w:rsidR="00380CC1" w:rsidRPr="00F316EB" w:rsidRDefault="00380CC1" w:rsidP="002A5A52">
      <w:pPr>
        <w:pStyle w:val="Titolo1"/>
      </w:pPr>
      <w:r w:rsidRPr="00F316EB">
        <w:lastRenderedPageBreak/>
        <w:t>L</w:t>
      </w:r>
      <w:r w:rsidR="00E274D8">
        <w:t>E</w:t>
      </w:r>
      <w:r w:rsidRPr="00F316EB">
        <w:t xml:space="preserve"> richieste dei piccoli impianti</w:t>
      </w:r>
    </w:p>
    <w:p w:rsidR="00380CC1" w:rsidRPr="00F316EB" w:rsidRDefault="00380CC1" w:rsidP="00380CC1">
      <w:pPr>
        <w:pStyle w:val="Paragrafoelenco1"/>
        <w:ind w:left="0"/>
        <w:rPr>
          <w:rFonts w:cs="Arial"/>
        </w:rPr>
      </w:pPr>
      <w:r w:rsidRPr="00F316EB">
        <w:rPr>
          <w:rFonts w:cs="Arial"/>
        </w:rPr>
        <w:t xml:space="preserve">In una lettera del 28 agosto 2017 i gestori di alcuni piccoli impianti hanno chiesto un emendamento al messaggio per poter beneficiare di un sussidio complessivo annuo di </w:t>
      </w:r>
      <w:r w:rsidR="00610FF2">
        <w:rPr>
          <w:rFonts w:cs="Arial"/>
        </w:rPr>
        <w:br/>
      </w:r>
      <w:proofErr w:type="spellStart"/>
      <w:r w:rsidR="00610FF2">
        <w:rPr>
          <w:rFonts w:cs="Arial"/>
        </w:rPr>
        <w:t>fr</w:t>
      </w:r>
      <w:proofErr w:type="spellEnd"/>
      <w:r w:rsidR="00610FF2">
        <w:rPr>
          <w:rFonts w:cs="Arial"/>
        </w:rPr>
        <w:t xml:space="preserve">. </w:t>
      </w:r>
      <w:r w:rsidRPr="00F316EB">
        <w:rPr>
          <w:rFonts w:cs="Arial"/>
        </w:rPr>
        <w:t xml:space="preserve">68'500.- annui che porterebbe il credito quadro a complessivi </w:t>
      </w:r>
      <w:proofErr w:type="spellStart"/>
      <w:r w:rsidRPr="00F316EB">
        <w:rPr>
          <w:rFonts w:cs="Arial"/>
        </w:rPr>
        <w:t>f</w:t>
      </w:r>
      <w:r w:rsidR="00610FF2">
        <w:rPr>
          <w:rFonts w:cs="Arial"/>
        </w:rPr>
        <w:t>r</w:t>
      </w:r>
      <w:proofErr w:type="spellEnd"/>
      <w:r w:rsidR="00610FF2">
        <w:rPr>
          <w:rFonts w:cs="Arial"/>
        </w:rPr>
        <w:t>.</w:t>
      </w:r>
      <w:r w:rsidRPr="00F316EB">
        <w:rPr>
          <w:rFonts w:cs="Arial"/>
        </w:rPr>
        <w:t xml:space="preserve"> 5'674'000.-.</w:t>
      </w:r>
    </w:p>
    <w:p w:rsidR="00380CC1" w:rsidRPr="00F316EB" w:rsidRDefault="00380CC1" w:rsidP="00380CC1">
      <w:pPr>
        <w:pStyle w:val="Paragrafoelenco1"/>
        <w:ind w:left="0"/>
        <w:rPr>
          <w:rFonts w:cs="Arial"/>
        </w:rPr>
      </w:pPr>
    </w:p>
    <w:p w:rsidR="00380CC1" w:rsidRDefault="00380CC1" w:rsidP="00380CC1">
      <w:pPr>
        <w:pStyle w:val="Paragrafoelenco1"/>
        <w:ind w:left="0"/>
        <w:rPr>
          <w:rFonts w:cs="Arial"/>
        </w:rPr>
      </w:pPr>
      <w:r>
        <w:rPr>
          <w:rFonts w:cs="Arial"/>
          <w:noProof/>
          <w:lang w:val="it-CH" w:eastAsia="it-CH"/>
        </w:rPr>
        <w:drawing>
          <wp:inline distT="0" distB="0" distL="0" distR="0">
            <wp:extent cx="6027420" cy="25603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7420" cy="2560320"/>
                    </a:xfrm>
                    <a:prstGeom prst="rect">
                      <a:avLst/>
                    </a:prstGeom>
                    <a:noFill/>
                    <a:ln>
                      <a:noFill/>
                    </a:ln>
                  </pic:spPr>
                </pic:pic>
              </a:graphicData>
            </a:graphic>
          </wp:inline>
        </w:drawing>
      </w:r>
    </w:p>
    <w:p w:rsidR="002A5A52" w:rsidRPr="00F316EB" w:rsidRDefault="002A5A52" w:rsidP="00380CC1">
      <w:pPr>
        <w:pStyle w:val="Paragrafoelenco1"/>
        <w:ind w:left="0"/>
        <w:rPr>
          <w:rFonts w:cs="Arial"/>
        </w:rPr>
      </w:pPr>
    </w:p>
    <w:p w:rsidR="00380CC1" w:rsidRPr="00F316EB" w:rsidRDefault="00380CC1" w:rsidP="00380CC1">
      <w:pPr>
        <w:pStyle w:val="Paragrafoelenco1"/>
        <w:ind w:left="0"/>
        <w:rPr>
          <w:rFonts w:cs="Arial"/>
        </w:rPr>
      </w:pPr>
      <w:r w:rsidRPr="00F316EB">
        <w:rPr>
          <w:rFonts w:cs="Arial"/>
        </w:rPr>
        <w:t>Come affermato dagli stessi gestori di questi piccoli impianti è indubbio che si tratta di impianti molto locali destinati alla promozione dello sci a livello base. Sono anche impianti posti ad un’altezza molto critica rispetto alla prospettiva di avere nevicate sufficienti e che spesso, soprattutto negli ultimi anni non è stato neppur possibile mettere in funzione.</w:t>
      </w:r>
    </w:p>
    <w:p w:rsidR="00380CC1" w:rsidRPr="00F316EB" w:rsidRDefault="00380CC1" w:rsidP="00380CC1">
      <w:pPr>
        <w:pStyle w:val="Paragrafoelenco1"/>
        <w:ind w:left="0"/>
        <w:rPr>
          <w:rFonts w:cs="Arial"/>
        </w:rPr>
      </w:pPr>
      <w:r w:rsidRPr="00F316EB">
        <w:rPr>
          <w:rFonts w:cs="Arial"/>
        </w:rPr>
        <w:t xml:space="preserve">L’importo in questione risulta essere marginale con una media di </w:t>
      </w:r>
      <w:proofErr w:type="spellStart"/>
      <w:r w:rsidR="00610FF2">
        <w:rPr>
          <w:rFonts w:cs="Arial"/>
        </w:rPr>
        <w:t>fr</w:t>
      </w:r>
      <w:proofErr w:type="spellEnd"/>
      <w:r w:rsidR="00610FF2">
        <w:rPr>
          <w:rFonts w:cs="Arial"/>
        </w:rPr>
        <w:t>.</w:t>
      </w:r>
      <w:r w:rsidRPr="00F316EB">
        <w:rPr>
          <w:rFonts w:cs="Arial"/>
        </w:rPr>
        <w:t xml:space="preserve"> 7'000.- per impianto e la domanda da porsi è se questo compito debba rientrare sul piano cantonale oppure rimanere sul piano comunale rispettivamente regionale.</w:t>
      </w:r>
    </w:p>
    <w:p w:rsidR="00F56D78" w:rsidRDefault="00F56D78" w:rsidP="00380CC1">
      <w:pPr>
        <w:pStyle w:val="Paragrafoelenco1"/>
        <w:ind w:left="0"/>
        <w:rPr>
          <w:rFonts w:cs="Arial"/>
        </w:rPr>
      </w:pPr>
    </w:p>
    <w:p w:rsidR="00380CC1" w:rsidRPr="00F316EB" w:rsidRDefault="00380CC1" w:rsidP="00380CC1">
      <w:pPr>
        <w:pStyle w:val="Paragrafoelenco1"/>
        <w:ind w:left="0"/>
        <w:rPr>
          <w:rFonts w:cs="Arial"/>
        </w:rPr>
      </w:pPr>
      <w:r w:rsidRPr="00F316EB">
        <w:rPr>
          <w:rFonts w:cs="Arial"/>
        </w:rPr>
        <w:t xml:space="preserve">Il Consiglio di Stato prende posizione in merito alla richiesta con lettera alla scrivente Commissione il 18 ottobre e invita a non modificare l’impianto del messaggio. In particolare non si ritiene opportuno integrare questi piccoli impianti nella stessa logica delle cinque stazioni principali per le conseguenze a livello di vincoli amministrativi e tecnici che ciò comporterebbe. </w:t>
      </w:r>
    </w:p>
    <w:p w:rsidR="00F56D78" w:rsidRDefault="00F56D78" w:rsidP="00380CC1">
      <w:pPr>
        <w:pStyle w:val="Paragrafoelenco1"/>
        <w:ind w:left="0"/>
        <w:rPr>
          <w:rFonts w:cs="Arial"/>
        </w:rPr>
      </w:pPr>
    </w:p>
    <w:p w:rsidR="00380CC1" w:rsidRPr="002E162F" w:rsidRDefault="00380CC1" w:rsidP="00380CC1">
      <w:pPr>
        <w:pStyle w:val="Paragrafoelenco1"/>
        <w:ind w:left="0"/>
        <w:rPr>
          <w:rFonts w:cs="Arial"/>
          <w:strike/>
        </w:rPr>
      </w:pPr>
      <w:r w:rsidRPr="002E162F">
        <w:rPr>
          <w:rFonts w:cs="Arial"/>
        </w:rPr>
        <w:t xml:space="preserve">Su richiesta della Commissione della gestione e delle finanze, il Governo ha però, nel contempo, espresso la sua disponibilità a finanziare detti impianti di risalita minori, per la loro manutenzione, durante le stagioni invernali dal 2017/18 al 2020/21, tramite un credito di complessivi </w:t>
      </w:r>
      <w:proofErr w:type="spellStart"/>
      <w:r w:rsidR="00F56D78">
        <w:rPr>
          <w:rFonts w:cs="Arial"/>
        </w:rPr>
        <w:t>fr</w:t>
      </w:r>
      <w:proofErr w:type="spellEnd"/>
      <w:r w:rsidR="00610FF2">
        <w:rPr>
          <w:rFonts w:cs="Arial"/>
        </w:rPr>
        <w:t>.</w:t>
      </w:r>
      <w:r w:rsidRPr="002E162F">
        <w:rPr>
          <w:rFonts w:cs="Arial"/>
        </w:rPr>
        <w:t xml:space="preserve"> 274'000</w:t>
      </w:r>
      <w:r w:rsidR="00F56D78">
        <w:rPr>
          <w:rFonts w:cs="Arial"/>
        </w:rPr>
        <w:t>.-</w:t>
      </w:r>
      <w:r w:rsidRPr="002E162F">
        <w:rPr>
          <w:rFonts w:cs="Arial"/>
        </w:rPr>
        <w:t>, da attingere, da parte degli ERS, dal credito quadro di 13 milioni, destinato alle misure cantonali di politica regionale complementari al Programma d’attuazione della politica economica regionale 2016-2019 e di cui al relativo nuovo decreto legislativo, annesso al presente rapporto.</w:t>
      </w:r>
    </w:p>
    <w:p w:rsidR="00380CC1" w:rsidRPr="00F316EB" w:rsidRDefault="00380CC1" w:rsidP="00380CC1">
      <w:pPr>
        <w:pStyle w:val="Paragrafoelenco1"/>
        <w:ind w:left="0"/>
        <w:rPr>
          <w:rFonts w:cs="Arial"/>
        </w:rPr>
      </w:pPr>
    </w:p>
    <w:p w:rsidR="00380CC1" w:rsidRPr="00F316EB" w:rsidRDefault="00380CC1" w:rsidP="00380CC1">
      <w:pPr>
        <w:pStyle w:val="Paragrafoelenco1"/>
        <w:ind w:left="0"/>
        <w:rPr>
          <w:rFonts w:cs="Arial"/>
        </w:rPr>
      </w:pPr>
    </w:p>
    <w:p w:rsidR="00380CC1" w:rsidRPr="00F316EB" w:rsidRDefault="00380CC1" w:rsidP="002A5A52">
      <w:pPr>
        <w:pStyle w:val="Titolo1"/>
      </w:pPr>
      <w:r w:rsidRPr="00F316EB">
        <w:t>Conclusione</w:t>
      </w:r>
    </w:p>
    <w:p w:rsidR="00380CC1" w:rsidRDefault="00F56D78" w:rsidP="00380CC1">
      <w:pPr>
        <w:rPr>
          <w:rFonts w:cs="Arial"/>
        </w:rPr>
      </w:pPr>
      <w:r>
        <w:rPr>
          <w:rFonts w:cs="Arial"/>
        </w:rPr>
        <w:t>La C</w:t>
      </w:r>
      <w:r w:rsidR="00380CC1" w:rsidRPr="00F316EB">
        <w:rPr>
          <w:rFonts w:cs="Arial"/>
        </w:rPr>
        <w:t xml:space="preserve">ommissione ritiene che il messaggio in oggetto consenta un’impostazione corretta e lungimirante dell’impostazione delle nostre stazioni di risalita in particolare favorendo la riflessione sullo sviluppo annuale dell’offerta turistica della località in quanto si è ben consapevoli che l’evoluzione climatica non consente di basare la propria offerta sulla neve e su una stagione invernale sempre più ridotta. </w:t>
      </w:r>
      <w:r w:rsidR="00380CC1">
        <w:rPr>
          <w:rFonts w:cs="Arial"/>
        </w:rPr>
        <w:t>L’invito rivolto alle stazioni è di valutare e approfondire le possibili sinergie a favore di un consolidamento del settore.</w:t>
      </w:r>
    </w:p>
    <w:p w:rsidR="00F56D78" w:rsidRPr="00F316EB" w:rsidRDefault="00F56D78" w:rsidP="00380CC1">
      <w:pPr>
        <w:rPr>
          <w:rFonts w:cs="Arial"/>
        </w:rPr>
      </w:pPr>
    </w:p>
    <w:p w:rsidR="00380CC1" w:rsidRPr="00F316EB" w:rsidRDefault="00380CC1" w:rsidP="00380CC1">
      <w:pPr>
        <w:rPr>
          <w:rFonts w:cs="Arial"/>
        </w:rPr>
      </w:pPr>
      <w:r>
        <w:rPr>
          <w:rFonts w:cs="Arial"/>
        </w:rPr>
        <w:lastRenderedPageBreak/>
        <w:t xml:space="preserve">La sfida consiste nella </w:t>
      </w:r>
      <w:r w:rsidRPr="00F316EB">
        <w:rPr>
          <w:rFonts w:cs="Arial"/>
        </w:rPr>
        <w:t>trasformazione delle stazioni classicamente orientate esclusivamente all’offerta invernale in luoghi di promozione di un approccio variegato alle numerose splendide attività che la montagna permette. Si tratta di un</w:t>
      </w:r>
      <w:r>
        <w:rPr>
          <w:rFonts w:cs="Arial"/>
        </w:rPr>
        <w:t xml:space="preserve">’impostazione </w:t>
      </w:r>
      <w:r w:rsidRPr="00F316EB">
        <w:rPr>
          <w:rFonts w:cs="Arial"/>
        </w:rPr>
        <w:t>innovativ</w:t>
      </w:r>
      <w:r>
        <w:rPr>
          <w:rFonts w:cs="Arial"/>
        </w:rPr>
        <w:t>a</w:t>
      </w:r>
      <w:r w:rsidRPr="00F316EB">
        <w:rPr>
          <w:rFonts w:cs="Arial"/>
        </w:rPr>
        <w:t xml:space="preserve"> che consente nuove opportunità per incrementare ulteriormente il valore aggiunto creato da queste infrastrutture a favore di un rilancio economico delle zone periferiche che grazie al turismo e alle attività ricreative potrebbero conoscere sviluppi molto positivi.</w:t>
      </w:r>
    </w:p>
    <w:p w:rsidR="00380CC1" w:rsidRPr="00076E70" w:rsidRDefault="00380CC1" w:rsidP="00380CC1">
      <w:pPr>
        <w:rPr>
          <w:rFonts w:cs="Arial"/>
          <w:szCs w:val="24"/>
        </w:rPr>
      </w:pPr>
    </w:p>
    <w:p w:rsidR="00380CC1" w:rsidRPr="00076E70" w:rsidRDefault="00380CC1" w:rsidP="00380CC1">
      <w:pPr>
        <w:autoSpaceDE w:val="0"/>
        <w:autoSpaceDN w:val="0"/>
        <w:adjustRightInd w:val="0"/>
        <w:rPr>
          <w:rFonts w:cs="Arial"/>
          <w:szCs w:val="24"/>
        </w:rPr>
      </w:pPr>
    </w:p>
    <w:p w:rsidR="00380CC1" w:rsidRPr="00076E70" w:rsidRDefault="00380CC1" w:rsidP="00380CC1">
      <w:pPr>
        <w:rPr>
          <w:rFonts w:cs="Arial"/>
          <w:szCs w:val="24"/>
        </w:rPr>
      </w:pPr>
    </w:p>
    <w:p w:rsidR="00380CC1" w:rsidRPr="00076E70" w:rsidRDefault="00380CC1" w:rsidP="00380CC1">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380CC1" w:rsidRPr="00076E70" w:rsidRDefault="002A5A52" w:rsidP="00380CC1">
      <w:pPr>
        <w:rPr>
          <w:rFonts w:cs="Arial"/>
          <w:szCs w:val="24"/>
        </w:rPr>
      </w:pPr>
      <w:r>
        <w:rPr>
          <w:rFonts w:cs="Arial"/>
        </w:rPr>
        <w:t>Fabio Bacchetta Cattori e Bixio Caprara</w:t>
      </w:r>
      <w:r>
        <w:rPr>
          <w:rFonts w:cs="Arial"/>
          <w:szCs w:val="24"/>
        </w:rPr>
        <w:t>, relatori</w:t>
      </w:r>
    </w:p>
    <w:p w:rsidR="002A5A52" w:rsidRDefault="002A5A52" w:rsidP="002A5A52">
      <w:pPr>
        <w:rPr>
          <w:rFonts w:cs="Arial"/>
        </w:rPr>
      </w:pPr>
      <w:bookmarkStart w:id="3" w:name="OLE_LINK1"/>
      <w:bookmarkStart w:id="4" w:name="OLE_LINK2"/>
      <w:r>
        <w:rPr>
          <w:rFonts w:cs="Arial"/>
        </w:rPr>
        <w:t xml:space="preserve">Badasci - Caverzasio (con riserva) - Dadò - </w:t>
      </w:r>
    </w:p>
    <w:p w:rsidR="002A5A52" w:rsidRDefault="002A5A52" w:rsidP="002A5A52">
      <w:pPr>
        <w:rPr>
          <w:rFonts w:cs="Arial"/>
        </w:rPr>
      </w:pPr>
      <w:r>
        <w:rPr>
          <w:rFonts w:cs="Arial"/>
        </w:rPr>
        <w:t xml:space="preserve">Durisch - Garobbio - Garzoli - Guerra - </w:t>
      </w:r>
    </w:p>
    <w:p w:rsidR="002A5A52" w:rsidRDefault="002A5A52" w:rsidP="002A5A52">
      <w:pPr>
        <w:rPr>
          <w:rFonts w:cs="Arial"/>
        </w:rPr>
      </w:pPr>
      <w:r>
        <w:rPr>
          <w:rFonts w:cs="Arial"/>
        </w:rPr>
        <w:t>Pini - Pinoja (con riserva) - Quadranti</w:t>
      </w:r>
    </w:p>
    <w:bookmarkEnd w:id="3"/>
    <w:bookmarkEnd w:id="4"/>
    <w:p w:rsidR="00380CC1" w:rsidRPr="00076E70" w:rsidRDefault="00380CC1" w:rsidP="00380CC1">
      <w:pPr>
        <w:rPr>
          <w:rFonts w:cs="Arial"/>
          <w:szCs w:val="24"/>
        </w:rPr>
      </w:pPr>
    </w:p>
    <w:p w:rsidR="00380CC1" w:rsidRPr="00F316EB" w:rsidRDefault="00380CC1" w:rsidP="00380CC1">
      <w:pPr>
        <w:rPr>
          <w:rFonts w:cs="Arial"/>
        </w:rPr>
      </w:pPr>
      <w:r w:rsidRPr="00F316EB">
        <w:rPr>
          <w:rFonts w:cs="Arial"/>
        </w:rPr>
        <w:br w:type="page"/>
      </w:r>
    </w:p>
    <w:p w:rsidR="00380CC1" w:rsidRPr="00F316EB" w:rsidRDefault="00380CC1" w:rsidP="00380CC1">
      <w:pPr>
        <w:pStyle w:val="NormaleWeb"/>
        <w:spacing w:before="0" w:beforeAutospacing="0" w:after="0" w:afterAutospacing="0" w:line="240" w:lineRule="auto"/>
        <w:rPr>
          <w:rFonts w:ascii="Arial" w:hAnsi="Arial" w:cs="Arial"/>
        </w:rPr>
      </w:pPr>
      <w:r w:rsidRPr="00F316EB">
        <w:rPr>
          <w:rFonts w:ascii="Arial" w:hAnsi="Arial" w:cs="Arial"/>
        </w:rPr>
        <w:lastRenderedPageBreak/>
        <w:t>Disegno di</w:t>
      </w:r>
    </w:p>
    <w:p w:rsidR="00380CC1" w:rsidRPr="00F316EB" w:rsidRDefault="00380CC1" w:rsidP="00380CC1">
      <w:pPr>
        <w:pStyle w:val="NormaleWeb"/>
        <w:spacing w:before="0" w:beforeAutospacing="0" w:after="0" w:afterAutospacing="0" w:line="240" w:lineRule="auto"/>
        <w:rPr>
          <w:rFonts w:ascii="Arial" w:hAnsi="Arial" w:cs="Arial"/>
        </w:rPr>
      </w:pPr>
    </w:p>
    <w:p w:rsidR="00380CC1" w:rsidRPr="00F316EB" w:rsidRDefault="00380CC1" w:rsidP="00E274D8">
      <w:pPr>
        <w:pStyle w:val="NormaleWeb"/>
        <w:spacing w:before="120" w:beforeAutospacing="0" w:after="0" w:afterAutospacing="0" w:line="240" w:lineRule="auto"/>
        <w:rPr>
          <w:rFonts w:ascii="Arial" w:hAnsi="Arial" w:cs="Arial"/>
          <w:b/>
        </w:rPr>
      </w:pPr>
      <w:r w:rsidRPr="00F316EB">
        <w:rPr>
          <w:rFonts w:ascii="Arial" w:hAnsi="Arial" w:cs="Arial"/>
          <w:b/>
        </w:rPr>
        <w:t>DECRETO LEGISLATIVO</w:t>
      </w:r>
    </w:p>
    <w:p w:rsidR="00380CC1" w:rsidRPr="00F316EB" w:rsidRDefault="00380CC1" w:rsidP="00380CC1">
      <w:pPr>
        <w:tabs>
          <w:tab w:val="left" w:pos="4962"/>
        </w:tabs>
        <w:spacing w:before="120"/>
        <w:ind w:right="-109"/>
        <w:rPr>
          <w:rFonts w:cs="Arial"/>
          <w:b/>
        </w:rPr>
      </w:pPr>
      <w:r w:rsidRPr="00F316EB">
        <w:rPr>
          <w:rFonts w:cs="Arial"/>
          <w:b/>
        </w:rPr>
        <w:t xml:space="preserve">concernente lo stanziamento di un credito complessivo di 5'400'000 franchi quale contributo forfettario alla gestione ordinaria, vincolato alla corretta manutenzione degli impianti di risalita ai sensi dell’ordinanza federale sugli impianti a fune, di Airolo, Bosco </w:t>
      </w:r>
      <w:proofErr w:type="spellStart"/>
      <w:r w:rsidRPr="00F316EB">
        <w:rPr>
          <w:rFonts w:cs="Arial"/>
          <w:b/>
        </w:rPr>
        <w:t>Gurin</w:t>
      </w:r>
      <w:proofErr w:type="spellEnd"/>
      <w:r w:rsidRPr="00F316EB">
        <w:rPr>
          <w:rFonts w:cs="Arial"/>
          <w:b/>
        </w:rPr>
        <w:t xml:space="preserve">, Campo Blenio, </w:t>
      </w:r>
      <w:proofErr w:type="spellStart"/>
      <w:r w:rsidRPr="00F316EB">
        <w:rPr>
          <w:rFonts w:cs="Arial"/>
          <w:b/>
        </w:rPr>
        <w:t>Carì</w:t>
      </w:r>
      <w:proofErr w:type="spellEnd"/>
      <w:r w:rsidRPr="00F316EB">
        <w:rPr>
          <w:rFonts w:cs="Arial"/>
          <w:b/>
        </w:rPr>
        <w:t xml:space="preserve"> e Nara per le stagioni invernali dal 2017/18 al 2020/21</w:t>
      </w:r>
    </w:p>
    <w:p w:rsidR="00380CC1" w:rsidRPr="00F316EB" w:rsidRDefault="00380CC1" w:rsidP="00380CC1">
      <w:pPr>
        <w:pStyle w:val="Art"/>
        <w:ind w:left="0" w:right="0"/>
        <w:rPr>
          <w:rFonts w:cs="Arial"/>
          <w:noProof w:val="0"/>
          <w:sz w:val="24"/>
        </w:rPr>
      </w:pPr>
    </w:p>
    <w:p w:rsidR="00380CC1" w:rsidRPr="00F316EB" w:rsidRDefault="00380CC1" w:rsidP="00380CC1">
      <w:pPr>
        <w:pStyle w:val="Art"/>
        <w:ind w:left="0" w:right="0"/>
        <w:rPr>
          <w:rFonts w:cs="Arial"/>
          <w:noProof w:val="0"/>
          <w:sz w:val="24"/>
          <w:szCs w:val="24"/>
        </w:rPr>
      </w:pPr>
    </w:p>
    <w:p w:rsidR="00380CC1" w:rsidRPr="00F316EB" w:rsidRDefault="00380CC1" w:rsidP="00380CC1">
      <w:pPr>
        <w:pStyle w:val="gCCdS"/>
        <w:ind w:left="0" w:right="0"/>
        <w:jc w:val="both"/>
        <w:rPr>
          <w:rFonts w:cs="Arial"/>
          <w:noProof w:val="0"/>
          <w:sz w:val="24"/>
          <w:szCs w:val="24"/>
        </w:rPr>
      </w:pPr>
      <w:r w:rsidRPr="00F316EB">
        <w:rPr>
          <w:rFonts w:cs="Arial"/>
          <w:caps w:val="0"/>
          <w:noProof w:val="0"/>
          <w:sz w:val="24"/>
          <w:szCs w:val="24"/>
        </w:rPr>
        <w:t xml:space="preserve">Il Gran Consiglio </w:t>
      </w:r>
    </w:p>
    <w:p w:rsidR="00380CC1" w:rsidRPr="00F316EB" w:rsidRDefault="00380CC1" w:rsidP="00380CC1">
      <w:pPr>
        <w:pStyle w:val="gCCdS"/>
        <w:ind w:left="0" w:right="0"/>
        <w:jc w:val="both"/>
        <w:rPr>
          <w:rFonts w:cs="Arial"/>
          <w:noProof w:val="0"/>
          <w:sz w:val="24"/>
          <w:szCs w:val="24"/>
        </w:rPr>
      </w:pPr>
      <w:r w:rsidRPr="00F316EB">
        <w:rPr>
          <w:rFonts w:cs="Arial"/>
          <w:caps w:val="0"/>
          <w:noProof w:val="0"/>
          <w:sz w:val="24"/>
          <w:szCs w:val="24"/>
        </w:rPr>
        <w:t xml:space="preserve">della Repubblica e Cantone Ticino </w:t>
      </w:r>
    </w:p>
    <w:p w:rsidR="00380CC1" w:rsidRPr="00F316EB" w:rsidRDefault="00380CC1" w:rsidP="00380CC1">
      <w:pPr>
        <w:pStyle w:val="Art"/>
        <w:ind w:left="0" w:right="0"/>
        <w:rPr>
          <w:rFonts w:cs="Arial"/>
          <w:noProof w:val="0"/>
          <w:sz w:val="24"/>
          <w:szCs w:val="24"/>
        </w:rPr>
      </w:pPr>
    </w:p>
    <w:p w:rsidR="00380CC1" w:rsidRPr="00F316EB" w:rsidRDefault="00380CC1" w:rsidP="00380CC1">
      <w:pPr>
        <w:pStyle w:val="NormaleWeb"/>
        <w:tabs>
          <w:tab w:val="left" w:pos="3686"/>
          <w:tab w:val="left" w:pos="4820"/>
        </w:tabs>
        <w:spacing w:before="0" w:beforeAutospacing="0" w:after="0" w:afterAutospacing="0" w:line="240" w:lineRule="auto"/>
        <w:rPr>
          <w:rFonts w:ascii="Arial" w:hAnsi="Arial" w:cs="Arial"/>
        </w:rPr>
      </w:pPr>
      <w:r w:rsidRPr="00F316EB">
        <w:rPr>
          <w:rFonts w:ascii="Arial" w:hAnsi="Arial" w:cs="Arial"/>
        </w:rPr>
        <w:t>visto il messaggio 27 giugno 2017 n. 7337 del Consiglio di Stato,</w:t>
      </w:r>
    </w:p>
    <w:p w:rsidR="00380CC1" w:rsidRPr="00F316EB" w:rsidRDefault="00380CC1" w:rsidP="00380CC1">
      <w:pPr>
        <w:pStyle w:val="NormaleWeb"/>
        <w:spacing w:before="0" w:beforeAutospacing="0" w:after="0" w:afterAutospacing="0" w:line="240" w:lineRule="auto"/>
        <w:rPr>
          <w:rFonts w:ascii="Arial" w:hAnsi="Arial" w:cs="Arial"/>
          <w:bCs/>
        </w:rPr>
      </w:pPr>
    </w:p>
    <w:p w:rsidR="00380CC1" w:rsidRPr="00F316EB" w:rsidRDefault="00380CC1" w:rsidP="00380CC1">
      <w:pPr>
        <w:pStyle w:val="NormaleWeb"/>
        <w:spacing w:before="0" w:beforeAutospacing="0" w:after="0" w:afterAutospacing="0" w:line="240" w:lineRule="auto"/>
        <w:rPr>
          <w:rFonts w:ascii="Arial" w:hAnsi="Arial" w:cs="Arial"/>
          <w:bCs/>
        </w:rPr>
      </w:pPr>
    </w:p>
    <w:p w:rsidR="00380CC1" w:rsidRPr="00F316EB" w:rsidRDefault="00380CC1" w:rsidP="00380CC1">
      <w:pPr>
        <w:pStyle w:val="NormaleWeb"/>
        <w:spacing w:before="0" w:beforeAutospacing="0" w:after="0" w:afterAutospacing="0" w:line="240" w:lineRule="auto"/>
        <w:rPr>
          <w:rFonts w:ascii="Arial" w:hAnsi="Arial" w:cs="Arial"/>
          <w:bCs/>
        </w:rPr>
      </w:pPr>
      <w:r w:rsidRPr="00F316EB">
        <w:rPr>
          <w:rFonts w:ascii="Arial" w:hAnsi="Arial" w:cs="Arial"/>
          <w:b/>
          <w:bCs/>
        </w:rPr>
        <w:t>d e c r e t a :</w:t>
      </w:r>
    </w:p>
    <w:p w:rsidR="00380CC1" w:rsidRPr="00F316EB" w:rsidRDefault="00380CC1" w:rsidP="00380CC1">
      <w:pPr>
        <w:pStyle w:val="NormaleWeb"/>
        <w:spacing w:before="0" w:beforeAutospacing="0" w:after="0" w:afterAutospacing="0" w:line="240" w:lineRule="auto"/>
        <w:rPr>
          <w:rFonts w:ascii="Arial" w:hAnsi="Arial" w:cs="Arial"/>
          <w:bCs/>
        </w:rPr>
      </w:pPr>
    </w:p>
    <w:p w:rsidR="00380CC1" w:rsidRPr="00F316EB" w:rsidRDefault="00380CC1" w:rsidP="00380CC1">
      <w:pPr>
        <w:pStyle w:val="NormaleWeb"/>
        <w:spacing w:before="0" w:beforeAutospacing="0" w:after="0" w:afterAutospacing="0" w:line="240" w:lineRule="auto"/>
        <w:rPr>
          <w:rFonts w:ascii="Arial" w:hAnsi="Arial" w:cs="Arial"/>
          <w:bCs/>
        </w:rPr>
      </w:pPr>
    </w:p>
    <w:p w:rsidR="00380CC1" w:rsidRPr="00F316EB" w:rsidRDefault="00380CC1" w:rsidP="00380CC1">
      <w:pPr>
        <w:pStyle w:val="NormaleWeb"/>
        <w:spacing w:before="0" w:beforeAutospacing="0" w:after="120" w:afterAutospacing="0" w:line="240" w:lineRule="auto"/>
        <w:rPr>
          <w:rFonts w:ascii="Arial" w:hAnsi="Arial" w:cs="Arial"/>
          <w:b/>
          <w:bCs/>
          <w:u w:val="single"/>
        </w:rPr>
      </w:pPr>
      <w:r w:rsidRPr="00F316EB">
        <w:rPr>
          <w:rFonts w:ascii="Arial" w:hAnsi="Arial" w:cs="Arial"/>
          <w:b/>
          <w:bCs/>
          <w:u w:val="single"/>
        </w:rPr>
        <w:t>Articolo 1</w:t>
      </w:r>
    </w:p>
    <w:p w:rsidR="00380CC1" w:rsidRPr="00F316EB" w:rsidRDefault="00380CC1" w:rsidP="00380CC1">
      <w:pPr>
        <w:pStyle w:val="NormaleWeb"/>
        <w:spacing w:before="0" w:beforeAutospacing="0" w:after="0" w:afterAutospacing="0" w:line="240" w:lineRule="auto"/>
        <w:rPr>
          <w:rFonts w:ascii="Arial" w:hAnsi="Arial" w:cs="Arial"/>
        </w:rPr>
      </w:pPr>
      <w:r w:rsidRPr="00F316EB">
        <w:rPr>
          <w:rFonts w:ascii="Arial" w:hAnsi="Arial" w:cs="Arial"/>
        </w:rPr>
        <w:t xml:space="preserve">È stanziato un credito complessivo di 5'400'000 franchi quale contributo a fondo perso a parziale copertura dei costi di manutenzione ordinaria degli impianti di risalita di Airolo, </w:t>
      </w:r>
      <w:proofErr w:type="spellStart"/>
      <w:r w:rsidRPr="00F316EB">
        <w:rPr>
          <w:rFonts w:ascii="Arial" w:hAnsi="Arial" w:cs="Arial"/>
        </w:rPr>
        <w:t>Carì</w:t>
      </w:r>
      <w:proofErr w:type="spellEnd"/>
      <w:r w:rsidRPr="00F316EB">
        <w:rPr>
          <w:rFonts w:ascii="Arial" w:hAnsi="Arial" w:cs="Arial"/>
        </w:rPr>
        <w:t xml:space="preserve">, Bosco </w:t>
      </w:r>
      <w:proofErr w:type="spellStart"/>
      <w:r w:rsidRPr="00F316EB">
        <w:rPr>
          <w:rFonts w:ascii="Arial" w:hAnsi="Arial" w:cs="Arial"/>
        </w:rPr>
        <w:t>Gurin</w:t>
      </w:r>
      <w:proofErr w:type="spellEnd"/>
      <w:r w:rsidRPr="00F316EB">
        <w:rPr>
          <w:rFonts w:ascii="Arial" w:hAnsi="Arial" w:cs="Arial"/>
        </w:rPr>
        <w:t>, Campo Blenio e Nara per le stagioni invernali dal 2017/18 al 2020/21.</w:t>
      </w:r>
    </w:p>
    <w:p w:rsidR="00380CC1" w:rsidRPr="00F316EB" w:rsidRDefault="00380CC1" w:rsidP="00380CC1">
      <w:pPr>
        <w:pStyle w:val="NormaleWeb"/>
        <w:spacing w:before="0" w:beforeAutospacing="0" w:after="0" w:afterAutospacing="0" w:line="240" w:lineRule="auto"/>
        <w:rPr>
          <w:rFonts w:ascii="Arial" w:hAnsi="Arial" w:cs="Arial"/>
        </w:rPr>
      </w:pPr>
    </w:p>
    <w:p w:rsidR="00380CC1" w:rsidRDefault="00380CC1" w:rsidP="00380CC1">
      <w:pPr>
        <w:pStyle w:val="Default"/>
      </w:pPr>
    </w:p>
    <w:p w:rsidR="00380CC1" w:rsidRPr="00F316EB" w:rsidRDefault="00380CC1" w:rsidP="00380CC1">
      <w:pPr>
        <w:pStyle w:val="NormaleWeb"/>
        <w:spacing w:before="0" w:beforeAutospacing="0" w:after="120" w:afterAutospacing="0" w:line="240" w:lineRule="auto"/>
        <w:rPr>
          <w:rFonts w:ascii="Arial" w:hAnsi="Arial" w:cs="Arial"/>
          <w:b/>
          <w:bCs/>
          <w:u w:val="single"/>
        </w:rPr>
      </w:pPr>
      <w:r w:rsidRPr="00F316EB">
        <w:rPr>
          <w:rFonts w:ascii="Arial" w:hAnsi="Arial" w:cs="Arial"/>
          <w:b/>
          <w:bCs/>
          <w:u w:val="single"/>
        </w:rPr>
        <w:t>Articolo 2</w:t>
      </w:r>
    </w:p>
    <w:p w:rsidR="00380CC1" w:rsidRPr="00F316EB" w:rsidRDefault="00380CC1" w:rsidP="00380CC1">
      <w:pPr>
        <w:pStyle w:val="NormaleWeb"/>
        <w:spacing w:before="0" w:beforeAutospacing="0" w:after="0" w:afterAutospacing="0" w:line="240" w:lineRule="auto"/>
        <w:rPr>
          <w:rFonts w:ascii="Arial" w:hAnsi="Arial" w:cs="Arial"/>
        </w:rPr>
      </w:pPr>
      <w:r w:rsidRPr="00F316EB">
        <w:rPr>
          <w:rFonts w:ascii="Arial" w:hAnsi="Arial" w:cs="Arial"/>
        </w:rPr>
        <w:t xml:space="preserve">Il credito, di cui all'art. 1, è iscritto al conto di gestione corrente del Dipartimento delle finanze e dell'economia, Ufficio dell’amministrazione e del </w:t>
      </w:r>
      <w:proofErr w:type="spellStart"/>
      <w:r w:rsidRPr="00F316EB">
        <w:rPr>
          <w:rFonts w:ascii="Arial" w:hAnsi="Arial" w:cs="Arial"/>
        </w:rPr>
        <w:t>controlling</w:t>
      </w:r>
      <w:proofErr w:type="spellEnd"/>
      <w:r w:rsidRPr="00F316EB">
        <w:rPr>
          <w:rFonts w:ascii="Arial" w:hAnsi="Arial" w:cs="Arial"/>
        </w:rPr>
        <w:t>.</w:t>
      </w:r>
    </w:p>
    <w:p w:rsidR="00380CC1" w:rsidRPr="00F316EB" w:rsidRDefault="00380CC1" w:rsidP="00380CC1">
      <w:pPr>
        <w:pStyle w:val="NormaleWeb"/>
        <w:spacing w:before="0" w:beforeAutospacing="0" w:after="0" w:afterAutospacing="0" w:line="240" w:lineRule="auto"/>
        <w:rPr>
          <w:rFonts w:ascii="Arial" w:hAnsi="Arial" w:cs="Arial"/>
        </w:rPr>
      </w:pPr>
    </w:p>
    <w:p w:rsidR="00380CC1" w:rsidRPr="00F316EB" w:rsidRDefault="00380CC1" w:rsidP="00380CC1">
      <w:pPr>
        <w:pStyle w:val="NormaleWeb"/>
        <w:spacing w:before="0" w:beforeAutospacing="0" w:after="0" w:afterAutospacing="0" w:line="240" w:lineRule="auto"/>
        <w:rPr>
          <w:rFonts w:ascii="Arial" w:hAnsi="Arial" w:cs="Arial"/>
        </w:rPr>
      </w:pPr>
    </w:p>
    <w:p w:rsidR="00380CC1" w:rsidRPr="00F316EB" w:rsidRDefault="00380CC1" w:rsidP="00380CC1">
      <w:pPr>
        <w:pStyle w:val="NormaleWeb"/>
        <w:spacing w:before="0" w:beforeAutospacing="0" w:after="120" w:afterAutospacing="0" w:line="240" w:lineRule="auto"/>
        <w:rPr>
          <w:rFonts w:ascii="Arial" w:hAnsi="Arial" w:cs="Arial"/>
          <w:b/>
          <w:bCs/>
          <w:u w:val="single"/>
        </w:rPr>
      </w:pPr>
      <w:r w:rsidRPr="00F316EB">
        <w:rPr>
          <w:rFonts w:ascii="Arial" w:hAnsi="Arial" w:cs="Arial"/>
          <w:b/>
          <w:bCs/>
          <w:u w:val="single"/>
        </w:rPr>
        <w:t xml:space="preserve">Articolo 3 </w:t>
      </w:r>
    </w:p>
    <w:p w:rsidR="00380CC1" w:rsidRPr="00F316EB" w:rsidRDefault="00380CC1" w:rsidP="00380CC1">
      <w:pPr>
        <w:tabs>
          <w:tab w:val="left" w:pos="567"/>
        </w:tabs>
        <w:rPr>
          <w:rFonts w:cs="Arial"/>
        </w:rPr>
      </w:pPr>
      <w:r w:rsidRPr="00F316EB">
        <w:rPr>
          <w:rFonts w:cs="Arial"/>
          <w:vertAlign w:val="superscript"/>
        </w:rPr>
        <w:t>1</w:t>
      </w:r>
      <w:r w:rsidRPr="00F316EB">
        <w:rPr>
          <w:rFonts w:cs="Arial"/>
        </w:rPr>
        <w:t>I crediti per il quadriennio oggetto del presente decreto, sono ripartiti tra i diversi impianti di risalita nella maniera seguente:</w:t>
      </w:r>
    </w:p>
    <w:p w:rsidR="00380CC1" w:rsidRPr="00F316EB" w:rsidRDefault="00380CC1" w:rsidP="00650208">
      <w:pPr>
        <w:tabs>
          <w:tab w:val="left" w:pos="567"/>
        </w:tabs>
        <w:spacing w:before="60"/>
        <w:rPr>
          <w:rFonts w:cs="Arial"/>
          <w:u w:val="single"/>
        </w:rPr>
      </w:pPr>
      <w:r w:rsidRPr="00F316EB">
        <w:rPr>
          <w:rFonts w:cs="Arial"/>
        </w:rPr>
        <w:t>Airolo: 3’200'000.-;</w:t>
      </w:r>
    </w:p>
    <w:p w:rsidR="00380CC1" w:rsidRPr="00F316EB" w:rsidRDefault="00380CC1" w:rsidP="00650208">
      <w:pPr>
        <w:tabs>
          <w:tab w:val="left" w:pos="567"/>
        </w:tabs>
        <w:spacing w:before="60"/>
        <w:rPr>
          <w:rFonts w:cs="Arial"/>
          <w:u w:val="single"/>
        </w:rPr>
      </w:pPr>
      <w:r w:rsidRPr="00F316EB">
        <w:rPr>
          <w:rFonts w:cs="Arial"/>
        </w:rPr>
        <w:t xml:space="preserve">Bosco </w:t>
      </w:r>
      <w:proofErr w:type="spellStart"/>
      <w:r w:rsidRPr="00F316EB">
        <w:rPr>
          <w:rFonts w:cs="Arial"/>
        </w:rPr>
        <w:t>Gurin</w:t>
      </w:r>
      <w:proofErr w:type="spellEnd"/>
      <w:r w:rsidRPr="00F316EB">
        <w:rPr>
          <w:rFonts w:cs="Arial"/>
        </w:rPr>
        <w:t>: 720'000.-;</w:t>
      </w:r>
    </w:p>
    <w:p w:rsidR="00380CC1" w:rsidRPr="00F316EB" w:rsidRDefault="00380CC1" w:rsidP="00650208">
      <w:pPr>
        <w:tabs>
          <w:tab w:val="left" w:pos="567"/>
        </w:tabs>
        <w:spacing w:before="60"/>
        <w:rPr>
          <w:rFonts w:cs="Arial"/>
          <w:u w:val="single"/>
        </w:rPr>
      </w:pPr>
      <w:r w:rsidRPr="00F316EB">
        <w:rPr>
          <w:rFonts w:cs="Arial"/>
        </w:rPr>
        <w:t>Campo Blenio: 320'000.-;</w:t>
      </w:r>
    </w:p>
    <w:p w:rsidR="00380CC1" w:rsidRPr="00F316EB" w:rsidRDefault="00380CC1" w:rsidP="00650208">
      <w:pPr>
        <w:tabs>
          <w:tab w:val="left" w:pos="567"/>
        </w:tabs>
        <w:spacing w:before="60"/>
        <w:rPr>
          <w:rFonts w:cs="Arial"/>
        </w:rPr>
      </w:pPr>
      <w:proofErr w:type="spellStart"/>
      <w:r w:rsidRPr="00F316EB">
        <w:rPr>
          <w:rFonts w:cs="Arial"/>
        </w:rPr>
        <w:t>Carì</w:t>
      </w:r>
      <w:proofErr w:type="spellEnd"/>
      <w:r w:rsidRPr="00F316EB">
        <w:rPr>
          <w:rFonts w:cs="Arial"/>
        </w:rPr>
        <w:t>: 480'000.-;</w:t>
      </w:r>
    </w:p>
    <w:p w:rsidR="00380CC1" w:rsidRPr="00F316EB" w:rsidRDefault="00380CC1" w:rsidP="00650208">
      <w:pPr>
        <w:tabs>
          <w:tab w:val="left" w:pos="567"/>
        </w:tabs>
        <w:spacing w:before="60"/>
        <w:rPr>
          <w:rFonts w:cs="Arial"/>
        </w:rPr>
      </w:pPr>
      <w:r w:rsidRPr="00F316EB">
        <w:rPr>
          <w:rFonts w:cs="Arial"/>
        </w:rPr>
        <w:t>Nara: 680'000.-.</w:t>
      </w:r>
    </w:p>
    <w:p w:rsidR="00380CC1" w:rsidRPr="00F316EB" w:rsidRDefault="00380CC1" w:rsidP="00380CC1">
      <w:pPr>
        <w:rPr>
          <w:rFonts w:cs="Arial"/>
        </w:rPr>
      </w:pPr>
    </w:p>
    <w:p w:rsidR="00380CC1" w:rsidRPr="00F316EB" w:rsidRDefault="00380CC1" w:rsidP="00380CC1">
      <w:pPr>
        <w:pStyle w:val="NormaleWeb"/>
        <w:spacing w:before="0" w:beforeAutospacing="0" w:after="0" w:afterAutospacing="0" w:line="240" w:lineRule="auto"/>
        <w:rPr>
          <w:rFonts w:ascii="Arial" w:hAnsi="Arial" w:cs="Arial"/>
        </w:rPr>
      </w:pPr>
      <w:r w:rsidRPr="00F316EB">
        <w:rPr>
          <w:rFonts w:ascii="Arial" w:hAnsi="Arial" w:cs="Arial"/>
          <w:vertAlign w:val="superscript"/>
        </w:rPr>
        <w:t>2</w:t>
      </w:r>
      <w:r w:rsidRPr="00F316EB">
        <w:rPr>
          <w:rFonts w:ascii="Arial" w:hAnsi="Arial" w:cs="Arial"/>
        </w:rPr>
        <w:t>Possono beneficiare dei sussidi i proprietari e i gestori degli impianti di cui al cpv. 1. I beneficiari assoggettati alla legge sulle commesse pubbliche (</w:t>
      </w:r>
      <w:proofErr w:type="spellStart"/>
      <w:r w:rsidRPr="00F316EB">
        <w:rPr>
          <w:rFonts w:ascii="Arial" w:hAnsi="Arial" w:cs="Arial"/>
        </w:rPr>
        <w:t>LCPubb</w:t>
      </w:r>
      <w:proofErr w:type="spellEnd"/>
      <w:r w:rsidRPr="00F316EB">
        <w:rPr>
          <w:rFonts w:ascii="Arial" w:hAnsi="Arial" w:cs="Arial"/>
        </w:rPr>
        <w:t xml:space="preserve">) sono tenuti a dotarsi di un unico consulente indipendente ai sensi degli art. 60 cpv. 3 e 60a del regolamento di applicazione della legge sulle commesse pubbliche e del concordato </w:t>
      </w:r>
      <w:proofErr w:type="spellStart"/>
      <w:r w:rsidRPr="00F316EB">
        <w:rPr>
          <w:rFonts w:ascii="Arial" w:hAnsi="Arial" w:cs="Arial"/>
        </w:rPr>
        <w:t>intercantonale</w:t>
      </w:r>
      <w:proofErr w:type="spellEnd"/>
      <w:r w:rsidRPr="00F316EB">
        <w:rPr>
          <w:rFonts w:ascii="Arial" w:hAnsi="Arial" w:cs="Arial"/>
        </w:rPr>
        <w:t xml:space="preserve"> sugli appalti pubblici (</w:t>
      </w:r>
      <w:proofErr w:type="spellStart"/>
      <w:r w:rsidRPr="00F316EB">
        <w:rPr>
          <w:rFonts w:ascii="Arial" w:hAnsi="Arial" w:cs="Arial"/>
        </w:rPr>
        <w:t>RLCPubb</w:t>
      </w:r>
      <w:proofErr w:type="spellEnd"/>
      <w:r w:rsidRPr="00F316EB">
        <w:rPr>
          <w:rFonts w:ascii="Arial" w:hAnsi="Arial" w:cs="Arial"/>
        </w:rPr>
        <w:t>/CIAP).</w:t>
      </w:r>
    </w:p>
    <w:p w:rsidR="00380CC1" w:rsidRPr="00F316EB" w:rsidRDefault="00380CC1" w:rsidP="00380CC1">
      <w:pPr>
        <w:pStyle w:val="NormaleWeb"/>
        <w:spacing w:before="0" w:beforeAutospacing="0" w:after="0" w:afterAutospacing="0" w:line="240" w:lineRule="auto"/>
        <w:rPr>
          <w:rFonts w:ascii="Arial" w:hAnsi="Arial" w:cs="Arial"/>
        </w:rPr>
      </w:pPr>
    </w:p>
    <w:p w:rsidR="00380CC1" w:rsidRPr="00F316EB" w:rsidRDefault="00380CC1" w:rsidP="00380CC1">
      <w:pPr>
        <w:tabs>
          <w:tab w:val="left" w:pos="567"/>
        </w:tabs>
        <w:rPr>
          <w:rFonts w:cs="Arial"/>
        </w:rPr>
      </w:pPr>
      <w:r w:rsidRPr="00F316EB">
        <w:rPr>
          <w:rFonts w:cs="Arial"/>
          <w:vertAlign w:val="superscript"/>
        </w:rPr>
        <w:t>3</w:t>
      </w:r>
      <w:r w:rsidRPr="00F316EB">
        <w:rPr>
          <w:rFonts w:cs="Arial"/>
        </w:rPr>
        <w:t>Il Consiglio di Stato fisserà, mediante decreto esecutivo, i criteri per la determinazione e l’attribuzione dei sussidi, tenendo conto delle prescrizioni in materia di manutenzione previste dall’ordinanza federale sugli impianti a fune.</w:t>
      </w:r>
    </w:p>
    <w:p w:rsidR="00380CC1" w:rsidRPr="00F316EB" w:rsidRDefault="00380CC1" w:rsidP="00380CC1">
      <w:pPr>
        <w:rPr>
          <w:rFonts w:cs="Arial"/>
        </w:rPr>
      </w:pPr>
    </w:p>
    <w:p w:rsidR="00380CC1" w:rsidRPr="00F316EB" w:rsidRDefault="00380CC1" w:rsidP="00380CC1">
      <w:pPr>
        <w:rPr>
          <w:rFonts w:cs="Arial"/>
        </w:rPr>
      </w:pPr>
    </w:p>
    <w:p w:rsidR="00380CC1" w:rsidRPr="00F316EB" w:rsidRDefault="00380CC1" w:rsidP="00380CC1">
      <w:pPr>
        <w:spacing w:line="230" w:lineRule="atLeast"/>
        <w:rPr>
          <w:rFonts w:cs="Arial"/>
          <w:b/>
          <w:bCs/>
          <w:u w:val="single"/>
        </w:rPr>
      </w:pPr>
      <w:r w:rsidRPr="00F316EB">
        <w:rPr>
          <w:rFonts w:cs="Arial"/>
          <w:b/>
          <w:bCs/>
          <w:u w:val="single"/>
        </w:rPr>
        <w:t>Articolo 4</w:t>
      </w:r>
    </w:p>
    <w:p w:rsidR="00380CC1" w:rsidRPr="00F316EB" w:rsidRDefault="00380CC1" w:rsidP="00380CC1">
      <w:pPr>
        <w:spacing w:before="120" w:line="230" w:lineRule="atLeast"/>
        <w:rPr>
          <w:rFonts w:cs="Arial"/>
        </w:rPr>
      </w:pPr>
      <w:r w:rsidRPr="00F316EB">
        <w:rPr>
          <w:rFonts w:cs="Arial"/>
        </w:rPr>
        <w:t xml:space="preserve">Trascorsi i termini per l’esercizio del diritto di referendum, il presente decreto legislativo è pubblicato nel Bollettino ufficiale delle leggi ed entra immediatamente in vigore. </w:t>
      </w:r>
    </w:p>
    <w:p w:rsidR="00380CC1" w:rsidRPr="00F316EB" w:rsidRDefault="00380CC1" w:rsidP="00380CC1">
      <w:pPr>
        <w:spacing w:before="120" w:line="230" w:lineRule="atLeast"/>
        <w:rPr>
          <w:rFonts w:cs="Arial"/>
        </w:rPr>
      </w:pPr>
      <w:r w:rsidRPr="00F316EB">
        <w:rPr>
          <w:rFonts w:cs="Arial"/>
        </w:rPr>
        <w:t xml:space="preserve">Esso decade con l’esaurimento del credito o al più tardi entro il 30 giugno 2021. </w:t>
      </w:r>
    </w:p>
    <w:p w:rsidR="00380CC1" w:rsidRDefault="00380CC1" w:rsidP="00380CC1">
      <w:pPr>
        <w:pStyle w:val="Default"/>
      </w:pPr>
    </w:p>
    <w:p w:rsidR="00650208" w:rsidRDefault="00650208">
      <w:pPr>
        <w:rPr>
          <w:rFonts w:eastAsia="Times New Roman" w:cs="Arial"/>
          <w:szCs w:val="24"/>
          <w:lang w:eastAsia="it-CH"/>
        </w:rPr>
      </w:pPr>
      <w:r>
        <w:br w:type="page"/>
      </w:r>
    </w:p>
    <w:p w:rsidR="00380CC1" w:rsidRDefault="00650208" w:rsidP="00380CC1">
      <w:pPr>
        <w:pStyle w:val="Default"/>
        <w:rPr>
          <w:color w:val="auto"/>
        </w:rPr>
      </w:pPr>
      <w:r>
        <w:rPr>
          <w:color w:val="auto"/>
        </w:rPr>
        <w:lastRenderedPageBreak/>
        <w:t>Disegno di</w:t>
      </w:r>
    </w:p>
    <w:p w:rsidR="00650208" w:rsidRDefault="00650208" w:rsidP="00380CC1">
      <w:pPr>
        <w:pStyle w:val="Default"/>
        <w:rPr>
          <w:color w:val="auto"/>
        </w:rPr>
      </w:pPr>
    </w:p>
    <w:p w:rsidR="00380CC1" w:rsidRDefault="00380CC1" w:rsidP="00E274D8">
      <w:pPr>
        <w:pStyle w:val="NormaleWeb"/>
        <w:spacing w:before="120" w:beforeAutospacing="0" w:after="0" w:afterAutospacing="0" w:line="240" w:lineRule="auto"/>
        <w:rPr>
          <w:rFonts w:ascii="Arial" w:hAnsi="Arial" w:cs="Arial"/>
          <w:b/>
        </w:rPr>
      </w:pPr>
      <w:r w:rsidRPr="00F316EB">
        <w:rPr>
          <w:rFonts w:ascii="Arial" w:hAnsi="Arial" w:cs="Arial"/>
          <w:b/>
        </w:rPr>
        <w:t>DECRETO LEGISLATIVO</w:t>
      </w:r>
    </w:p>
    <w:p w:rsidR="00380CC1" w:rsidRPr="002E162F" w:rsidRDefault="00380CC1" w:rsidP="00380CC1">
      <w:pPr>
        <w:spacing w:before="120" w:line="230" w:lineRule="atLeast"/>
        <w:rPr>
          <w:rFonts w:cs="Arial"/>
          <w:b/>
        </w:rPr>
      </w:pPr>
      <w:r w:rsidRPr="002E162F">
        <w:rPr>
          <w:rFonts w:cs="Arial"/>
          <w:b/>
        </w:rPr>
        <w:t xml:space="preserve">concernente lo stanziamento di un credito quadro di </w:t>
      </w:r>
      <w:proofErr w:type="spellStart"/>
      <w:r w:rsidRPr="002E162F">
        <w:rPr>
          <w:rFonts w:cs="Arial"/>
          <w:b/>
        </w:rPr>
        <w:t>fr</w:t>
      </w:r>
      <w:proofErr w:type="spellEnd"/>
      <w:r w:rsidRPr="002E162F">
        <w:rPr>
          <w:rFonts w:cs="Arial"/>
          <w:b/>
        </w:rPr>
        <w:t>. 13'000'000.- per misure cantonali di politica regionale complementari al Programma d'attuazione della politic</w:t>
      </w:r>
      <w:r w:rsidR="00E274D8">
        <w:rPr>
          <w:rFonts w:cs="Arial"/>
          <w:b/>
        </w:rPr>
        <w:t xml:space="preserve">a economica regionale 2016-2019 del </w:t>
      </w:r>
      <w:r w:rsidR="00650208">
        <w:rPr>
          <w:rFonts w:cs="Arial"/>
          <w:b/>
        </w:rPr>
        <w:t>16 dicembre 2015</w:t>
      </w:r>
      <w:r w:rsidR="00E274D8">
        <w:rPr>
          <w:rFonts w:cs="Arial"/>
          <w:b/>
        </w:rPr>
        <w:t>; modifica</w:t>
      </w:r>
    </w:p>
    <w:p w:rsidR="00650208" w:rsidRDefault="00650208" w:rsidP="00650208">
      <w:pPr>
        <w:pStyle w:val="Art"/>
        <w:ind w:left="0" w:right="0"/>
        <w:rPr>
          <w:rFonts w:cs="Arial"/>
          <w:noProof w:val="0"/>
          <w:sz w:val="24"/>
          <w:szCs w:val="24"/>
        </w:rPr>
      </w:pPr>
    </w:p>
    <w:p w:rsidR="00650208" w:rsidRPr="00F316EB" w:rsidRDefault="00650208" w:rsidP="00650208">
      <w:pPr>
        <w:pStyle w:val="Art"/>
        <w:ind w:left="0" w:right="0"/>
        <w:rPr>
          <w:rFonts w:cs="Arial"/>
          <w:noProof w:val="0"/>
          <w:sz w:val="24"/>
          <w:szCs w:val="24"/>
        </w:rPr>
      </w:pPr>
    </w:p>
    <w:p w:rsidR="00650208" w:rsidRPr="00F316EB" w:rsidRDefault="00650208" w:rsidP="00650208">
      <w:pPr>
        <w:pStyle w:val="gCCdS"/>
        <w:ind w:left="0" w:right="0"/>
        <w:jc w:val="both"/>
        <w:rPr>
          <w:rFonts w:cs="Arial"/>
          <w:noProof w:val="0"/>
          <w:sz w:val="24"/>
          <w:szCs w:val="24"/>
        </w:rPr>
      </w:pPr>
      <w:r w:rsidRPr="00F316EB">
        <w:rPr>
          <w:rFonts w:cs="Arial"/>
          <w:caps w:val="0"/>
          <w:noProof w:val="0"/>
          <w:sz w:val="24"/>
          <w:szCs w:val="24"/>
        </w:rPr>
        <w:t xml:space="preserve">Il Gran Consiglio </w:t>
      </w:r>
    </w:p>
    <w:p w:rsidR="00650208" w:rsidRPr="00F316EB" w:rsidRDefault="00650208" w:rsidP="00650208">
      <w:pPr>
        <w:pStyle w:val="gCCdS"/>
        <w:ind w:left="0" w:right="0"/>
        <w:jc w:val="both"/>
        <w:rPr>
          <w:rFonts w:cs="Arial"/>
          <w:noProof w:val="0"/>
          <w:sz w:val="24"/>
          <w:szCs w:val="24"/>
        </w:rPr>
      </w:pPr>
      <w:r w:rsidRPr="00F316EB">
        <w:rPr>
          <w:rFonts w:cs="Arial"/>
          <w:caps w:val="0"/>
          <w:noProof w:val="0"/>
          <w:sz w:val="24"/>
          <w:szCs w:val="24"/>
        </w:rPr>
        <w:t xml:space="preserve">della Repubblica e Cantone Ticino </w:t>
      </w:r>
    </w:p>
    <w:p w:rsidR="00650208" w:rsidRPr="00F316EB" w:rsidRDefault="00650208" w:rsidP="00650208">
      <w:pPr>
        <w:pStyle w:val="Art"/>
        <w:ind w:left="0" w:right="0"/>
        <w:rPr>
          <w:rFonts w:cs="Arial"/>
          <w:noProof w:val="0"/>
          <w:sz w:val="24"/>
          <w:szCs w:val="24"/>
        </w:rPr>
      </w:pPr>
    </w:p>
    <w:p w:rsidR="00650208" w:rsidRPr="00F316EB" w:rsidRDefault="00650208" w:rsidP="00650208">
      <w:pPr>
        <w:pStyle w:val="NormaleWeb"/>
        <w:tabs>
          <w:tab w:val="left" w:pos="3686"/>
          <w:tab w:val="left" w:pos="4820"/>
        </w:tabs>
        <w:spacing w:before="0" w:beforeAutospacing="0" w:after="0" w:afterAutospacing="0" w:line="240" w:lineRule="auto"/>
        <w:rPr>
          <w:rFonts w:ascii="Arial" w:hAnsi="Arial" w:cs="Arial"/>
        </w:rPr>
      </w:pPr>
      <w:r w:rsidRPr="00F316EB">
        <w:rPr>
          <w:rFonts w:ascii="Arial" w:hAnsi="Arial" w:cs="Arial"/>
        </w:rPr>
        <w:t xml:space="preserve">visto il </w:t>
      </w:r>
      <w:r>
        <w:rPr>
          <w:rFonts w:ascii="Arial" w:hAnsi="Arial" w:cs="Arial"/>
        </w:rPr>
        <w:t>rapport</w:t>
      </w:r>
      <w:r w:rsidRPr="00F316EB">
        <w:rPr>
          <w:rFonts w:ascii="Arial" w:hAnsi="Arial" w:cs="Arial"/>
        </w:rPr>
        <w:t>o 2</w:t>
      </w:r>
      <w:r>
        <w:rPr>
          <w:rFonts w:ascii="Arial" w:hAnsi="Arial" w:cs="Arial"/>
        </w:rPr>
        <w:t>8 novembre 2017 n. 7337R della Commissione della gestione e delle finanze,</w:t>
      </w:r>
    </w:p>
    <w:p w:rsidR="00650208" w:rsidRPr="00F316EB" w:rsidRDefault="00650208" w:rsidP="00650208">
      <w:pPr>
        <w:pStyle w:val="NormaleWeb"/>
        <w:spacing w:before="0" w:beforeAutospacing="0" w:after="0" w:afterAutospacing="0" w:line="240" w:lineRule="auto"/>
        <w:rPr>
          <w:rFonts w:ascii="Arial" w:hAnsi="Arial" w:cs="Arial"/>
          <w:bCs/>
        </w:rPr>
      </w:pPr>
    </w:p>
    <w:p w:rsidR="00650208" w:rsidRPr="00F316EB" w:rsidRDefault="00650208" w:rsidP="00650208">
      <w:pPr>
        <w:pStyle w:val="NormaleWeb"/>
        <w:spacing w:before="0" w:beforeAutospacing="0" w:after="0" w:afterAutospacing="0" w:line="240" w:lineRule="auto"/>
        <w:rPr>
          <w:rFonts w:ascii="Arial" w:hAnsi="Arial" w:cs="Arial"/>
          <w:bCs/>
        </w:rPr>
      </w:pPr>
    </w:p>
    <w:p w:rsidR="00650208" w:rsidRPr="00F316EB" w:rsidRDefault="00650208" w:rsidP="00650208">
      <w:pPr>
        <w:pStyle w:val="NormaleWeb"/>
        <w:spacing w:before="0" w:beforeAutospacing="0" w:after="0" w:afterAutospacing="0" w:line="240" w:lineRule="auto"/>
        <w:rPr>
          <w:rFonts w:ascii="Arial" w:hAnsi="Arial" w:cs="Arial"/>
          <w:bCs/>
        </w:rPr>
      </w:pPr>
      <w:r w:rsidRPr="00F316EB">
        <w:rPr>
          <w:rFonts w:ascii="Arial" w:hAnsi="Arial" w:cs="Arial"/>
          <w:b/>
          <w:bCs/>
        </w:rPr>
        <w:t>d e c r e t a :</w:t>
      </w:r>
    </w:p>
    <w:p w:rsidR="00650208" w:rsidRPr="00F316EB" w:rsidRDefault="00650208" w:rsidP="00650208">
      <w:pPr>
        <w:pStyle w:val="NormaleWeb"/>
        <w:spacing w:before="0" w:beforeAutospacing="0" w:after="0" w:afterAutospacing="0" w:line="240" w:lineRule="auto"/>
        <w:rPr>
          <w:rFonts w:ascii="Arial" w:hAnsi="Arial" w:cs="Arial"/>
          <w:bCs/>
        </w:rPr>
      </w:pPr>
    </w:p>
    <w:p w:rsidR="00650208" w:rsidRPr="00F316EB" w:rsidRDefault="00650208" w:rsidP="00650208">
      <w:pPr>
        <w:pStyle w:val="NormaleWeb"/>
        <w:spacing w:before="0" w:beforeAutospacing="0" w:after="0" w:afterAutospacing="0" w:line="240" w:lineRule="auto"/>
        <w:rPr>
          <w:rFonts w:ascii="Arial" w:hAnsi="Arial" w:cs="Arial"/>
          <w:bCs/>
        </w:rPr>
      </w:pPr>
    </w:p>
    <w:p w:rsidR="00E274D8" w:rsidRPr="00650208" w:rsidRDefault="00650208" w:rsidP="00650208">
      <w:pPr>
        <w:rPr>
          <w:rFonts w:cs="Arial"/>
          <w:b/>
        </w:rPr>
      </w:pPr>
      <w:r w:rsidRPr="00650208">
        <w:rPr>
          <w:rFonts w:cs="Arial"/>
          <w:b/>
        </w:rPr>
        <w:t>I.</w:t>
      </w:r>
    </w:p>
    <w:p w:rsidR="00E274D8" w:rsidRDefault="00650208" w:rsidP="00380CC1">
      <w:pPr>
        <w:spacing w:before="120" w:line="230" w:lineRule="atLeast"/>
        <w:rPr>
          <w:rFonts w:cs="Arial"/>
        </w:rPr>
      </w:pPr>
      <w:r>
        <w:rPr>
          <w:rFonts w:cs="Arial"/>
        </w:rPr>
        <w:t xml:space="preserve">Il decreto legislativo </w:t>
      </w:r>
      <w:r w:rsidRPr="00650208">
        <w:rPr>
          <w:rFonts w:cs="Arial"/>
        </w:rPr>
        <w:t xml:space="preserve">concernente lo stanziamento di un credito quadro di </w:t>
      </w:r>
      <w:proofErr w:type="spellStart"/>
      <w:r w:rsidRPr="00650208">
        <w:rPr>
          <w:rFonts w:cs="Arial"/>
        </w:rPr>
        <w:t>fr</w:t>
      </w:r>
      <w:proofErr w:type="spellEnd"/>
      <w:r w:rsidRPr="00650208">
        <w:rPr>
          <w:rFonts w:cs="Arial"/>
        </w:rPr>
        <w:t>. 13'000'000.- per misure cantonali di politica regionale complementari al Programma d'attuazione della politica economica regionale 2016-2019 del 16 dicembre 2015</w:t>
      </w:r>
      <w:r>
        <w:rPr>
          <w:rFonts w:cs="Arial"/>
        </w:rPr>
        <w:t xml:space="preserve"> è modificato come segue:</w:t>
      </w:r>
    </w:p>
    <w:p w:rsidR="00E274D8" w:rsidRDefault="00E274D8" w:rsidP="00650208">
      <w:pPr>
        <w:spacing w:before="120" w:line="230" w:lineRule="atLeast"/>
        <w:ind w:left="1134"/>
        <w:rPr>
          <w:rFonts w:cs="Arial"/>
        </w:rPr>
      </w:pPr>
    </w:p>
    <w:p w:rsidR="00380CC1" w:rsidRPr="00650208" w:rsidRDefault="00380CC1" w:rsidP="00650208">
      <w:pPr>
        <w:pStyle w:val="Default"/>
        <w:ind w:left="1134"/>
        <w:rPr>
          <w:color w:val="auto"/>
          <w:sz w:val="22"/>
          <w:szCs w:val="22"/>
        </w:rPr>
      </w:pPr>
      <w:r w:rsidRPr="00650208">
        <w:rPr>
          <w:b/>
          <w:bCs/>
          <w:color w:val="auto"/>
          <w:sz w:val="22"/>
          <w:szCs w:val="22"/>
        </w:rPr>
        <w:t xml:space="preserve">Articolo 2 </w:t>
      </w:r>
      <w:proofErr w:type="spellStart"/>
      <w:r w:rsidR="00650208">
        <w:rPr>
          <w:b/>
          <w:bCs/>
          <w:color w:val="auto"/>
          <w:sz w:val="22"/>
          <w:szCs w:val="22"/>
        </w:rPr>
        <w:t>lett</w:t>
      </w:r>
      <w:proofErr w:type="spellEnd"/>
      <w:r w:rsidR="00650208" w:rsidRPr="00650208">
        <w:rPr>
          <w:b/>
          <w:bCs/>
          <w:color w:val="auto"/>
          <w:sz w:val="22"/>
          <w:szCs w:val="22"/>
        </w:rPr>
        <w:t>.</w:t>
      </w:r>
      <w:r w:rsidR="00650208">
        <w:rPr>
          <w:b/>
          <w:bCs/>
          <w:color w:val="auto"/>
          <w:sz w:val="22"/>
          <w:szCs w:val="22"/>
        </w:rPr>
        <w:t xml:space="preserve"> </w:t>
      </w:r>
      <w:r w:rsidR="00650208" w:rsidRPr="00650208">
        <w:rPr>
          <w:b/>
          <w:bCs/>
          <w:color w:val="auto"/>
          <w:sz w:val="22"/>
          <w:szCs w:val="22"/>
        </w:rPr>
        <w:t>c) (nuova)</w:t>
      </w:r>
    </w:p>
    <w:p w:rsidR="00380CC1" w:rsidRPr="002E162F" w:rsidRDefault="00380CC1" w:rsidP="00650208">
      <w:pPr>
        <w:pStyle w:val="Default"/>
        <w:ind w:left="1134"/>
        <w:rPr>
          <w:color w:val="auto"/>
          <w:sz w:val="22"/>
          <w:szCs w:val="22"/>
        </w:rPr>
      </w:pPr>
    </w:p>
    <w:p w:rsidR="00380CC1" w:rsidRPr="002E162F" w:rsidRDefault="00650208" w:rsidP="00650208">
      <w:pPr>
        <w:pStyle w:val="Default"/>
        <w:tabs>
          <w:tab w:val="left" w:pos="1560"/>
        </w:tabs>
        <w:ind w:left="1560" w:hanging="426"/>
        <w:jc w:val="both"/>
        <w:rPr>
          <w:color w:val="auto"/>
          <w:sz w:val="22"/>
          <w:szCs w:val="22"/>
        </w:rPr>
      </w:pPr>
      <w:r>
        <w:rPr>
          <w:color w:val="auto"/>
          <w:sz w:val="22"/>
          <w:szCs w:val="22"/>
        </w:rPr>
        <w:t>c)</w:t>
      </w:r>
      <w:r>
        <w:rPr>
          <w:color w:val="auto"/>
          <w:sz w:val="22"/>
          <w:szCs w:val="22"/>
        </w:rPr>
        <w:tab/>
      </w:r>
      <w:r w:rsidR="00380CC1" w:rsidRPr="002E162F">
        <w:rPr>
          <w:color w:val="auto"/>
          <w:sz w:val="22"/>
          <w:szCs w:val="22"/>
        </w:rPr>
        <w:t xml:space="preserve">manutenzione di impianti di risalita invernali minori per le stagioni invernali dal 2017/18 al 2020/21 (Nuove Sciovie Sci Club </w:t>
      </w:r>
      <w:proofErr w:type="spellStart"/>
      <w:r w:rsidR="00380CC1" w:rsidRPr="002E162F">
        <w:rPr>
          <w:color w:val="auto"/>
          <w:sz w:val="22"/>
          <w:szCs w:val="22"/>
        </w:rPr>
        <w:t>Cardada</w:t>
      </w:r>
      <w:proofErr w:type="spellEnd"/>
      <w:r w:rsidR="00380CC1" w:rsidRPr="002E162F">
        <w:rPr>
          <w:color w:val="auto"/>
          <w:sz w:val="22"/>
          <w:szCs w:val="22"/>
        </w:rPr>
        <w:t xml:space="preserve"> </w:t>
      </w:r>
      <w:proofErr w:type="spellStart"/>
      <w:r w:rsidR="00380CC1" w:rsidRPr="002E162F">
        <w:rPr>
          <w:color w:val="auto"/>
          <w:sz w:val="22"/>
          <w:szCs w:val="22"/>
        </w:rPr>
        <w:t>Sagl</w:t>
      </w:r>
      <w:proofErr w:type="spellEnd"/>
      <w:r w:rsidR="00380CC1" w:rsidRPr="002E162F">
        <w:rPr>
          <w:color w:val="auto"/>
          <w:sz w:val="22"/>
          <w:szCs w:val="22"/>
        </w:rPr>
        <w:t xml:space="preserve">, Impianti Sciistici Alpe di </w:t>
      </w:r>
      <w:proofErr w:type="spellStart"/>
      <w:r w:rsidR="00380CC1" w:rsidRPr="002E162F">
        <w:rPr>
          <w:color w:val="auto"/>
          <w:sz w:val="22"/>
          <w:szCs w:val="22"/>
        </w:rPr>
        <w:t>Neggia</w:t>
      </w:r>
      <w:proofErr w:type="spellEnd"/>
      <w:r w:rsidR="00380CC1" w:rsidRPr="002E162F">
        <w:rPr>
          <w:color w:val="auto"/>
          <w:sz w:val="22"/>
          <w:szCs w:val="22"/>
        </w:rPr>
        <w:t xml:space="preserve">, Sci Club </w:t>
      </w:r>
      <w:proofErr w:type="spellStart"/>
      <w:r w:rsidR="00380CC1" w:rsidRPr="002E162F">
        <w:rPr>
          <w:color w:val="auto"/>
          <w:sz w:val="22"/>
          <w:szCs w:val="22"/>
        </w:rPr>
        <w:t>Lavizzara</w:t>
      </w:r>
      <w:proofErr w:type="spellEnd"/>
      <w:r w:rsidR="00380CC1" w:rsidRPr="002E162F">
        <w:rPr>
          <w:color w:val="auto"/>
          <w:sz w:val="22"/>
          <w:szCs w:val="22"/>
        </w:rPr>
        <w:t>/</w:t>
      </w:r>
      <w:proofErr w:type="spellStart"/>
      <w:r w:rsidR="00380CC1" w:rsidRPr="002E162F">
        <w:rPr>
          <w:color w:val="auto"/>
          <w:sz w:val="22"/>
          <w:szCs w:val="22"/>
        </w:rPr>
        <w:t>Mogno</w:t>
      </w:r>
      <w:proofErr w:type="spellEnd"/>
      <w:r w:rsidR="00380CC1" w:rsidRPr="002E162F">
        <w:rPr>
          <w:color w:val="auto"/>
          <w:sz w:val="22"/>
          <w:szCs w:val="22"/>
        </w:rPr>
        <w:t xml:space="preserve">, Sport Club Pizzo Castello/Piano di Peccia, Sciovia </w:t>
      </w:r>
      <w:proofErr w:type="spellStart"/>
      <w:r w:rsidR="00380CC1" w:rsidRPr="002E162F">
        <w:rPr>
          <w:color w:val="auto"/>
          <w:sz w:val="22"/>
          <w:szCs w:val="22"/>
        </w:rPr>
        <w:t>Luina</w:t>
      </w:r>
      <w:proofErr w:type="spellEnd"/>
      <w:r w:rsidR="00380CC1" w:rsidRPr="002E162F">
        <w:rPr>
          <w:color w:val="auto"/>
          <w:sz w:val="22"/>
          <w:szCs w:val="22"/>
        </w:rPr>
        <w:t xml:space="preserve"> SA, Sci Club Prato </w:t>
      </w:r>
      <w:proofErr w:type="spellStart"/>
      <w:r w:rsidR="00380CC1" w:rsidRPr="002E162F">
        <w:rPr>
          <w:color w:val="auto"/>
          <w:sz w:val="22"/>
          <w:szCs w:val="22"/>
        </w:rPr>
        <w:t>Leventina</w:t>
      </w:r>
      <w:proofErr w:type="spellEnd"/>
      <w:r w:rsidR="00380CC1" w:rsidRPr="002E162F">
        <w:rPr>
          <w:color w:val="auto"/>
          <w:sz w:val="22"/>
          <w:szCs w:val="22"/>
        </w:rPr>
        <w:t xml:space="preserve">, </w:t>
      </w:r>
      <w:proofErr w:type="spellStart"/>
      <w:r w:rsidR="00380CC1" w:rsidRPr="002E162F">
        <w:rPr>
          <w:color w:val="auto"/>
          <w:sz w:val="22"/>
          <w:szCs w:val="22"/>
        </w:rPr>
        <w:t>Bedrina</w:t>
      </w:r>
      <w:proofErr w:type="spellEnd"/>
      <w:r w:rsidR="00380CC1" w:rsidRPr="002E162F">
        <w:rPr>
          <w:color w:val="auto"/>
          <w:sz w:val="22"/>
          <w:szCs w:val="22"/>
        </w:rPr>
        <w:t xml:space="preserve"> Sport SA </w:t>
      </w:r>
      <w:proofErr w:type="spellStart"/>
      <w:r w:rsidR="00380CC1" w:rsidRPr="002E162F">
        <w:rPr>
          <w:color w:val="auto"/>
          <w:sz w:val="22"/>
          <w:szCs w:val="22"/>
        </w:rPr>
        <w:t>Dalpe</w:t>
      </w:r>
      <w:proofErr w:type="spellEnd"/>
      <w:r w:rsidR="00380CC1" w:rsidRPr="002E162F">
        <w:rPr>
          <w:color w:val="auto"/>
          <w:sz w:val="22"/>
          <w:szCs w:val="22"/>
        </w:rPr>
        <w:t xml:space="preserve">, Impianti </w:t>
      </w:r>
      <w:proofErr w:type="spellStart"/>
      <w:r w:rsidR="00380CC1" w:rsidRPr="002E162F">
        <w:rPr>
          <w:color w:val="auto"/>
          <w:sz w:val="22"/>
          <w:szCs w:val="22"/>
        </w:rPr>
        <w:t>Cioss</w:t>
      </w:r>
      <w:proofErr w:type="spellEnd"/>
      <w:r w:rsidR="00380CC1" w:rsidRPr="002E162F">
        <w:rPr>
          <w:color w:val="auto"/>
          <w:sz w:val="22"/>
          <w:szCs w:val="22"/>
        </w:rPr>
        <w:t xml:space="preserve"> Prato, Sci Club Monte </w:t>
      </w:r>
      <w:proofErr w:type="spellStart"/>
      <w:r w:rsidR="00380CC1" w:rsidRPr="002E162F">
        <w:rPr>
          <w:color w:val="auto"/>
          <w:sz w:val="22"/>
          <w:szCs w:val="22"/>
        </w:rPr>
        <w:t>Lema</w:t>
      </w:r>
      <w:proofErr w:type="spellEnd"/>
      <w:r w:rsidR="00380CC1" w:rsidRPr="002E162F">
        <w:rPr>
          <w:color w:val="auto"/>
          <w:sz w:val="22"/>
          <w:szCs w:val="22"/>
        </w:rPr>
        <w:t xml:space="preserve">/Sciovia </w:t>
      </w:r>
      <w:proofErr w:type="spellStart"/>
      <w:r w:rsidR="00380CC1" w:rsidRPr="002E162F">
        <w:rPr>
          <w:color w:val="auto"/>
          <w:sz w:val="22"/>
          <w:szCs w:val="22"/>
        </w:rPr>
        <w:t>Bedea-Novaggio</w:t>
      </w:r>
      <w:proofErr w:type="spellEnd"/>
      <w:r w:rsidR="00380CC1" w:rsidRPr="002E162F">
        <w:rPr>
          <w:color w:val="auto"/>
          <w:sz w:val="22"/>
          <w:szCs w:val="22"/>
        </w:rPr>
        <w:t xml:space="preserve">). </w:t>
      </w:r>
    </w:p>
    <w:p w:rsidR="00380CC1" w:rsidRPr="00650208" w:rsidRDefault="00380CC1" w:rsidP="00650208">
      <w:pPr>
        <w:pStyle w:val="Default"/>
        <w:ind w:left="1134"/>
        <w:rPr>
          <w:bCs/>
          <w:color w:val="auto"/>
          <w:sz w:val="22"/>
          <w:szCs w:val="22"/>
        </w:rPr>
      </w:pPr>
    </w:p>
    <w:p w:rsidR="00380CC1" w:rsidRPr="00650208" w:rsidRDefault="00380CC1" w:rsidP="00650208">
      <w:pPr>
        <w:pStyle w:val="Default"/>
        <w:ind w:left="1134"/>
        <w:rPr>
          <w:bCs/>
          <w:color w:val="auto"/>
          <w:sz w:val="22"/>
          <w:szCs w:val="22"/>
        </w:rPr>
      </w:pPr>
    </w:p>
    <w:p w:rsidR="00380CC1" w:rsidRPr="00650208" w:rsidRDefault="00380CC1" w:rsidP="00650208">
      <w:pPr>
        <w:pStyle w:val="Default"/>
        <w:ind w:left="1134"/>
        <w:rPr>
          <w:b/>
          <w:bCs/>
          <w:color w:val="auto"/>
          <w:sz w:val="22"/>
          <w:szCs w:val="22"/>
        </w:rPr>
      </w:pPr>
      <w:r w:rsidRPr="00650208">
        <w:rPr>
          <w:b/>
          <w:bCs/>
          <w:color w:val="auto"/>
          <w:sz w:val="22"/>
          <w:szCs w:val="22"/>
        </w:rPr>
        <w:t xml:space="preserve">Articolo 3 </w:t>
      </w:r>
      <w:r w:rsidR="00650208" w:rsidRPr="00650208">
        <w:rPr>
          <w:b/>
          <w:bCs/>
          <w:color w:val="auto"/>
          <w:sz w:val="22"/>
          <w:szCs w:val="22"/>
        </w:rPr>
        <w:t>cpv. 1 e cpv. 2bis (nuovo)</w:t>
      </w:r>
    </w:p>
    <w:p w:rsidR="00650208" w:rsidRPr="002E162F" w:rsidRDefault="00650208" w:rsidP="00650208">
      <w:pPr>
        <w:pStyle w:val="Default"/>
        <w:ind w:left="1134"/>
        <w:rPr>
          <w:color w:val="auto"/>
          <w:sz w:val="22"/>
          <w:szCs w:val="22"/>
          <w:u w:val="single"/>
        </w:rPr>
      </w:pPr>
    </w:p>
    <w:p w:rsidR="00380CC1" w:rsidRDefault="00380CC1" w:rsidP="00650208">
      <w:pPr>
        <w:pStyle w:val="Default"/>
        <w:ind w:left="1134"/>
        <w:jc w:val="both"/>
        <w:rPr>
          <w:color w:val="auto"/>
          <w:sz w:val="22"/>
          <w:szCs w:val="22"/>
        </w:rPr>
      </w:pPr>
      <w:r w:rsidRPr="002E162F">
        <w:rPr>
          <w:color w:val="auto"/>
          <w:sz w:val="22"/>
          <w:szCs w:val="22"/>
          <w:vertAlign w:val="superscript"/>
        </w:rPr>
        <w:t>1</w:t>
      </w:r>
      <w:r w:rsidRPr="002E162F">
        <w:rPr>
          <w:color w:val="auto"/>
          <w:sz w:val="22"/>
          <w:szCs w:val="22"/>
        </w:rPr>
        <w:t xml:space="preserve">I progetti di cui all'art. 2 </w:t>
      </w:r>
      <w:proofErr w:type="spellStart"/>
      <w:r w:rsidRPr="002E162F">
        <w:rPr>
          <w:color w:val="auto"/>
          <w:sz w:val="22"/>
          <w:szCs w:val="22"/>
        </w:rPr>
        <w:t>lett</w:t>
      </w:r>
      <w:proofErr w:type="spellEnd"/>
      <w:r w:rsidRPr="002E162F">
        <w:rPr>
          <w:color w:val="auto"/>
          <w:sz w:val="22"/>
          <w:szCs w:val="22"/>
        </w:rPr>
        <w:t xml:space="preserve">. a) e </w:t>
      </w:r>
      <w:proofErr w:type="spellStart"/>
      <w:r w:rsidRPr="002E162F">
        <w:rPr>
          <w:color w:val="auto"/>
          <w:sz w:val="22"/>
          <w:szCs w:val="22"/>
        </w:rPr>
        <w:t>lett</w:t>
      </w:r>
      <w:proofErr w:type="spellEnd"/>
      <w:r w:rsidRPr="002E162F">
        <w:rPr>
          <w:color w:val="auto"/>
          <w:sz w:val="22"/>
          <w:szCs w:val="22"/>
        </w:rPr>
        <w:t xml:space="preserve">. c) sono gestiti autonomamente dagli Enti regionali per lo sviluppo. </w:t>
      </w:r>
    </w:p>
    <w:p w:rsidR="00650208" w:rsidRPr="002E162F" w:rsidRDefault="00650208" w:rsidP="00650208">
      <w:pPr>
        <w:pStyle w:val="Default"/>
        <w:ind w:left="1134"/>
        <w:jc w:val="both"/>
        <w:rPr>
          <w:color w:val="auto"/>
          <w:sz w:val="22"/>
          <w:szCs w:val="22"/>
        </w:rPr>
      </w:pPr>
    </w:p>
    <w:p w:rsidR="00380CC1" w:rsidRPr="002E162F" w:rsidRDefault="00380CC1" w:rsidP="009E4F45">
      <w:pPr>
        <w:pStyle w:val="Default"/>
        <w:ind w:left="1134"/>
        <w:jc w:val="both"/>
        <w:rPr>
          <w:color w:val="auto"/>
          <w:sz w:val="22"/>
          <w:szCs w:val="22"/>
        </w:rPr>
      </w:pPr>
      <w:r w:rsidRPr="002E162F">
        <w:rPr>
          <w:color w:val="auto"/>
          <w:sz w:val="22"/>
          <w:szCs w:val="22"/>
          <w:vertAlign w:val="superscript"/>
        </w:rPr>
        <w:t>2bis</w:t>
      </w:r>
      <w:r w:rsidRPr="002E162F">
        <w:rPr>
          <w:color w:val="auto"/>
          <w:sz w:val="22"/>
          <w:szCs w:val="22"/>
        </w:rPr>
        <w:t xml:space="preserve">Il Consiglio di Stato assegna agli Enti regionali per lo sviluppo un contributo massimo di complessivi </w:t>
      </w:r>
      <w:proofErr w:type="spellStart"/>
      <w:r w:rsidRPr="002E162F">
        <w:rPr>
          <w:color w:val="auto"/>
          <w:sz w:val="22"/>
          <w:szCs w:val="22"/>
        </w:rPr>
        <w:t>fr</w:t>
      </w:r>
      <w:proofErr w:type="spellEnd"/>
      <w:r w:rsidRPr="002E162F">
        <w:rPr>
          <w:color w:val="auto"/>
          <w:sz w:val="22"/>
          <w:szCs w:val="22"/>
        </w:rPr>
        <w:t xml:space="preserve">. 274'000.- per il sostegno di progetti di cui all'art. 2 </w:t>
      </w:r>
      <w:proofErr w:type="spellStart"/>
      <w:r w:rsidRPr="002E162F">
        <w:rPr>
          <w:color w:val="auto"/>
          <w:sz w:val="22"/>
          <w:szCs w:val="22"/>
        </w:rPr>
        <w:t>lett</w:t>
      </w:r>
      <w:proofErr w:type="spellEnd"/>
      <w:r w:rsidR="009E4F45">
        <w:rPr>
          <w:color w:val="auto"/>
          <w:sz w:val="22"/>
          <w:szCs w:val="22"/>
        </w:rPr>
        <w:t>.</w:t>
      </w:r>
      <w:r w:rsidRPr="002E162F">
        <w:rPr>
          <w:color w:val="auto"/>
          <w:sz w:val="22"/>
          <w:szCs w:val="22"/>
        </w:rPr>
        <w:t xml:space="preserve"> c).</w:t>
      </w:r>
    </w:p>
    <w:p w:rsidR="00380CC1" w:rsidRDefault="00380CC1" w:rsidP="00380CC1">
      <w:pPr>
        <w:rPr>
          <w:rFonts w:cs="Arial"/>
        </w:rPr>
      </w:pPr>
    </w:p>
    <w:p w:rsidR="00650208" w:rsidRDefault="00650208" w:rsidP="00380CC1">
      <w:pPr>
        <w:rPr>
          <w:rFonts w:cs="Arial"/>
        </w:rPr>
      </w:pPr>
    </w:p>
    <w:p w:rsidR="00650208" w:rsidRPr="00650208" w:rsidRDefault="00650208" w:rsidP="00650208">
      <w:pPr>
        <w:spacing w:line="230" w:lineRule="atLeast"/>
        <w:rPr>
          <w:rFonts w:cs="Arial"/>
          <w:b/>
          <w:bCs/>
        </w:rPr>
      </w:pPr>
      <w:r w:rsidRPr="00650208">
        <w:rPr>
          <w:rFonts w:cs="Arial"/>
          <w:b/>
          <w:bCs/>
        </w:rPr>
        <w:t>II.</w:t>
      </w:r>
    </w:p>
    <w:p w:rsidR="00650208" w:rsidRPr="00F316EB" w:rsidRDefault="00650208" w:rsidP="00650208">
      <w:pPr>
        <w:spacing w:before="120" w:line="230" w:lineRule="atLeast"/>
        <w:rPr>
          <w:rFonts w:cs="Arial"/>
        </w:rPr>
      </w:pPr>
      <w:r w:rsidRPr="00F316EB">
        <w:rPr>
          <w:rFonts w:cs="Arial"/>
        </w:rPr>
        <w:t xml:space="preserve">Trascorsi i termini per l’esercizio del diritto di referendum, il presente decreto legislativo è pubblicato nel Bollettino ufficiale delle leggi ed entra immediatamente in vigore. </w:t>
      </w:r>
    </w:p>
    <w:p w:rsidR="00380CC1" w:rsidRPr="00F316EB" w:rsidRDefault="00380CC1" w:rsidP="00380CC1">
      <w:pPr>
        <w:rPr>
          <w:rFonts w:cs="Arial"/>
        </w:rPr>
      </w:pPr>
    </w:p>
    <w:sectPr w:rsidR="00380CC1" w:rsidRPr="00F316EB" w:rsidSect="00610FF2">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DE" w:rsidRDefault="00D378DE" w:rsidP="008E77C6">
      <w:r>
        <w:separator/>
      </w:r>
    </w:p>
  </w:endnote>
  <w:endnote w:type="continuationSeparator" w:id="0">
    <w:p w:rsidR="00D378DE" w:rsidRDefault="00D378D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C6286" w:rsidRPr="00EC628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DE" w:rsidRDefault="00D378DE" w:rsidP="008E77C6">
      <w:r>
        <w:separator/>
      </w:r>
    </w:p>
  </w:footnote>
  <w:footnote w:type="continuationSeparator" w:id="0">
    <w:p w:rsidR="00D378DE" w:rsidRDefault="00D378D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6E2"/>
    <w:multiLevelType w:val="hybridMultilevel"/>
    <w:tmpl w:val="D53E3AAE"/>
    <w:lvl w:ilvl="0" w:tplc="6F940D8A">
      <w:numFmt w:val="bullet"/>
      <w:lvlText w:val="-"/>
      <w:lvlJc w:val="left"/>
      <w:pPr>
        <w:ind w:left="1410" w:hanging="705"/>
      </w:pPr>
      <w:rPr>
        <w:rFonts w:ascii="Arial" w:eastAsia="Times New Roman" w:hAnsi="Arial" w:hint="default"/>
      </w:rPr>
    </w:lvl>
    <w:lvl w:ilvl="1" w:tplc="08100003" w:tentative="1">
      <w:start w:val="1"/>
      <w:numFmt w:val="bullet"/>
      <w:lvlText w:val="o"/>
      <w:lvlJc w:val="left"/>
      <w:pPr>
        <w:ind w:left="1785" w:hanging="360"/>
      </w:pPr>
      <w:rPr>
        <w:rFonts w:ascii="Courier New" w:hAnsi="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0DA35C7B"/>
    <w:multiLevelType w:val="hybridMultilevel"/>
    <w:tmpl w:val="296ED61C"/>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nsid w:val="3CF2508A"/>
    <w:multiLevelType w:val="hybridMultilevel"/>
    <w:tmpl w:val="2474F892"/>
    <w:lvl w:ilvl="0" w:tplc="7C16DC1C">
      <w:start w:val="1"/>
      <w:numFmt w:val="upp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A5A52"/>
    <w:rsid w:val="002E5E40"/>
    <w:rsid w:val="00380CC1"/>
    <w:rsid w:val="0052425A"/>
    <w:rsid w:val="00586A8D"/>
    <w:rsid w:val="00610FF2"/>
    <w:rsid w:val="00650208"/>
    <w:rsid w:val="006D7A3B"/>
    <w:rsid w:val="007B5462"/>
    <w:rsid w:val="008034BD"/>
    <w:rsid w:val="00876352"/>
    <w:rsid w:val="008B4137"/>
    <w:rsid w:val="008C767A"/>
    <w:rsid w:val="008E77C6"/>
    <w:rsid w:val="009770BB"/>
    <w:rsid w:val="009E008D"/>
    <w:rsid w:val="009E4F45"/>
    <w:rsid w:val="00A5465F"/>
    <w:rsid w:val="00A77678"/>
    <w:rsid w:val="00BC4C95"/>
    <w:rsid w:val="00BD5944"/>
    <w:rsid w:val="00CF6858"/>
    <w:rsid w:val="00D377B5"/>
    <w:rsid w:val="00D378DE"/>
    <w:rsid w:val="00D93B31"/>
    <w:rsid w:val="00E274D8"/>
    <w:rsid w:val="00EC6286"/>
    <w:rsid w:val="00F56D7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Paragrafoelenco1">
    <w:name w:val="Paragrafo elenco1"/>
    <w:basedOn w:val="Normale"/>
    <w:rsid w:val="00380CC1"/>
    <w:pPr>
      <w:ind w:left="720"/>
      <w:contextualSpacing/>
    </w:pPr>
    <w:rPr>
      <w:rFonts w:eastAsia="Times New Roman" w:cs="Times New Roman"/>
      <w:szCs w:val="20"/>
      <w:lang w:val="it-IT" w:eastAsia="it-IT"/>
    </w:rPr>
  </w:style>
  <w:style w:type="paragraph" w:styleId="NormaleWeb">
    <w:name w:val="Normal (Web)"/>
    <w:basedOn w:val="Normale"/>
    <w:rsid w:val="00380CC1"/>
    <w:pPr>
      <w:widowControl w:val="0"/>
      <w:adjustRightInd w:val="0"/>
      <w:spacing w:before="100" w:beforeAutospacing="1" w:after="100" w:afterAutospacing="1" w:line="360" w:lineRule="atLeast"/>
      <w:textAlignment w:val="baseline"/>
    </w:pPr>
    <w:rPr>
      <w:rFonts w:ascii="Times New Roman" w:eastAsia="Times New Roman" w:hAnsi="Times New Roman" w:cs="Times New Roman"/>
      <w:szCs w:val="24"/>
      <w:lang w:val="it-IT" w:eastAsia="it-IT"/>
    </w:rPr>
  </w:style>
  <w:style w:type="paragraph" w:customStyle="1" w:styleId="Art">
    <w:name w:val="Art"/>
    <w:rsid w:val="00380CC1"/>
    <w:pPr>
      <w:tabs>
        <w:tab w:val="left" w:pos="1701"/>
      </w:tabs>
      <w:overflowPunct w:val="0"/>
      <w:autoSpaceDE w:val="0"/>
      <w:autoSpaceDN w:val="0"/>
      <w:adjustRightInd w:val="0"/>
      <w:ind w:left="720" w:right="187"/>
    </w:pPr>
    <w:rPr>
      <w:rFonts w:ascii="Arial" w:eastAsia="Times New Roman" w:hAnsi="Arial" w:cs="Times New Roman"/>
      <w:noProof/>
      <w:sz w:val="20"/>
      <w:szCs w:val="20"/>
      <w:lang w:val="it-IT" w:eastAsia="it-IT"/>
    </w:rPr>
  </w:style>
  <w:style w:type="paragraph" w:customStyle="1" w:styleId="gCCdS">
    <w:name w:val="gC_CdS"/>
    <w:basedOn w:val="Art"/>
    <w:next w:val="Art"/>
    <w:rsid w:val="00380CC1"/>
    <w:pPr>
      <w:jc w:val="center"/>
    </w:pPr>
    <w:rPr>
      <w:caps/>
    </w:rPr>
  </w:style>
  <w:style w:type="paragraph" w:customStyle="1" w:styleId="Default">
    <w:name w:val="Default"/>
    <w:rsid w:val="00380CC1"/>
    <w:pPr>
      <w:autoSpaceDE w:val="0"/>
      <w:autoSpaceDN w:val="0"/>
      <w:adjustRightInd w:val="0"/>
      <w:jc w:val="left"/>
    </w:pPr>
    <w:rPr>
      <w:rFonts w:ascii="Arial" w:eastAsia="Times New Roman" w:hAnsi="Arial" w:cs="Arial"/>
      <w:color w:val="000000"/>
      <w:sz w:val="24"/>
      <w:szCs w:val="24"/>
      <w:lang w:eastAsia="it-CH"/>
    </w:rPr>
  </w:style>
  <w:style w:type="paragraph" w:styleId="Testofumetto">
    <w:name w:val="Balloon Text"/>
    <w:basedOn w:val="Normale"/>
    <w:link w:val="TestofumettoCarattere"/>
    <w:uiPriority w:val="99"/>
    <w:semiHidden/>
    <w:unhideWhenUsed/>
    <w:rsid w:val="002A5A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5A52"/>
    <w:rPr>
      <w:rFonts w:ascii="Tahoma" w:hAnsi="Tahoma" w:cs="Tahoma"/>
      <w:sz w:val="16"/>
      <w:szCs w:val="16"/>
    </w:rPr>
  </w:style>
  <w:style w:type="character" w:styleId="Collegamentoipertestuale">
    <w:name w:val="Hyperlink"/>
    <w:basedOn w:val="Carpredefinitoparagrafo"/>
    <w:uiPriority w:val="99"/>
    <w:unhideWhenUsed/>
    <w:rsid w:val="00E27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Paragrafoelenco1">
    <w:name w:val="Paragrafo elenco1"/>
    <w:basedOn w:val="Normale"/>
    <w:rsid w:val="00380CC1"/>
    <w:pPr>
      <w:ind w:left="720"/>
      <w:contextualSpacing/>
    </w:pPr>
    <w:rPr>
      <w:rFonts w:eastAsia="Times New Roman" w:cs="Times New Roman"/>
      <w:szCs w:val="20"/>
      <w:lang w:val="it-IT" w:eastAsia="it-IT"/>
    </w:rPr>
  </w:style>
  <w:style w:type="paragraph" w:styleId="NormaleWeb">
    <w:name w:val="Normal (Web)"/>
    <w:basedOn w:val="Normale"/>
    <w:rsid w:val="00380CC1"/>
    <w:pPr>
      <w:widowControl w:val="0"/>
      <w:adjustRightInd w:val="0"/>
      <w:spacing w:before="100" w:beforeAutospacing="1" w:after="100" w:afterAutospacing="1" w:line="360" w:lineRule="atLeast"/>
      <w:textAlignment w:val="baseline"/>
    </w:pPr>
    <w:rPr>
      <w:rFonts w:ascii="Times New Roman" w:eastAsia="Times New Roman" w:hAnsi="Times New Roman" w:cs="Times New Roman"/>
      <w:szCs w:val="24"/>
      <w:lang w:val="it-IT" w:eastAsia="it-IT"/>
    </w:rPr>
  </w:style>
  <w:style w:type="paragraph" w:customStyle="1" w:styleId="Art">
    <w:name w:val="Art"/>
    <w:rsid w:val="00380CC1"/>
    <w:pPr>
      <w:tabs>
        <w:tab w:val="left" w:pos="1701"/>
      </w:tabs>
      <w:overflowPunct w:val="0"/>
      <w:autoSpaceDE w:val="0"/>
      <w:autoSpaceDN w:val="0"/>
      <w:adjustRightInd w:val="0"/>
      <w:ind w:left="720" w:right="187"/>
    </w:pPr>
    <w:rPr>
      <w:rFonts w:ascii="Arial" w:eastAsia="Times New Roman" w:hAnsi="Arial" w:cs="Times New Roman"/>
      <w:noProof/>
      <w:sz w:val="20"/>
      <w:szCs w:val="20"/>
      <w:lang w:val="it-IT" w:eastAsia="it-IT"/>
    </w:rPr>
  </w:style>
  <w:style w:type="paragraph" w:customStyle="1" w:styleId="gCCdS">
    <w:name w:val="gC_CdS"/>
    <w:basedOn w:val="Art"/>
    <w:next w:val="Art"/>
    <w:rsid w:val="00380CC1"/>
    <w:pPr>
      <w:jc w:val="center"/>
    </w:pPr>
    <w:rPr>
      <w:caps/>
    </w:rPr>
  </w:style>
  <w:style w:type="paragraph" w:customStyle="1" w:styleId="Default">
    <w:name w:val="Default"/>
    <w:rsid w:val="00380CC1"/>
    <w:pPr>
      <w:autoSpaceDE w:val="0"/>
      <w:autoSpaceDN w:val="0"/>
      <w:adjustRightInd w:val="0"/>
      <w:jc w:val="left"/>
    </w:pPr>
    <w:rPr>
      <w:rFonts w:ascii="Arial" w:eastAsia="Times New Roman" w:hAnsi="Arial" w:cs="Arial"/>
      <w:color w:val="000000"/>
      <w:sz w:val="24"/>
      <w:szCs w:val="24"/>
      <w:lang w:eastAsia="it-CH"/>
    </w:rPr>
  </w:style>
  <w:style w:type="paragraph" w:styleId="Testofumetto">
    <w:name w:val="Balloon Text"/>
    <w:basedOn w:val="Normale"/>
    <w:link w:val="TestofumettoCarattere"/>
    <w:uiPriority w:val="99"/>
    <w:semiHidden/>
    <w:unhideWhenUsed/>
    <w:rsid w:val="002A5A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5A52"/>
    <w:rPr>
      <w:rFonts w:ascii="Tahoma" w:hAnsi="Tahoma" w:cs="Tahoma"/>
      <w:sz w:val="16"/>
      <w:szCs w:val="16"/>
    </w:rPr>
  </w:style>
  <w:style w:type="character" w:styleId="Collegamentoipertestuale">
    <w:name w:val="Hyperlink"/>
    <w:basedOn w:val="Carpredefinitoparagrafo"/>
    <w:uiPriority w:val="99"/>
    <w:unhideWhenUsed/>
    <w:rsid w:val="00E27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google.ch/url?sa=t&amp;rct=j&amp;q=&amp;esrc=s&amp;source=web&amp;cd=4&amp;cad=rja&amp;uact=8&amp;ved=0ahUKEwi8sL6JvuHXAhUjAsAKHWcXClsQFgg2MAM&amp;url=http%3A%2F%2Fwww.swisstourfed.ch%2Findex.cfm%3Ffuseaction%3Ddrucken%26sprache%3Dit%26parents_id%3D1111%26eintrag_id%3D599&amp;usg=AOvVaw1TlL3PC6LDFJXafM6DK5nF" TargetMode="External"/><Relationship Id="rId4" Type="http://schemas.microsoft.com/office/2007/relationships/stylesWithEffects" Target="stylesWithEffects.xml"/><Relationship Id="rId9" Type="http://schemas.openxmlformats.org/officeDocument/2006/relationships/hyperlink" Target="http://www.schneesportinitiative.ch/f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E6DF-5218-4E89-B8EF-C9974F03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4505</Words>
  <Characters>25680</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2017-11-28T15:49:00Z</cp:lastPrinted>
  <dcterms:created xsi:type="dcterms:W3CDTF">2017-11-28T14:10:00Z</dcterms:created>
  <dcterms:modified xsi:type="dcterms:W3CDTF">2017-11-29T08:20:00Z</dcterms:modified>
</cp:coreProperties>
</file>