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5" w:rsidRPr="005C669B" w:rsidRDefault="001220AA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 w:rsidRPr="001220AA">
        <w:rPr>
          <w:rFonts w:ascii="Gill Sans MT" w:hAnsi="Gill Sans MT"/>
          <w:b/>
          <w:sz w:val="56"/>
          <w:szCs w:val="56"/>
        </w:rPr>
        <w:t>Rapporto</w:t>
      </w:r>
      <w:r w:rsidRPr="001220AA">
        <w:rPr>
          <w:rFonts w:ascii="Gill Sans MT" w:hAnsi="Gill Sans MT"/>
          <w:b/>
          <w:sz w:val="56"/>
          <w:szCs w:val="56"/>
        </w:rPr>
        <w:t xml:space="preserve"> </w:t>
      </w:r>
      <w:r w:rsidR="00F242E5" w:rsidRPr="005C669B">
        <w:rPr>
          <w:rFonts w:ascii="Gill Sans MT" w:hAnsi="Gill Sans MT"/>
          <w:b/>
          <w:sz w:val="56"/>
          <w:szCs w:val="56"/>
        </w:rPr>
        <w:t xml:space="preserve">di </w:t>
      </w:r>
      <w:bookmarkStart w:id="0" w:name="_GoBack"/>
      <w:bookmarkEnd w:id="0"/>
      <w:r w:rsidR="00F242E5" w:rsidRPr="005C669B">
        <w:rPr>
          <w:rFonts w:ascii="Gill Sans MT" w:hAnsi="Gill Sans MT"/>
          <w:b/>
          <w:sz w:val="56"/>
          <w:szCs w:val="56"/>
        </w:rPr>
        <w:t>maggioranza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2878" w:rsidRPr="00123EEB" w:rsidRDefault="00F22878" w:rsidP="00F22878">
      <w:pPr>
        <w:tabs>
          <w:tab w:val="left" w:pos="1985"/>
          <w:tab w:val="left" w:pos="4962"/>
        </w:tabs>
        <w:ind w:right="-1"/>
        <w:rPr>
          <w:rFonts w:cs="Arial"/>
          <w:sz w:val="28"/>
          <w:szCs w:val="28"/>
        </w:rPr>
      </w:pPr>
      <w:r>
        <w:rPr>
          <w:b/>
          <w:sz w:val="32"/>
          <w:szCs w:val="32"/>
        </w:rPr>
        <w:t xml:space="preserve">7264 </w:t>
      </w:r>
      <w:r w:rsidRPr="00271DE5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>15 novembre 2017</w:t>
      </w:r>
      <w:r w:rsidRPr="00ED0FFE">
        <w:rPr>
          <w:sz w:val="32"/>
          <w:szCs w:val="32"/>
        </w:rPr>
        <w:tab/>
      </w:r>
      <w:r w:rsidRPr="00123EEB">
        <w:rPr>
          <w:rFonts w:cs="Arial"/>
          <w:caps/>
          <w:sz w:val="28"/>
          <w:szCs w:val="28"/>
        </w:rPr>
        <w:t>istituzioni</w:t>
      </w:r>
    </w:p>
    <w:p w:rsidR="00F22878" w:rsidRPr="009260A0" w:rsidRDefault="00F22878" w:rsidP="00F22878">
      <w:pPr>
        <w:ind w:right="-1"/>
        <w:rPr>
          <w:sz w:val="20"/>
          <w:szCs w:val="20"/>
        </w:rPr>
      </w:pPr>
    </w:p>
    <w:p w:rsidR="00F22878" w:rsidRPr="009260A0" w:rsidRDefault="00F22878" w:rsidP="00F22878">
      <w:pPr>
        <w:ind w:right="-1"/>
        <w:rPr>
          <w:sz w:val="20"/>
          <w:szCs w:val="20"/>
        </w:rPr>
      </w:pPr>
    </w:p>
    <w:p w:rsidR="00F22878" w:rsidRPr="009260A0" w:rsidRDefault="00F22878" w:rsidP="00F22878">
      <w:pPr>
        <w:ind w:right="-1"/>
        <w:rPr>
          <w:sz w:val="20"/>
          <w:szCs w:val="20"/>
        </w:rPr>
      </w:pPr>
    </w:p>
    <w:p w:rsidR="00F22878" w:rsidRPr="003F1B6C" w:rsidRDefault="00F22878" w:rsidP="00F22878">
      <w:pPr>
        <w:ind w:right="-1"/>
        <w:rPr>
          <w:b/>
          <w:snapToGrid w:val="0"/>
          <w:sz w:val="28"/>
          <w:szCs w:val="28"/>
        </w:rPr>
      </w:pPr>
      <w:r w:rsidRPr="003F1B6C">
        <w:rPr>
          <w:b/>
          <w:snapToGrid w:val="0"/>
          <w:sz w:val="28"/>
          <w:szCs w:val="28"/>
        </w:rPr>
        <w:t>della Commissione della legislazione</w:t>
      </w:r>
    </w:p>
    <w:p w:rsidR="00F22878" w:rsidRPr="00123EEB" w:rsidRDefault="00F22878" w:rsidP="00F22878">
      <w:pPr>
        <w:spacing w:after="120"/>
        <w:ind w:right="-1"/>
        <w:rPr>
          <w:b/>
          <w:sz w:val="28"/>
          <w:szCs w:val="28"/>
        </w:rPr>
      </w:pPr>
      <w:bookmarkStart w:id="1" w:name="_Toc151192545"/>
      <w:bookmarkStart w:id="2" w:name="_Toc151192911"/>
      <w:r w:rsidRPr="003B08FC">
        <w:rPr>
          <w:b/>
          <w:sz w:val="28"/>
          <w:szCs w:val="28"/>
        </w:rPr>
        <w:t>su</w:t>
      </w:r>
      <w:r w:rsidRPr="009C7413">
        <w:rPr>
          <w:b/>
          <w:sz w:val="28"/>
          <w:szCs w:val="28"/>
        </w:rPr>
        <w:t xml:space="preserve">lla mozione 17 febbraio 2014 presentata da Pelin Kandemir Bordoli </w:t>
      </w:r>
      <w:r>
        <w:rPr>
          <w:b/>
          <w:sz w:val="28"/>
          <w:szCs w:val="28"/>
        </w:rPr>
        <w:t xml:space="preserve">e cofirmatari per il Gruppo PS </w:t>
      </w:r>
      <w:r w:rsidR="00123EEB" w:rsidRPr="00123EEB">
        <w:rPr>
          <w:b/>
          <w:sz w:val="28"/>
          <w:szCs w:val="28"/>
        </w:rPr>
        <w:t>“</w:t>
      </w:r>
      <w:r w:rsidRPr="00123EEB">
        <w:rPr>
          <w:b/>
          <w:sz w:val="28"/>
          <w:szCs w:val="28"/>
        </w:rPr>
        <w:t>Introdurre il formulario ufficiale obbligatorio per una maggiore trasparenza degli affitti</w:t>
      </w:r>
      <w:r w:rsidR="00123EEB" w:rsidRPr="00123EEB">
        <w:rPr>
          <w:b/>
          <w:sz w:val="28"/>
          <w:szCs w:val="28"/>
        </w:rPr>
        <w:t>”</w:t>
      </w:r>
    </w:p>
    <w:p w:rsidR="00F22878" w:rsidRDefault="00F22878" w:rsidP="00123EEB">
      <w:pPr>
        <w:tabs>
          <w:tab w:val="left" w:pos="426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(v. messaggio </w:t>
      </w:r>
      <w:r>
        <w:rPr>
          <w:b/>
          <w:sz w:val="26"/>
          <w:szCs w:val="26"/>
        </w:rPr>
        <w:t>21 dicembre 2016</w:t>
      </w:r>
      <w:r>
        <w:rPr>
          <w:rFonts w:cs="Arial"/>
          <w:b/>
          <w:sz w:val="26"/>
          <w:szCs w:val="26"/>
        </w:rPr>
        <w:t xml:space="preserve"> n. 7264)</w:t>
      </w:r>
    </w:p>
    <w:p w:rsidR="00F22878" w:rsidRPr="009260A0" w:rsidRDefault="00F22878" w:rsidP="00123EEB">
      <w:pPr>
        <w:rPr>
          <w:sz w:val="20"/>
          <w:szCs w:val="20"/>
        </w:rPr>
      </w:pPr>
    </w:p>
    <w:p w:rsidR="00F22878" w:rsidRPr="009260A0" w:rsidRDefault="00F22878" w:rsidP="00123EEB">
      <w:pPr>
        <w:rPr>
          <w:sz w:val="20"/>
          <w:szCs w:val="20"/>
        </w:rPr>
      </w:pPr>
    </w:p>
    <w:p w:rsidR="00F22878" w:rsidRPr="009260A0" w:rsidRDefault="00F22878" w:rsidP="00123EEB">
      <w:pPr>
        <w:rPr>
          <w:sz w:val="20"/>
          <w:szCs w:val="20"/>
        </w:rPr>
      </w:pPr>
    </w:p>
    <w:bookmarkEnd w:id="1"/>
    <w:bookmarkEnd w:id="2"/>
    <w:p w:rsidR="00F22878" w:rsidRPr="0011212D" w:rsidRDefault="00F22878" w:rsidP="009260A0">
      <w:pPr>
        <w:tabs>
          <w:tab w:val="left" w:pos="567"/>
        </w:tabs>
        <w:spacing w:after="100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I.</w:t>
      </w:r>
      <w:r>
        <w:rPr>
          <w:rFonts w:ascii="Arial Grassetto" w:eastAsia="MS Mincho" w:hAnsi="Arial Grassetto" w:cs="Arial"/>
          <w:b/>
          <w:caps/>
        </w:rPr>
        <w:tab/>
        <w:t>l'atto parlamentare</w:t>
      </w:r>
    </w:p>
    <w:p w:rsidR="00F22878" w:rsidRDefault="00F22878" w:rsidP="00F22878">
      <w:pPr>
        <w:tabs>
          <w:tab w:val="left" w:pos="1985"/>
          <w:tab w:val="left" w:pos="4933"/>
        </w:tabs>
        <w:ind w:right="-1"/>
        <w:rPr>
          <w:rFonts w:cs="Arial"/>
        </w:rPr>
      </w:pPr>
      <w:r w:rsidRPr="009C7413">
        <w:rPr>
          <w:rFonts w:cs="Arial"/>
        </w:rPr>
        <w:t>La mozione chiede che si introduca in tutto il Cantone l</w:t>
      </w:r>
      <w:r>
        <w:rPr>
          <w:rFonts w:cs="Arial"/>
        </w:rPr>
        <w:t>'</w:t>
      </w:r>
      <w:r w:rsidRPr="009C7413">
        <w:rPr>
          <w:rFonts w:cs="Arial"/>
        </w:rPr>
        <w:t>obbligo di presentare il modulo ufficiale con l</w:t>
      </w:r>
      <w:r>
        <w:rPr>
          <w:rFonts w:cs="Arial"/>
        </w:rPr>
        <w:t>'</w:t>
      </w:r>
      <w:r w:rsidRPr="009C7413">
        <w:rPr>
          <w:rFonts w:cs="Arial"/>
        </w:rPr>
        <w:t>indicazione della nuova pigione e di quella pagata dal precedente inquilino, nonché del motivo preciso dell</w:t>
      </w:r>
      <w:r>
        <w:rPr>
          <w:rFonts w:cs="Arial"/>
        </w:rPr>
        <w:t>'</w:t>
      </w:r>
      <w:r w:rsidRPr="009C7413">
        <w:rPr>
          <w:rFonts w:cs="Arial"/>
        </w:rPr>
        <w:t>aumento, alla stipula di qualsiasi nuovo contratto di locazione per un</w:t>
      </w:r>
      <w:r>
        <w:rPr>
          <w:rFonts w:cs="Arial"/>
        </w:rPr>
        <w:t>'</w:t>
      </w:r>
      <w:r w:rsidRPr="009C7413">
        <w:rPr>
          <w:rFonts w:cs="Arial"/>
        </w:rPr>
        <w:t>abitazione.</w:t>
      </w:r>
    </w:p>
    <w:p w:rsidR="00F22878" w:rsidRPr="009260A0" w:rsidRDefault="00F22878" w:rsidP="00F22878">
      <w:pPr>
        <w:tabs>
          <w:tab w:val="left" w:pos="1985"/>
          <w:tab w:val="left" w:pos="4933"/>
        </w:tabs>
        <w:ind w:right="-1"/>
        <w:rPr>
          <w:rFonts w:cs="Arial"/>
          <w:sz w:val="20"/>
          <w:szCs w:val="20"/>
        </w:rPr>
      </w:pPr>
    </w:p>
    <w:p w:rsidR="00F22878" w:rsidRDefault="00F22878" w:rsidP="00F22878">
      <w:pPr>
        <w:tabs>
          <w:tab w:val="left" w:pos="1985"/>
          <w:tab w:val="left" w:pos="4933"/>
        </w:tabs>
        <w:ind w:right="-1"/>
        <w:rPr>
          <w:rFonts w:cs="Arial"/>
        </w:rPr>
      </w:pPr>
      <w:r w:rsidRPr="009C7413">
        <w:rPr>
          <w:rFonts w:cs="Arial"/>
        </w:rPr>
        <w:t>Questo espediente impedisce, se</w:t>
      </w:r>
      <w:r>
        <w:rPr>
          <w:rFonts w:cs="Arial"/>
        </w:rPr>
        <w:t xml:space="preserve">condo i </w:t>
      </w:r>
      <w:proofErr w:type="spellStart"/>
      <w:r>
        <w:rPr>
          <w:rFonts w:cs="Arial"/>
        </w:rPr>
        <w:t>mozionanti</w:t>
      </w:r>
      <w:proofErr w:type="spellEnd"/>
      <w:r>
        <w:rPr>
          <w:rFonts w:cs="Arial"/>
        </w:rPr>
        <w:t>, che a ogni cambio d'</w:t>
      </w:r>
      <w:r w:rsidRPr="009C7413">
        <w:rPr>
          <w:rFonts w:cs="Arial"/>
        </w:rPr>
        <w:t>inquilino la pigione aumenti in modo sconsiderato.</w:t>
      </w:r>
    </w:p>
    <w:p w:rsidR="00F22878" w:rsidRPr="009260A0" w:rsidRDefault="00F22878" w:rsidP="00F22878">
      <w:pPr>
        <w:tabs>
          <w:tab w:val="left" w:pos="1985"/>
          <w:tab w:val="left" w:pos="4933"/>
        </w:tabs>
        <w:ind w:right="-1"/>
        <w:rPr>
          <w:rFonts w:cs="Arial"/>
          <w:sz w:val="20"/>
          <w:szCs w:val="20"/>
        </w:rPr>
      </w:pPr>
    </w:p>
    <w:p w:rsidR="00F22878" w:rsidRPr="002C2DC9" w:rsidRDefault="00F22878" w:rsidP="00F22878">
      <w:pPr>
        <w:tabs>
          <w:tab w:val="left" w:pos="1985"/>
          <w:tab w:val="left" w:pos="4933"/>
        </w:tabs>
        <w:ind w:right="-1"/>
        <w:rPr>
          <w:rFonts w:cs="Arial"/>
        </w:rPr>
      </w:pPr>
      <w:r w:rsidRPr="009C7413">
        <w:rPr>
          <w:rFonts w:cs="Arial"/>
        </w:rPr>
        <w:t>L</w:t>
      </w:r>
      <w:r>
        <w:rPr>
          <w:rFonts w:cs="Arial"/>
        </w:rPr>
        <w:t>'</w:t>
      </w:r>
      <w:r w:rsidRPr="009C7413">
        <w:rPr>
          <w:rFonts w:cs="Arial"/>
        </w:rPr>
        <w:t>obiettivo della proposta è quello di garantire maggiore trasparenza degli affitti</w:t>
      </w:r>
      <w:r>
        <w:rPr>
          <w:rFonts w:cs="Arial"/>
        </w:rPr>
        <w:t>, cosa</w:t>
      </w:r>
      <w:r w:rsidRPr="009C7413">
        <w:rPr>
          <w:rFonts w:cs="Arial"/>
        </w:rPr>
        <w:t xml:space="preserve"> che avrebbe anche un effetto benefico sui prezzi, senza pregiudicare i diritti dei locatori.</w:t>
      </w:r>
    </w:p>
    <w:p w:rsidR="00F22878" w:rsidRPr="002C2DC9" w:rsidRDefault="00F22878" w:rsidP="00F22878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F22878" w:rsidRDefault="00F22878" w:rsidP="00F22878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F22878" w:rsidRPr="0011212D" w:rsidRDefault="00F22878" w:rsidP="009260A0">
      <w:pPr>
        <w:tabs>
          <w:tab w:val="left" w:pos="567"/>
        </w:tabs>
        <w:spacing w:after="100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II.</w:t>
      </w:r>
      <w:r>
        <w:rPr>
          <w:rFonts w:ascii="Arial Grassetto" w:eastAsia="MS Mincho" w:hAnsi="Arial Grassetto" w:cs="Arial"/>
          <w:b/>
          <w:caps/>
        </w:rPr>
        <w:tab/>
        <w:t>la posizione del consiglio di stato</w:t>
      </w:r>
    </w:p>
    <w:p w:rsidR="00F22878" w:rsidRDefault="00F22878" w:rsidP="00F22878">
      <w:pPr>
        <w:tabs>
          <w:tab w:val="left" w:pos="1985"/>
          <w:tab w:val="left" w:pos="4933"/>
        </w:tabs>
        <w:ind w:right="-1"/>
        <w:rPr>
          <w:rFonts w:cs="Arial"/>
        </w:rPr>
      </w:pPr>
      <w:r w:rsidRPr="009C7413">
        <w:rPr>
          <w:rFonts w:cs="Arial"/>
        </w:rPr>
        <w:t>Il Governo propone di respingere la mozione indicando come il diritto federale non preved</w:t>
      </w:r>
      <w:r>
        <w:rPr>
          <w:rFonts w:cs="Arial"/>
        </w:rPr>
        <w:t>a</w:t>
      </w:r>
      <w:r w:rsidRPr="009C7413">
        <w:rPr>
          <w:rFonts w:cs="Arial"/>
        </w:rPr>
        <w:t xml:space="preserve"> l</w:t>
      </w:r>
      <w:r>
        <w:rPr>
          <w:rFonts w:cs="Arial"/>
        </w:rPr>
        <w:t>'</w:t>
      </w:r>
      <w:r w:rsidRPr="009C7413">
        <w:rPr>
          <w:rFonts w:cs="Arial"/>
        </w:rPr>
        <w:t xml:space="preserve">uso obbligatorio del formulario ufficiale in caso di conclusione di un nuovo contratto di locazione. Tale facoltà è lasciata ai Cantoni. Questo obbligo è stato introdotto in sette Cantoni: Zurigo, </w:t>
      </w:r>
      <w:proofErr w:type="spellStart"/>
      <w:r w:rsidRPr="009C7413">
        <w:rPr>
          <w:rFonts w:cs="Arial"/>
        </w:rPr>
        <w:t>Nidvaldo</w:t>
      </w:r>
      <w:proofErr w:type="spellEnd"/>
      <w:r w:rsidRPr="009C7413">
        <w:rPr>
          <w:rFonts w:cs="Arial"/>
        </w:rPr>
        <w:t xml:space="preserve">, Zugo, </w:t>
      </w:r>
      <w:proofErr w:type="spellStart"/>
      <w:r w:rsidRPr="009C7413">
        <w:rPr>
          <w:rFonts w:cs="Arial"/>
        </w:rPr>
        <w:t>Friborgo</w:t>
      </w:r>
      <w:proofErr w:type="spellEnd"/>
      <w:r w:rsidRPr="009C7413">
        <w:rPr>
          <w:rFonts w:cs="Arial"/>
        </w:rPr>
        <w:t xml:space="preserve">, </w:t>
      </w:r>
      <w:proofErr w:type="spellStart"/>
      <w:r w:rsidRPr="009C7413">
        <w:rPr>
          <w:rFonts w:cs="Arial"/>
        </w:rPr>
        <w:t>Vaud</w:t>
      </w:r>
      <w:proofErr w:type="spellEnd"/>
      <w:r w:rsidRPr="009C7413">
        <w:rPr>
          <w:rFonts w:cs="Arial"/>
        </w:rPr>
        <w:t>, Neuchâtel e Ginevra.</w:t>
      </w:r>
    </w:p>
    <w:p w:rsidR="00F22878" w:rsidRPr="009260A0" w:rsidRDefault="00F22878" w:rsidP="00F22878">
      <w:pPr>
        <w:tabs>
          <w:tab w:val="left" w:pos="1985"/>
          <w:tab w:val="left" w:pos="4933"/>
        </w:tabs>
        <w:ind w:right="-1"/>
        <w:rPr>
          <w:rFonts w:cs="Arial"/>
          <w:sz w:val="20"/>
          <w:szCs w:val="20"/>
        </w:rPr>
      </w:pPr>
    </w:p>
    <w:p w:rsidR="00F22878" w:rsidRDefault="00F22878" w:rsidP="00F22878">
      <w:pPr>
        <w:tabs>
          <w:tab w:val="left" w:pos="1985"/>
          <w:tab w:val="left" w:pos="4933"/>
        </w:tabs>
        <w:ind w:right="-1"/>
        <w:rPr>
          <w:rFonts w:cs="Arial"/>
        </w:rPr>
      </w:pPr>
      <w:r w:rsidRPr="009C7413">
        <w:rPr>
          <w:rFonts w:cs="Arial"/>
        </w:rPr>
        <w:t xml:space="preserve">Nei mesi scorsi sia </w:t>
      </w:r>
      <w:r>
        <w:rPr>
          <w:rFonts w:cs="Arial"/>
        </w:rPr>
        <w:t>i</w:t>
      </w:r>
      <w:r w:rsidRPr="009C7413">
        <w:rPr>
          <w:rFonts w:cs="Arial"/>
        </w:rPr>
        <w:t xml:space="preserve">l Consiglio nazionale </w:t>
      </w:r>
      <w:r>
        <w:rPr>
          <w:rFonts w:cs="Arial"/>
        </w:rPr>
        <w:t>sia</w:t>
      </w:r>
      <w:r w:rsidRPr="009C7413">
        <w:rPr>
          <w:rFonts w:cs="Arial"/>
        </w:rPr>
        <w:t xml:space="preserve"> il Consiglio degli Stati hanno bocciato l</w:t>
      </w:r>
      <w:r>
        <w:rPr>
          <w:rFonts w:cs="Arial"/>
        </w:rPr>
        <w:t>'</w:t>
      </w:r>
      <w:r w:rsidRPr="009C7413">
        <w:rPr>
          <w:rFonts w:cs="Arial"/>
        </w:rPr>
        <w:t>introduzione dell</w:t>
      </w:r>
      <w:r>
        <w:rPr>
          <w:rFonts w:cs="Arial"/>
        </w:rPr>
        <w:t>'</w:t>
      </w:r>
      <w:r w:rsidRPr="009C7413">
        <w:rPr>
          <w:rFonts w:cs="Arial"/>
        </w:rPr>
        <w:t>obbligatorietà</w:t>
      </w:r>
      <w:r>
        <w:rPr>
          <w:rFonts w:cs="Arial"/>
        </w:rPr>
        <w:t>,</w:t>
      </w:r>
      <w:r w:rsidRPr="009C7413">
        <w:rPr>
          <w:rFonts w:cs="Arial"/>
        </w:rPr>
        <w:t xml:space="preserve"> come proposto dal Consiglio </w:t>
      </w:r>
      <w:r>
        <w:rPr>
          <w:rFonts w:cs="Arial"/>
        </w:rPr>
        <w:t>f</w:t>
      </w:r>
      <w:r w:rsidRPr="009C7413">
        <w:rPr>
          <w:rFonts w:cs="Arial"/>
        </w:rPr>
        <w:t>ederale.</w:t>
      </w:r>
    </w:p>
    <w:p w:rsidR="00F22878" w:rsidRPr="009260A0" w:rsidRDefault="00F22878" w:rsidP="00F22878">
      <w:pPr>
        <w:tabs>
          <w:tab w:val="left" w:pos="1985"/>
          <w:tab w:val="left" w:pos="4933"/>
        </w:tabs>
        <w:ind w:right="-1"/>
        <w:rPr>
          <w:rFonts w:cs="Arial"/>
          <w:sz w:val="20"/>
          <w:szCs w:val="20"/>
        </w:rPr>
      </w:pPr>
    </w:p>
    <w:p w:rsidR="00F22878" w:rsidRDefault="00F22878" w:rsidP="00F22878">
      <w:pPr>
        <w:tabs>
          <w:tab w:val="left" w:pos="1985"/>
          <w:tab w:val="left" w:pos="4933"/>
        </w:tabs>
        <w:ind w:right="-1"/>
        <w:rPr>
          <w:rFonts w:cs="Arial"/>
        </w:rPr>
      </w:pPr>
      <w:r w:rsidRPr="009C7413">
        <w:rPr>
          <w:rFonts w:cs="Arial"/>
        </w:rPr>
        <w:t>Il Consiglio di Stato</w:t>
      </w:r>
      <w:r>
        <w:rPr>
          <w:rFonts w:cs="Arial"/>
        </w:rPr>
        <w:t>,</w:t>
      </w:r>
      <w:r w:rsidRPr="009C7413">
        <w:rPr>
          <w:rFonts w:cs="Arial"/>
        </w:rPr>
        <w:t xml:space="preserve"> rispondendo appunto alla consultazione promossa dall</w:t>
      </w:r>
      <w:r>
        <w:rPr>
          <w:rFonts w:cs="Arial"/>
        </w:rPr>
        <w:t>'E</w:t>
      </w:r>
      <w:r w:rsidRPr="009C7413">
        <w:rPr>
          <w:rFonts w:cs="Arial"/>
        </w:rPr>
        <w:t>secutivo federale concernente la revisione parziale del diritto di locazione</w:t>
      </w:r>
      <w:r>
        <w:rPr>
          <w:rFonts w:cs="Arial"/>
        </w:rPr>
        <w:t>,</w:t>
      </w:r>
      <w:r w:rsidRPr="009C7413">
        <w:rPr>
          <w:rFonts w:cs="Arial"/>
        </w:rPr>
        <w:t xml:space="preserve"> aveva avanzato riserve sull</w:t>
      </w:r>
      <w:r>
        <w:rPr>
          <w:rFonts w:cs="Arial"/>
        </w:rPr>
        <w:t>'</w:t>
      </w:r>
      <w:r w:rsidRPr="009C7413">
        <w:rPr>
          <w:rFonts w:cs="Arial"/>
        </w:rPr>
        <w:t>utilizzo di un modulo ufficiale per la comunicazione della pigione precedente nel caso di un nuovo contratto di locazione. L</w:t>
      </w:r>
      <w:r>
        <w:rPr>
          <w:rFonts w:cs="Arial"/>
        </w:rPr>
        <w:t>'</w:t>
      </w:r>
      <w:r w:rsidRPr="009C7413">
        <w:rPr>
          <w:rFonts w:cs="Arial"/>
        </w:rPr>
        <w:t>obbligo di comunicare al nuovo inquilino l</w:t>
      </w:r>
      <w:r>
        <w:rPr>
          <w:rFonts w:cs="Arial"/>
        </w:rPr>
        <w:t>'</w:t>
      </w:r>
      <w:r w:rsidRPr="009C7413">
        <w:rPr>
          <w:rFonts w:cs="Arial"/>
        </w:rPr>
        <w:t>importo del pre</w:t>
      </w:r>
      <w:r>
        <w:rPr>
          <w:rFonts w:cs="Arial"/>
        </w:rPr>
        <w:t>cedente affitto è un'ingerenza n</w:t>
      </w:r>
      <w:r w:rsidRPr="009C7413">
        <w:rPr>
          <w:rFonts w:cs="Arial"/>
        </w:rPr>
        <w:t>ella libertà contrattuale delle parti.</w:t>
      </w:r>
    </w:p>
    <w:p w:rsidR="00F22878" w:rsidRPr="009260A0" w:rsidRDefault="00F22878" w:rsidP="00F22878">
      <w:pPr>
        <w:tabs>
          <w:tab w:val="left" w:pos="1985"/>
          <w:tab w:val="left" w:pos="4933"/>
        </w:tabs>
        <w:ind w:right="-1"/>
        <w:rPr>
          <w:rFonts w:cs="Arial"/>
          <w:sz w:val="20"/>
          <w:szCs w:val="20"/>
        </w:rPr>
      </w:pPr>
    </w:p>
    <w:p w:rsidR="00F22878" w:rsidRPr="000F49AB" w:rsidRDefault="00F22878" w:rsidP="00F22878">
      <w:pPr>
        <w:tabs>
          <w:tab w:val="left" w:pos="1985"/>
          <w:tab w:val="left" w:pos="4933"/>
        </w:tabs>
        <w:ind w:right="-1"/>
        <w:rPr>
          <w:rFonts w:cs="Arial"/>
        </w:rPr>
      </w:pPr>
      <w:r w:rsidRPr="009C7413">
        <w:rPr>
          <w:rFonts w:cs="Arial"/>
        </w:rPr>
        <w:t>Nel nostro Cantone il Governo può introdurre l</w:t>
      </w:r>
      <w:r>
        <w:rPr>
          <w:rFonts w:cs="Arial"/>
        </w:rPr>
        <w:t>'</w:t>
      </w:r>
      <w:r w:rsidRPr="009C7413">
        <w:rPr>
          <w:rFonts w:cs="Arial"/>
        </w:rPr>
        <w:t>obbligo del formulario in tutto o in parte del territorio cantonale in caso di penuria di abitazioni.</w:t>
      </w:r>
    </w:p>
    <w:p w:rsidR="00F22878" w:rsidRDefault="00F22878" w:rsidP="00F22878"/>
    <w:p w:rsidR="00123EEB" w:rsidRDefault="00123EEB" w:rsidP="00F22878"/>
    <w:p w:rsidR="00F22878" w:rsidRPr="0011212D" w:rsidRDefault="00F22878" w:rsidP="009260A0">
      <w:pPr>
        <w:tabs>
          <w:tab w:val="left" w:pos="567"/>
        </w:tabs>
        <w:spacing w:after="100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IV.</w:t>
      </w:r>
      <w:r>
        <w:rPr>
          <w:rFonts w:ascii="Arial Grassetto" w:eastAsia="MS Mincho" w:hAnsi="Arial Grassetto" w:cs="Arial"/>
          <w:b/>
          <w:caps/>
        </w:rPr>
        <w:tab/>
        <w:t>considerazioni commissionali</w:t>
      </w:r>
    </w:p>
    <w:p w:rsidR="00F22878" w:rsidRPr="009C7413" w:rsidRDefault="00F22878" w:rsidP="00F22878">
      <w:pPr>
        <w:rPr>
          <w:rFonts w:cs="Arial"/>
          <w:color w:val="000000" w:themeColor="text1"/>
        </w:rPr>
      </w:pPr>
      <w:r w:rsidRPr="009C7413">
        <w:rPr>
          <w:rFonts w:cs="Arial"/>
          <w:color w:val="000000" w:themeColor="text1"/>
        </w:rPr>
        <w:t>La Commissione della legislazione ha sentito in audizione la collega Pelin Kandemir Bordoli</w:t>
      </w:r>
      <w:r>
        <w:rPr>
          <w:rFonts w:cs="Arial"/>
          <w:color w:val="000000" w:themeColor="text1"/>
        </w:rPr>
        <w:t>,</w:t>
      </w:r>
      <w:r w:rsidRPr="009C7413">
        <w:rPr>
          <w:rFonts w:cs="Arial"/>
          <w:color w:val="000000" w:themeColor="text1"/>
        </w:rPr>
        <w:t xml:space="preserve"> che ha confermato integralmente le motivazioni a sostegno dell</w:t>
      </w:r>
      <w:r>
        <w:rPr>
          <w:rFonts w:cs="Arial"/>
          <w:color w:val="000000" w:themeColor="text1"/>
        </w:rPr>
        <w:t>'</w:t>
      </w:r>
      <w:r w:rsidRPr="009C7413">
        <w:rPr>
          <w:rFonts w:cs="Arial"/>
          <w:color w:val="000000" w:themeColor="text1"/>
        </w:rPr>
        <w:t>atto parlamentare.</w:t>
      </w:r>
    </w:p>
    <w:p w:rsidR="00F22878" w:rsidRPr="00123EEB" w:rsidRDefault="00F22878" w:rsidP="00F22878">
      <w:pPr>
        <w:rPr>
          <w:rFonts w:cs="Arial"/>
          <w:color w:val="000000" w:themeColor="text1"/>
          <w:sz w:val="18"/>
          <w:szCs w:val="18"/>
        </w:rPr>
      </w:pPr>
    </w:p>
    <w:p w:rsidR="00F22878" w:rsidRPr="009C7413" w:rsidRDefault="00F22878" w:rsidP="00F22878">
      <w:pPr>
        <w:rPr>
          <w:rFonts w:cs="Arial"/>
          <w:color w:val="000000" w:themeColor="text1"/>
        </w:rPr>
      </w:pPr>
      <w:r w:rsidRPr="009C7413">
        <w:rPr>
          <w:rFonts w:cs="Arial"/>
          <w:color w:val="000000" w:themeColor="text1"/>
        </w:rPr>
        <w:lastRenderedPageBreak/>
        <w:t>La maggioranza della Comm</w:t>
      </w:r>
      <w:r>
        <w:rPr>
          <w:rFonts w:cs="Arial"/>
          <w:color w:val="000000" w:themeColor="text1"/>
        </w:rPr>
        <w:t>issione, dopo ampia discussione,</w:t>
      </w:r>
      <w:r w:rsidRPr="009C7413">
        <w:rPr>
          <w:rFonts w:cs="Arial"/>
          <w:color w:val="000000" w:themeColor="text1"/>
        </w:rPr>
        <w:t xml:space="preserve"> ritiene che:</w:t>
      </w:r>
    </w:p>
    <w:p w:rsidR="00F22878" w:rsidRPr="009C7413" w:rsidRDefault="00F22878" w:rsidP="00D47F9E">
      <w:pPr>
        <w:pStyle w:val="Paragrafoelenco"/>
        <w:numPr>
          <w:ilvl w:val="0"/>
          <w:numId w:val="9"/>
        </w:numPr>
        <w:spacing w:before="100"/>
        <w:ind w:left="284" w:hanging="284"/>
      </w:pPr>
      <w:r>
        <w:t>i</w:t>
      </w:r>
      <w:r w:rsidRPr="009C7413">
        <w:t>l diritto di locazione è già attualmente complesso, ciò che è all</w:t>
      </w:r>
      <w:r>
        <w:t>'</w:t>
      </w:r>
      <w:r w:rsidRPr="009C7413">
        <w:t>origine di numerose contestazioni</w:t>
      </w:r>
      <w:r>
        <w:t>;</w:t>
      </w:r>
    </w:p>
    <w:p w:rsidR="00F22878" w:rsidRPr="009C7413" w:rsidRDefault="00F22878" w:rsidP="00D47F9E">
      <w:pPr>
        <w:pStyle w:val="Paragrafoelenco"/>
        <w:numPr>
          <w:ilvl w:val="0"/>
          <w:numId w:val="9"/>
        </w:numPr>
        <w:spacing w:before="100"/>
        <w:ind w:left="284" w:hanging="284"/>
      </w:pPr>
      <w:r>
        <w:t>i</w:t>
      </w:r>
      <w:r w:rsidRPr="009C7413">
        <w:t>l modulo per l</w:t>
      </w:r>
      <w:r>
        <w:t>a pigione iniziale originerebbe</w:t>
      </w:r>
      <w:r w:rsidRPr="009C7413">
        <w:t xml:space="preserve"> incertezze e controversie che possono presentarsi anche numerosi anni dopo la stipula del contratto. Infatti:</w:t>
      </w:r>
    </w:p>
    <w:p w:rsidR="00F22878" w:rsidRPr="009C7413" w:rsidRDefault="00F22878" w:rsidP="00D47F9E">
      <w:pPr>
        <w:pStyle w:val="Paragrafoelenco"/>
        <w:numPr>
          <w:ilvl w:val="0"/>
          <w:numId w:val="8"/>
        </w:numPr>
        <w:spacing w:before="60"/>
        <w:ind w:left="568" w:hanging="284"/>
        <w:rPr>
          <w:rFonts w:cs="Arial"/>
          <w:color w:val="000000" w:themeColor="text1"/>
          <w:szCs w:val="24"/>
        </w:rPr>
      </w:pPr>
      <w:r w:rsidRPr="009C7413">
        <w:rPr>
          <w:rFonts w:cs="Arial"/>
          <w:color w:val="000000" w:themeColor="text1"/>
          <w:szCs w:val="24"/>
        </w:rPr>
        <w:t>il modulo deve essere consegnato alla stipula del contratto, alla consegna dell</w:t>
      </w:r>
      <w:r>
        <w:rPr>
          <w:rFonts w:cs="Arial"/>
          <w:color w:val="000000" w:themeColor="text1"/>
          <w:szCs w:val="24"/>
        </w:rPr>
        <w:t>'</w:t>
      </w:r>
      <w:r w:rsidRPr="009C7413">
        <w:rPr>
          <w:rFonts w:cs="Arial"/>
          <w:color w:val="000000" w:themeColor="text1"/>
          <w:szCs w:val="24"/>
        </w:rPr>
        <w:t>ente locato o al più tardi nei 30 giorni successivi, pena la nullità della pigione concordata fra le parti;</w:t>
      </w:r>
    </w:p>
    <w:p w:rsidR="00F22878" w:rsidRPr="009C7413" w:rsidRDefault="00F22878" w:rsidP="00D47F9E">
      <w:pPr>
        <w:pStyle w:val="Paragrafoelenco"/>
        <w:numPr>
          <w:ilvl w:val="0"/>
          <w:numId w:val="8"/>
        </w:numPr>
        <w:spacing w:before="60"/>
        <w:ind w:left="568" w:hanging="284"/>
        <w:rPr>
          <w:rFonts w:cs="Arial"/>
          <w:color w:val="000000" w:themeColor="text1"/>
          <w:szCs w:val="24"/>
        </w:rPr>
      </w:pPr>
      <w:r w:rsidRPr="009C7413">
        <w:rPr>
          <w:rFonts w:cs="Arial"/>
          <w:color w:val="000000" w:themeColor="text1"/>
          <w:szCs w:val="24"/>
        </w:rPr>
        <w:t>nei 30 giorni dalla presentazione del modulo o in assenza di modulo, in qualsiasi momento e anche dopo numerosi anni dall</w:t>
      </w:r>
      <w:r>
        <w:rPr>
          <w:rFonts w:cs="Arial"/>
          <w:color w:val="000000" w:themeColor="text1"/>
          <w:szCs w:val="24"/>
        </w:rPr>
        <w:t>'</w:t>
      </w:r>
      <w:r w:rsidRPr="009C7413">
        <w:rPr>
          <w:rFonts w:cs="Arial"/>
          <w:color w:val="000000" w:themeColor="text1"/>
          <w:szCs w:val="24"/>
        </w:rPr>
        <w:t>inizio della locazione o addirittura alla fine del contratto la pigione può essere contestata con il relativo avvio di una lunga procedura giudiziaria</w:t>
      </w:r>
      <w:r>
        <w:rPr>
          <w:rFonts w:cs="Arial"/>
          <w:color w:val="000000" w:themeColor="text1"/>
          <w:szCs w:val="24"/>
        </w:rPr>
        <w:t>;</w:t>
      </w:r>
    </w:p>
    <w:p w:rsidR="00F22878" w:rsidRPr="009C7413" w:rsidRDefault="00F22878" w:rsidP="00D47F9E">
      <w:pPr>
        <w:pStyle w:val="Paragrafoelenco"/>
        <w:numPr>
          <w:ilvl w:val="0"/>
          <w:numId w:val="8"/>
        </w:numPr>
        <w:spacing w:before="60"/>
        <w:ind w:left="568" w:hanging="284"/>
        <w:rPr>
          <w:rFonts w:cs="Arial"/>
          <w:color w:val="000000" w:themeColor="text1"/>
          <w:szCs w:val="24"/>
        </w:rPr>
      </w:pPr>
      <w:r w:rsidRPr="009C7413">
        <w:rPr>
          <w:rFonts w:cs="Arial"/>
          <w:color w:val="000000" w:themeColor="text1"/>
          <w:szCs w:val="24"/>
        </w:rPr>
        <w:t xml:space="preserve">la libertà contrattuale delle parti </w:t>
      </w:r>
      <w:r>
        <w:rPr>
          <w:rFonts w:cs="Arial"/>
          <w:color w:val="000000" w:themeColor="text1"/>
          <w:szCs w:val="24"/>
        </w:rPr>
        <w:t>sa</w:t>
      </w:r>
      <w:r w:rsidRPr="009C7413">
        <w:rPr>
          <w:rFonts w:cs="Arial"/>
          <w:color w:val="000000" w:themeColor="text1"/>
          <w:szCs w:val="24"/>
        </w:rPr>
        <w:t>rebbe compromessa</w:t>
      </w:r>
      <w:r>
        <w:rPr>
          <w:rFonts w:cs="Arial"/>
          <w:color w:val="000000" w:themeColor="text1"/>
          <w:szCs w:val="24"/>
        </w:rPr>
        <w:t>.</w:t>
      </w:r>
    </w:p>
    <w:p w:rsidR="00F22878" w:rsidRPr="009C7413" w:rsidRDefault="00F22878" w:rsidP="00D47F9E">
      <w:pPr>
        <w:pStyle w:val="Paragrafoelenco"/>
        <w:numPr>
          <w:ilvl w:val="0"/>
          <w:numId w:val="9"/>
        </w:numPr>
        <w:spacing w:before="100"/>
        <w:ind w:left="284" w:hanging="284"/>
      </w:pPr>
      <w:r w:rsidRPr="009C7413">
        <w:t xml:space="preserve">si introduce la presunzione legale secondo cui </w:t>
      </w:r>
      <w:r>
        <w:t>l'aumento della pigione</w:t>
      </w:r>
      <w:r w:rsidRPr="009C7413">
        <w:t xml:space="preserve"> rispetto alla precedente, rimasta invariata per anni</w:t>
      </w:r>
      <w:r>
        <w:t>,</w:t>
      </w:r>
      <w:r w:rsidRPr="009C7413">
        <w:t xml:space="preserve"> sia abusiv</w:t>
      </w:r>
      <w:r>
        <w:t>o</w:t>
      </w:r>
      <w:r w:rsidRPr="009C7413">
        <w:t xml:space="preserve"> alimentando in questo modo la sfiducia e la conflittualità</w:t>
      </w:r>
      <w:r>
        <w:t>;</w:t>
      </w:r>
    </w:p>
    <w:p w:rsidR="00F22878" w:rsidRPr="009C7413" w:rsidRDefault="00F22878" w:rsidP="00D47F9E">
      <w:pPr>
        <w:pStyle w:val="Paragrafoelenco"/>
        <w:numPr>
          <w:ilvl w:val="0"/>
          <w:numId w:val="9"/>
        </w:numPr>
        <w:spacing w:before="100"/>
        <w:ind w:left="284" w:hanging="284"/>
      </w:pPr>
      <w:r w:rsidRPr="009C7413">
        <w:t xml:space="preserve">il modulo aumenta la burocrazia e incide sui costi di gestione che poi </w:t>
      </w:r>
      <w:r>
        <w:t>sa</w:t>
      </w:r>
      <w:r w:rsidRPr="009C7413">
        <w:t>rebbero addebitati agli inquilini</w:t>
      </w:r>
      <w:r>
        <w:t>;</w:t>
      </w:r>
    </w:p>
    <w:p w:rsidR="00F22878" w:rsidRPr="009C7413" w:rsidRDefault="00F22878" w:rsidP="00D47F9E">
      <w:pPr>
        <w:pStyle w:val="Paragrafoelenco"/>
        <w:numPr>
          <w:ilvl w:val="0"/>
          <w:numId w:val="9"/>
        </w:numPr>
        <w:spacing w:before="100"/>
        <w:ind w:left="284" w:hanging="284"/>
      </w:pPr>
      <w:r w:rsidRPr="009C7413">
        <w:t>la misura creerebbe un carico amministrativo per i locatori senza benefici sostanziali per i locatari</w:t>
      </w:r>
      <w:r>
        <w:t>;</w:t>
      </w:r>
    </w:p>
    <w:p w:rsidR="00F22878" w:rsidRPr="009C7413" w:rsidRDefault="00F22878" w:rsidP="00D47F9E">
      <w:pPr>
        <w:pStyle w:val="Paragrafoelenco"/>
        <w:numPr>
          <w:ilvl w:val="0"/>
          <w:numId w:val="9"/>
        </w:numPr>
        <w:spacing w:before="100"/>
        <w:ind w:left="284" w:hanging="284"/>
      </w:pPr>
      <w:r w:rsidRPr="009C7413">
        <w:t>già oggi questi ultimi hanno la possibilità per legge di chiedere al locatore quanto pagava il precedente inquilino</w:t>
      </w:r>
      <w:r>
        <w:t>;</w:t>
      </w:r>
    </w:p>
    <w:p w:rsidR="00F22878" w:rsidRPr="009C7413" w:rsidRDefault="00F22878" w:rsidP="00D47F9E">
      <w:pPr>
        <w:pStyle w:val="Paragrafoelenco"/>
        <w:numPr>
          <w:ilvl w:val="0"/>
          <w:numId w:val="9"/>
        </w:numPr>
        <w:spacing w:before="100"/>
        <w:ind w:left="284" w:hanging="284"/>
      </w:pPr>
      <w:r w:rsidRPr="009C7413">
        <w:t xml:space="preserve">i più recenti dati statistici confermano quanto diversi studi promossi da Istituti bancari e analisti in ambito immobiliare affermano, ossia che il tasso di sfitto è in costante aumento da ben </w:t>
      </w:r>
      <w:r>
        <w:t>otto anni e</w:t>
      </w:r>
      <w:r w:rsidRPr="009C7413">
        <w:t xml:space="preserve"> ha raggiunto livelli record a livello nazionale</w:t>
      </w:r>
      <w:r>
        <w:t>;</w:t>
      </w:r>
    </w:p>
    <w:p w:rsidR="00F22878" w:rsidRPr="009C7413" w:rsidRDefault="00F22878" w:rsidP="00D47F9E">
      <w:pPr>
        <w:pStyle w:val="Paragrafoelenco"/>
        <w:numPr>
          <w:ilvl w:val="0"/>
          <w:numId w:val="9"/>
        </w:numPr>
        <w:spacing w:before="100"/>
        <w:ind w:left="284" w:hanging="284"/>
      </w:pPr>
      <w:r w:rsidRPr="009C7413">
        <w:t>il Ticino è la regione che ha registrato nell</w:t>
      </w:r>
      <w:r>
        <w:t>'</w:t>
      </w:r>
      <w:r w:rsidRPr="009C7413">
        <w:t>ultimo anno l</w:t>
      </w:r>
      <w:r>
        <w:t>'</w:t>
      </w:r>
      <w:r w:rsidRPr="009C7413">
        <w:t>aumento di sfitto più elevato</w:t>
      </w:r>
      <w:r>
        <w:t>;</w:t>
      </w:r>
    </w:p>
    <w:p w:rsidR="00F22878" w:rsidRPr="009C7413" w:rsidRDefault="00F22878" w:rsidP="00D47F9E">
      <w:pPr>
        <w:pStyle w:val="Paragrafoelenco"/>
        <w:numPr>
          <w:ilvl w:val="0"/>
          <w:numId w:val="9"/>
        </w:numPr>
        <w:spacing w:before="100"/>
        <w:ind w:left="284" w:hanging="284"/>
      </w:pPr>
      <w:r w:rsidRPr="009C7413">
        <w:t>secondo l</w:t>
      </w:r>
      <w:r>
        <w:t>'</w:t>
      </w:r>
      <w:r w:rsidRPr="009C7413">
        <w:t>Ufficio federale di statistica al 1</w:t>
      </w:r>
      <w:r>
        <w:t>°</w:t>
      </w:r>
      <w:r w:rsidRPr="009C7413">
        <w:t xml:space="preserve"> giugno 2017 in Svizzera si contavano 64</w:t>
      </w:r>
      <w:r>
        <w:t>'</w:t>
      </w:r>
      <w:r w:rsidRPr="009C7413">
        <w:t>893 abitazioni vuote</w:t>
      </w:r>
      <w:r>
        <w:t>,</w:t>
      </w:r>
      <w:r w:rsidRPr="009C7413">
        <w:t xml:space="preserve"> ovvero l</w:t>
      </w:r>
      <w:r>
        <w:t>'</w:t>
      </w:r>
      <w:r w:rsidRPr="009C7413">
        <w:t>1</w:t>
      </w:r>
      <w:r>
        <w:t>.</w:t>
      </w:r>
      <w:r w:rsidRPr="009C7413">
        <w:t>4</w:t>
      </w:r>
      <w:r>
        <w:t>%</w:t>
      </w:r>
      <w:r w:rsidRPr="009C7413">
        <w:t xml:space="preserve"> del patrimonio abitativo di tutto il </w:t>
      </w:r>
      <w:r>
        <w:t>P</w:t>
      </w:r>
      <w:r w:rsidRPr="009C7413">
        <w:t>aese. Rispetto all</w:t>
      </w:r>
      <w:r>
        <w:t>'</w:t>
      </w:r>
      <w:r w:rsidRPr="009C7413">
        <w:t xml:space="preserve">anno precedente tale dato è </w:t>
      </w:r>
      <w:r>
        <w:t xml:space="preserve">cresciuto </w:t>
      </w:r>
      <w:r w:rsidRPr="009C7413">
        <w:t>di 8</w:t>
      </w:r>
      <w:r>
        <w:t>'</w:t>
      </w:r>
      <w:r w:rsidRPr="009C7413">
        <w:t>375 unità e corrispond</w:t>
      </w:r>
      <w:r>
        <w:t>e a un aumento del 15</w:t>
      </w:r>
      <w:r w:rsidRPr="009C7413">
        <w:t>% circa</w:t>
      </w:r>
      <w:r>
        <w:t>;</w:t>
      </w:r>
    </w:p>
    <w:p w:rsidR="00F22878" w:rsidRPr="009C7413" w:rsidRDefault="00F22878" w:rsidP="00D47F9E">
      <w:pPr>
        <w:pStyle w:val="Paragrafoelenco"/>
        <w:numPr>
          <w:ilvl w:val="0"/>
          <w:numId w:val="9"/>
        </w:numPr>
        <w:spacing w:before="100"/>
        <w:ind w:left="284" w:hanging="284"/>
      </w:pPr>
      <w:r w:rsidRPr="009C7413">
        <w:t>le previsioni per il futuro non indicano un cambiamento di tendenza</w:t>
      </w:r>
      <w:r>
        <w:t>.</w:t>
      </w:r>
    </w:p>
    <w:p w:rsidR="00F22878" w:rsidRPr="009260A0" w:rsidRDefault="00F22878" w:rsidP="00F22878">
      <w:pPr>
        <w:rPr>
          <w:rFonts w:cs="Arial"/>
          <w:color w:val="000000" w:themeColor="text1"/>
          <w:szCs w:val="24"/>
        </w:rPr>
      </w:pPr>
    </w:p>
    <w:p w:rsidR="00F22878" w:rsidRPr="009260A0" w:rsidRDefault="00F22878" w:rsidP="00F22878">
      <w:pPr>
        <w:rPr>
          <w:rFonts w:cs="Arial"/>
          <w:color w:val="000000" w:themeColor="text1"/>
          <w:szCs w:val="24"/>
        </w:rPr>
      </w:pPr>
    </w:p>
    <w:p w:rsidR="00F22878" w:rsidRPr="009B1200" w:rsidRDefault="00F22878" w:rsidP="009260A0">
      <w:pPr>
        <w:tabs>
          <w:tab w:val="left" w:pos="567"/>
        </w:tabs>
        <w:spacing w:after="100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VI.</w:t>
      </w:r>
      <w:r>
        <w:rPr>
          <w:rFonts w:ascii="Arial Grassetto" w:eastAsia="MS Mincho" w:hAnsi="Arial Grassetto" w:cs="Arial"/>
          <w:b/>
          <w:caps/>
        </w:rPr>
        <w:tab/>
      </w:r>
      <w:r w:rsidRPr="009B1200">
        <w:rPr>
          <w:rFonts w:ascii="Arial Grassetto" w:eastAsia="MS Mincho" w:hAnsi="Arial Grassetto" w:cs="Arial"/>
          <w:b/>
          <w:caps/>
        </w:rPr>
        <w:t>Conclusioni</w:t>
      </w:r>
    </w:p>
    <w:p w:rsidR="00F22878" w:rsidRDefault="00F22878" w:rsidP="00F22878">
      <w:pPr>
        <w:ind w:firstLine="1"/>
        <w:rPr>
          <w:rFonts w:cs="Arial"/>
        </w:rPr>
      </w:pPr>
      <w:r>
        <w:t>La maggioranza della Commissione della legislazione, tenuto conto delle considerazioni suesposte e del fatto che il Consiglio di Stato ha affermato che valuterà la possibilità di monitorare a livello regionale il mercato dell'alloggio ed eventualmente di introdurre l'obbligo del formulario in occasione di comprovata penuria di abitazioni, invita il Gran Consiglio a respingere la mozione in parola.</w:t>
      </w:r>
    </w:p>
    <w:p w:rsidR="00F242E5" w:rsidRDefault="00F242E5" w:rsidP="00F242E5">
      <w:pPr>
        <w:rPr>
          <w:szCs w:val="24"/>
        </w:rPr>
      </w:pPr>
    </w:p>
    <w:p w:rsidR="009260A0" w:rsidRPr="009260A0" w:rsidRDefault="009260A0" w:rsidP="00F242E5">
      <w:pPr>
        <w:rPr>
          <w:szCs w:val="24"/>
        </w:rPr>
      </w:pPr>
    </w:p>
    <w:p w:rsidR="00F242E5" w:rsidRPr="009260A0" w:rsidRDefault="00F242E5" w:rsidP="00F242E5">
      <w:pPr>
        <w:rPr>
          <w:rFonts w:cs="Arial"/>
          <w:szCs w:val="24"/>
        </w:rPr>
      </w:pPr>
    </w:p>
    <w:p w:rsidR="00F242E5" w:rsidRPr="008219F2" w:rsidRDefault="00F242E5" w:rsidP="00F242E5">
      <w:pPr>
        <w:spacing w:after="120"/>
        <w:rPr>
          <w:rFonts w:cs="Arial"/>
        </w:rPr>
      </w:pPr>
      <w:r w:rsidRPr="008219F2">
        <w:rPr>
          <w:rFonts w:cs="Arial"/>
        </w:rPr>
        <w:t>Per la m</w:t>
      </w:r>
      <w:r>
        <w:rPr>
          <w:rFonts w:cs="Arial"/>
        </w:rPr>
        <w:t>agg</w:t>
      </w:r>
      <w:r w:rsidRPr="008219F2">
        <w:rPr>
          <w:rFonts w:cs="Arial"/>
        </w:rPr>
        <w:t>ioranza</w:t>
      </w:r>
      <w:r>
        <w:rPr>
          <w:rFonts w:cs="Arial"/>
        </w:rPr>
        <w:t xml:space="preserve"> </w:t>
      </w:r>
      <w:r w:rsidRPr="008219F2">
        <w:rPr>
          <w:rFonts w:cs="Arial"/>
        </w:rPr>
        <w:t xml:space="preserve">della Commissione </w:t>
      </w:r>
      <w:r w:rsidR="00123EEB">
        <w:rPr>
          <w:rFonts w:cs="Arial"/>
        </w:rPr>
        <w:t>legislazione</w:t>
      </w:r>
      <w:r w:rsidRPr="008219F2">
        <w:rPr>
          <w:rFonts w:cs="Arial"/>
        </w:rPr>
        <w:t>:</w:t>
      </w:r>
    </w:p>
    <w:p w:rsidR="00F242E5" w:rsidRPr="008219F2" w:rsidRDefault="00123EEB" w:rsidP="00F242E5">
      <w:pPr>
        <w:rPr>
          <w:rFonts w:cs="Arial"/>
        </w:rPr>
      </w:pPr>
      <w:r>
        <w:rPr>
          <w:rFonts w:cs="Arial"/>
        </w:rPr>
        <w:t>Giorgio Galusero</w:t>
      </w:r>
      <w:r w:rsidR="00F242E5" w:rsidRPr="008219F2">
        <w:rPr>
          <w:rFonts w:cs="Arial"/>
        </w:rPr>
        <w:t>, relatore</w:t>
      </w:r>
    </w:p>
    <w:p w:rsidR="00F242E5" w:rsidRDefault="00123EEB" w:rsidP="00F242E5">
      <w:pPr>
        <w:rPr>
          <w:rFonts w:cs="Arial"/>
        </w:rPr>
      </w:pPr>
      <w:r>
        <w:rPr>
          <w:rFonts w:cs="Arial"/>
        </w:rPr>
        <w:t>Agustoni - Aldi - Celio - Ferrara -</w:t>
      </w:r>
    </w:p>
    <w:p w:rsidR="00F95A43" w:rsidRDefault="00123EEB">
      <w:pPr>
        <w:rPr>
          <w:rFonts w:cs="Arial"/>
        </w:rPr>
      </w:pPr>
      <w:r>
        <w:rPr>
          <w:rFonts w:cs="Arial"/>
        </w:rPr>
        <w:t xml:space="preserve">Filippini - Gendotti - </w:t>
      </w:r>
      <w:r w:rsidR="00F95A43">
        <w:rPr>
          <w:rFonts w:cs="Arial"/>
        </w:rPr>
        <w:t xml:space="preserve">Giudici - </w:t>
      </w:r>
    </w:p>
    <w:p w:rsidR="00076E70" w:rsidRPr="00076E70" w:rsidRDefault="00123EEB">
      <w:pPr>
        <w:rPr>
          <w:rFonts w:cs="Arial"/>
          <w:szCs w:val="24"/>
        </w:rPr>
      </w:pPr>
      <w:r>
        <w:rPr>
          <w:rFonts w:cs="Arial"/>
        </w:rPr>
        <w:t>Minotti - Rückert</w:t>
      </w:r>
      <w:r w:rsidR="00F95A43">
        <w:rPr>
          <w:rFonts w:cs="Arial"/>
        </w:rPr>
        <w:t xml:space="preserve"> - Viscardi</w:t>
      </w:r>
    </w:p>
    <w:sectPr w:rsidR="00076E70" w:rsidRPr="00076E70" w:rsidSect="00123EEB">
      <w:footerReference w:type="default" r:id="rId9"/>
      <w:pgSz w:w="11906" w:h="16838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41" w:rsidRDefault="00C30541" w:rsidP="008E77C6">
      <w:r>
        <w:separator/>
      </w:r>
    </w:p>
  </w:endnote>
  <w:endnote w:type="continuationSeparator" w:id="0">
    <w:p w:rsidR="00C30541" w:rsidRDefault="00C30541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setto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1220AA" w:rsidRPr="001220AA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41" w:rsidRDefault="00C30541" w:rsidP="008E77C6">
      <w:r>
        <w:separator/>
      </w:r>
    </w:p>
  </w:footnote>
  <w:footnote w:type="continuationSeparator" w:id="0">
    <w:p w:rsidR="00C30541" w:rsidRDefault="00C30541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3B3F86"/>
    <w:multiLevelType w:val="hybridMultilevel"/>
    <w:tmpl w:val="65B673E4"/>
    <w:lvl w:ilvl="0" w:tplc="F6EC73C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2915"/>
    <w:multiLevelType w:val="hybridMultilevel"/>
    <w:tmpl w:val="79A4F1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82D1B"/>
    <w:multiLevelType w:val="hybridMultilevel"/>
    <w:tmpl w:val="58760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A3821"/>
    <w:multiLevelType w:val="hybridMultilevel"/>
    <w:tmpl w:val="F8D24A8A"/>
    <w:lvl w:ilvl="0" w:tplc="FB569AC4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9925C8"/>
    <w:multiLevelType w:val="hybridMultilevel"/>
    <w:tmpl w:val="4B2092C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220AA"/>
    <w:rsid w:val="00123EEB"/>
    <w:rsid w:val="002E5E40"/>
    <w:rsid w:val="0052425A"/>
    <w:rsid w:val="00586A8D"/>
    <w:rsid w:val="006D7A3B"/>
    <w:rsid w:val="007B5462"/>
    <w:rsid w:val="008034BD"/>
    <w:rsid w:val="00876352"/>
    <w:rsid w:val="008B4137"/>
    <w:rsid w:val="008C767A"/>
    <w:rsid w:val="008E77C6"/>
    <w:rsid w:val="009260A0"/>
    <w:rsid w:val="009770BB"/>
    <w:rsid w:val="009E008D"/>
    <w:rsid w:val="00A5465F"/>
    <w:rsid w:val="00A77678"/>
    <w:rsid w:val="00BC4C95"/>
    <w:rsid w:val="00BD5944"/>
    <w:rsid w:val="00C30541"/>
    <w:rsid w:val="00CF6858"/>
    <w:rsid w:val="00D377B5"/>
    <w:rsid w:val="00D47F9E"/>
    <w:rsid w:val="00D93B31"/>
    <w:rsid w:val="00F22878"/>
    <w:rsid w:val="00F242E5"/>
    <w:rsid w:val="00F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F22878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F22878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F22878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F22878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33E6-6C68-44B0-82CF-AA34C44B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6</cp:revision>
  <cp:lastPrinted>2017-11-27T13:49:00Z</cp:lastPrinted>
  <dcterms:created xsi:type="dcterms:W3CDTF">2017-11-16T16:00:00Z</dcterms:created>
  <dcterms:modified xsi:type="dcterms:W3CDTF">2017-11-29T08:19:00Z</dcterms:modified>
</cp:coreProperties>
</file>