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1A55E4" w:rsidRDefault="001A55E4">
      <w:pPr>
        <w:rPr>
          <w:rFonts w:ascii="Gill Sans MT" w:hAnsi="Gill Sans MT" w:cs="Arial"/>
          <w:b/>
          <w:sz w:val="48"/>
          <w:szCs w:val="48"/>
        </w:rPr>
      </w:pPr>
      <w:r w:rsidRPr="001A55E4">
        <w:rPr>
          <w:rFonts w:ascii="Gill Sans MT" w:hAnsi="Gill Sans MT" w:cs="Arial"/>
          <w:b/>
          <w:sz w:val="48"/>
          <w:szCs w:val="48"/>
        </w:rPr>
        <w:t>Rapporto</w:t>
      </w:r>
    </w:p>
    <w:p w:rsidR="008B4137" w:rsidRPr="001A55E4" w:rsidRDefault="008B4137" w:rsidP="00076E70">
      <w:pPr>
        <w:rPr>
          <w:sz w:val="20"/>
          <w:szCs w:val="20"/>
        </w:rPr>
      </w:pPr>
    </w:p>
    <w:p w:rsidR="008B4137" w:rsidRPr="001A55E4" w:rsidRDefault="008B4137">
      <w:pPr>
        <w:rPr>
          <w:rFonts w:cs="Arial"/>
          <w:sz w:val="20"/>
          <w:szCs w:val="20"/>
        </w:rPr>
      </w:pPr>
    </w:p>
    <w:p w:rsidR="00076E70" w:rsidRPr="001A55E4" w:rsidRDefault="00076E70">
      <w:pPr>
        <w:rPr>
          <w:rFonts w:cs="Arial"/>
          <w:sz w:val="20"/>
          <w:szCs w:val="20"/>
        </w:rPr>
      </w:pPr>
    </w:p>
    <w:p w:rsidR="00FF0A8C" w:rsidRPr="005043E5" w:rsidRDefault="00FF0A8C" w:rsidP="00FF0A8C">
      <w:pPr>
        <w:tabs>
          <w:tab w:val="left" w:pos="1985"/>
          <w:tab w:val="left" w:pos="4962"/>
        </w:tabs>
        <w:ind w:right="-1"/>
        <w:rPr>
          <w:rFonts w:eastAsia="MS Mincho" w:cs="Arial"/>
          <w:sz w:val="32"/>
          <w:szCs w:val="32"/>
          <w:lang w:eastAsia="it-IT"/>
        </w:rPr>
      </w:pPr>
      <w:r w:rsidRPr="005043E5">
        <w:rPr>
          <w:rFonts w:eastAsia="MS Mincho" w:cs="Arial"/>
          <w:b/>
          <w:sz w:val="32"/>
          <w:szCs w:val="32"/>
          <w:lang w:eastAsia="it-IT"/>
        </w:rPr>
        <w:t>7</w:t>
      </w:r>
      <w:r w:rsidRPr="00F619A4">
        <w:rPr>
          <w:rFonts w:eastAsia="MS Mincho" w:cs="Arial"/>
          <w:b/>
          <w:sz w:val="32"/>
          <w:szCs w:val="32"/>
          <w:lang w:eastAsia="it-IT"/>
        </w:rPr>
        <w:t>437 R</w:t>
      </w:r>
      <w:r w:rsidRPr="005043E5">
        <w:rPr>
          <w:rFonts w:eastAsia="MS Mincho" w:cs="Arial"/>
          <w:b/>
          <w:sz w:val="32"/>
          <w:szCs w:val="32"/>
          <w:lang w:eastAsia="it-IT"/>
        </w:rPr>
        <w:tab/>
      </w:r>
      <w:r w:rsidRPr="005043E5">
        <w:rPr>
          <w:rFonts w:eastAsia="MS Mincho" w:cs="Arial"/>
          <w:sz w:val="28"/>
          <w:szCs w:val="28"/>
          <w:lang w:eastAsia="it-IT"/>
        </w:rPr>
        <w:t>29 novembre 2017</w:t>
      </w:r>
      <w:r w:rsidRPr="005043E5">
        <w:rPr>
          <w:rFonts w:eastAsia="MS Mincho" w:cs="Arial"/>
          <w:sz w:val="32"/>
          <w:szCs w:val="32"/>
          <w:lang w:eastAsia="it-IT"/>
        </w:rPr>
        <w:tab/>
      </w:r>
      <w:r w:rsidRPr="00FF0A8C">
        <w:rPr>
          <w:rFonts w:eastAsia="MS Mincho" w:cs="Arial"/>
          <w:caps/>
          <w:sz w:val="28"/>
          <w:szCs w:val="28"/>
          <w:lang w:eastAsia="it-IT"/>
        </w:rPr>
        <w:t>istituzioni</w:t>
      </w:r>
    </w:p>
    <w:p w:rsidR="00FF0A8C" w:rsidRPr="001A55E4" w:rsidRDefault="00FF0A8C" w:rsidP="00FF0A8C">
      <w:pPr>
        <w:ind w:right="-1"/>
        <w:rPr>
          <w:rFonts w:eastAsia="MS Mincho" w:cs="Arial"/>
          <w:sz w:val="20"/>
          <w:szCs w:val="20"/>
          <w:lang w:eastAsia="it-IT"/>
        </w:rPr>
      </w:pPr>
    </w:p>
    <w:p w:rsidR="00FF0A8C" w:rsidRPr="001A55E4" w:rsidRDefault="00FF0A8C" w:rsidP="00FF0A8C">
      <w:pPr>
        <w:ind w:right="-1"/>
        <w:rPr>
          <w:rFonts w:eastAsia="MS Mincho" w:cs="Arial"/>
          <w:sz w:val="20"/>
          <w:szCs w:val="20"/>
          <w:lang w:eastAsia="it-IT"/>
        </w:rPr>
      </w:pPr>
    </w:p>
    <w:p w:rsidR="00FF0A8C" w:rsidRPr="001A55E4" w:rsidRDefault="00FF0A8C" w:rsidP="00FF0A8C">
      <w:pPr>
        <w:ind w:right="-1"/>
        <w:rPr>
          <w:rFonts w:eastAsia="MS Mincho" w:cs="Arial"/>
          <w:sz w:val="20"/>
          <w:szCs w:val="20"/>
          <w:lang w:eastAsia="it-IT"/>
        </w:rPr>
      </w:pPr>
    </w:p>
    <w:p w:rsidR="00FF0A8C" w:rsidRDefault="00FF0A8C" w:rsidP="00FF0A8C">
      <w:pPr>
        <w:rPr>
          <w:rFonts w:eastAsia="MS Mincho" w:cs="Arial"/>
          <w:b/>
          <w:snapToGrid w:val="0"/>
          <w:sz w:val="28"/>
          <w:szCs w:val="28"/>
          <w:lang w:eastAsia="it-IT"/>
        </w:rPr>
      </w:pPr>
      <w:r w:rsidRPr="005043E5">
        <w:rPr>
          <w:rFonts w:eastAsia="MS Mincho" w:cs="Arial"/>
          <w:b/>
          <w:snapToGrid w:val="0"/>
          <w:sz w:val="28"/>
          <w:szCs w:val="28"/>
          <w:lang w:eastAsia="it-IT"/>
        </w:rPr>
        <w:t>della Commissione della legislazione</w:t>
      </w:r>
    </w:p>
    <w:p w:rsidR="00FF0A8C" w:rsidRPr="005043E5" w:rsidRDefault="00FF0A8C" w:rsidP="00FF0A8C">
      <w:pPr>
        <w:rPr>
          <w:rFonts w:cs="Arial"/>
          <w:b/>
          <w:sz w:val="28"/>
          <w:szCs w:val="28"/>
        </w:rPr>
      </w:pPr>
      <w:r w:rsidRPr="00F619A4">
        <w:rPr>
          <w:rFonts w:eastAsia="MS Mincho" w:cs="Arial"/>
          <w:b/>
          <w:snapToGrid w:val="0"/>
          <w:sz w:val="28"/>
          <w:szCs w:val="28"/>
          <w:lang w:eastAsia="it-IT"/>
        </w:rPr>
        <w:t>sul</w:t>
      </w:r>
      <w:r>
        <w:rPr>
          <w:rFonts w:eastAsia="MS Mincho" w:cs="Arial"/>
          <w:b/>
          <w:snapToGrid w:val="0"/>
          <w:sz w:val="28"/>
          <w:szCs w:val="28"/>
          <w:lang w:eastAsia="it-IT"/>
        </w:rPr>
        <w:t xml:space="preserve"> messaggio 4 ottobre 2017 concernente l'</w:t>
      </w:r>
      <w:r w:rsidRPr="00F619A4">
        <w:rPr>
          <w:rFonts w:cs="Arial"/>
          <w:b/>
          <w:sz w:val="28"/>
          <w:szCs w:val="28"/>
        </w:rPr>
        <w:t>adeguamento della legislazione cantonale alle modifiche del Codice penale e del Codice penale militare concernente il diritto sanzionatorio, con modifiche della Legge sull’esecuzione delle pene e delle misure per gli adulti</w:t>
      </w:r>
    </w:p>
    <w:p w:rsidR="00FF0A8C" w:rsidRPr="0091238C" w:rsidRDefault="00FF0A8C" w:rsidP="00FF0A8C">
      <w:pPr>
        <w:ind w:right="-1"/>
        <w:rPr>
          <w:rFonts w:eastAsia="MS Mincho" w:cs="Times New Roman"/>
          <w:snapToGrid w:val="0"/>
          <w:szCs w:val="24"/>
          <w:lang w:eastAsia="it-IT"/>
        </w:rPr>
      </w:pPr>
      <w:bookmarkStart w:id="0" w:name="_GoBack"/>
      <w:bookmarkEnd w:id="0"/>
    </w:p>
    <w:p w:rsidR="00FF0A8C" w:rsidRPr="0091238C" w:rsidRDefault="00FF0A8C" w:rsidP="00FF0A8C">
      <w:pPr>
        <w:ind w:right="-1"/>
        <w:rPr>
          <w:rFonts w:eastAsia="MS Mincho" w:cs="Times New Roman"/>
          <w:snapToGrid w:val="0"/>
          <w:szCs w:val="24"/>
          <w:lang w:eastAsia="it-IT"/>
        </w:rPr>
      </w:pPr>
    </w:p>
    <w:p w:rsidR="00FF0A8C" w:rsidRPr="0091238C" w:rsidRDefault="00FF0A8C" w:rsidP="00FF0A8C">
      <w:pPr>
        <w:ind w:right="-1"/>
        <w:rPr>
          <w:rFonts w:eastAsia="MS Mincho" w:cs="Times New Roman"/>
          <w:snapToGrid w:val="0"/>
          <w:szCs w:val="24"/>
          <w:lang w:eastAsia="it-IT"/>
        </w:rPr>
      </w:pPr>
    </w:p>
    <w:p w:rsidR="00FF0A8C" w:rsidRPr="00FF0A8C" w:rsidRDefault="00FF0A8C" w:rsidP="00FF0A8C">
      <w:pPr>
        <w:numPr>
          <w:ilvl w:val="0"/>
          <w:numId w:val="5"/>
        </w:numPr>
        <w:tabs>
          <w:tab w:val="left" w:pos="426"/>
        </w:tabs>
        <w:spacing w:after="160"/>
        <w:ind w:left="0" w:right="-1" w:firstLine="0"/>
        <w:jc w:val="left"/>
        <w:rPr>
          <w:rFonts w:eastAsia="MS Mincho" w:cs="Times New Roman"/>
          <w:b/>
          <w:snapToGrid w:val="0"/>
          <w:szCs w:val="24"/>
          <w:lang w:eastAsia="it-IT"/>
        </w:rPr>
      </w:pPr>
      <w:r w:rsidRPr="00FF0A8C">
        <w:rPr>
          <w:rFonts w:eastAsia="MS Mincho" w:cs="Times New Roman"/>
          <w:b/>
          <w:snapToGrid w:val="0"/>
          <w:szCs w:val="24"/>
          <w:lang w:eastAsia="it-IT"/>
        </w:rPr>
        <w:t>INTRODUZIONE</w:t>
      </w:r>
    </w:p>
    <w:p w:rsidR="00FF0A8C" w:rsidRDefault="00FF0A8C" w:rsidP="00FF0A8C">
      <w:pPr>
        <w:ind w:right="-1"/>
        <w:rPr>
          <w:rFonts w:eastAsia="MS Mincho" w:cs="Times New Roman"/>
          <w:snapToGrid w:val="0"/>
          <w:szCs w:val="24"/>
          <w:lang w:eastAsia="it-IT"/>
        </w:rPr>
      </w:pPr>
      <w:r w:rsidRPr="0004469A">
        <w:rPr>
          <w:rFonts w:eastAsia="MS Mincho" w:cs="Times New Roman"/>
          <w:snapToGrid w:val="0"/>
          <w:szCs w:val="24"/>
          <w:lang w:eastAsia="it-IT"/>
        </w:rPr>
        <w:t>Come indicato nel Messaggio del Consiglio di Stato</w:t>
      </w:r>
      <w:r>
        <w:rPr>
          <w:rFonts w:eastAsia="MS Mincho" w:cs="Times New Roman"/>
          <w:snapToGrid w:val="0"/>
          <w:szCs w:val="24"/>
          <w:lang w:eastAsia="it-IT"/>
        </w:rPr>
        <w:t>, il 19 giugno 2015</w:t>
      </w:r>
      <w:r w:rsidRPr="0004469A">
        <w:t xml:space="preserve"> </w:t>
      </w:r>
      <w:r w:rsidRPr="0004469A">
        <w:rPr>
          <w:rFonts w:eastAsia="MS Mincho" w:cs="Times New Roman"/>
          <w:snapToGrid w:val="0"/>
          <w:szCs w:val="24"/>
          <w:lang w:eastAsia="it-IT"/>
        </w:rPr>
        <w:t>le Camere federali hanno approvato le modifiche della disciplina delle sanzioni</w:t>
      </w:r>
      <w:r>
        <w:rPr>
          <w:rFonts w:eastAsia="MS Mincho" w:cs="Times New Roman"/>
          <w:snapToGrid w:val="0"/>
          <w:szCs w:val="24"/>
          <w:lang w:eastAsia="it-IT"/>
        </w:rPr>
        <w:t xml:space="preserve"> in ambito penale.</w:t>
      </w:r>
    </w:p>
    <w:p w:rsidR="00FF0A8C" w:rsidRDefault="00FF0A8C" w:rsidP="00FF0A8C">
      <w:pPr>
        <w:ind w:right="-1"/>
        <w:rPr>
          <w:rFonts w:eastAsia="MS Mincho" w:cs="Times New Roman"/>
          <w:snapToGrid w:val="0"/>
          <w:szCs w:val="24"/>
          <w:lang w:eastAsia="it-IT"/>
        </w:rPr>
      </w:pPr>
    </w:p>
    <w:p w:rsidR="00FF0A8C" w:rsidRDefault="00FF0A8C" w:rsidP="00FF0A8C">
      <w:pPr>
        <w:ind w:right="-1"/>
        <w:rPr>
          <w:rFonts w:eastAsia="MS Mincho" w:cs="Times New Roman"/>
          <w:snapToGrid w:val="0"/>
          <w:szCs w:val="24"/>
          <w:lang w:eastAsia="it-IT"/>
        </w:rPr>
      </w:pPr>
      <w:r>
        <w:rPr>
          <w:rFonts w:eastAsia="MS Mincho" w:cs="Times New Roman"/>
          <w:snapToGrid w:val="0"/>
          <w:szCs w:val="24"/>
          <w:lang w:eastAsia="it-IT"/>
        </w:rPr>
        <w:t>Le principali modifiche sono le seguenti:</w:t>
      </w:r>
    </w:p>
    <w:p w:rsidR="00FF0A8C" w:rsidRDefault="00FF0A8C" w:rsidP="00FF0A8C">
      <w:pPr>
        <w:pStyle w:val="Paragrafoelenco"/>
        <w:numPr>
          <w:ilvl w:val="0"/>
          <w:numId w:val="6"/>
        </w:numPr>
        <w:spacing w:before="100"/>
        <w:ind w:left="425" w:right="-1" w:hanging="425"/>
        <w:rPr>
          <w:rFonts w:eastAsia="MS Mincho" w:cs="Times New Roman"/>
          <w:snapToGrid w:val="0"/>
          <w:szCs w:val="24"/>
          <w:lang w:eastAsia="it-IT"/>
        </w:rPr>
      </w:pPr>
      <w:r>
        <w:rPr>
          <w:rFonts w:eastAsia="MS Mincho" w:cs="Times New Roman"/>
          <w:snapToGrid w:val="0"/>
          <w:szCs w:val="24"/>
          <w:lang w:eastAsia="it-IT"/>
        </w:rPr>
        <w:t>allentamento delle condizioni per la pronuncia di pene detentive di durata inferiore ai sei mesi (art. 40 CP) e abbassamento dell’aliquota giornaliera minima (art. 34 CP);</w:t>
      </w:r>
    </w:p>
    <w:p w:rsidR="00FF0A8C" w:rsidRPr="00CF76D6" w:rsidRDefault="00FF0A8C" w:rsidP="00FF0A8C">
      <w:pPr>
        <w:pStyle w:val="Paragrafoelenco"/>
        <w:numPr>
          <w:ilvl w:val="0"/>
          <w:numId w:val="6"/>
        </w:numPr>
        <w:spacing w:before="100" w:line="276" w:lineRule="auto"/>
        <w:ind w:left="425" w:hanging="425"/>
        <w:rPr>
          <w:rFonts w:eastAsia="MS Mincho" w:cs="Times New Roman"/>
          <w:snapToGrid w:val="0"/>
          <w:szCs w:val="24"/>
          <w:lang w:eastAsia="it-IT"/>
        </w:rPr>
      </w:pPr>
      <w:r>
        <w:rPr>
          <w:rFonts w:eastAsia="MS Mincho" w:cs="Times New Roman"/>
          <w:snapToGrid w:val="0"/>
          <w:szCs w:val="24"/>
          <w:lang w:eastAsia="it-IT"/>
        </w:rPr>
        <w:t>m</w:t>
      </w:r>
      <w:r w:rsidRPr="00CF76D6">
        <w:rPr>
          <w:rFonts w:eastAsia="MS Mincho" w:cs="Times New Roman"/>
          <w:snapToGrid w:val="0"/>
          <w:szCs w:val="24"/>
          <w:lang w:eastAsia="it-IT"/>
        </w:rPr>
        <w:t>odifica del lavoro di pubblica utilità da pena indipendente a forma di esecuzione (art. 79a CP);</w:t>
      </w:r>
    </w:p>
    <w:p w:rsidR="00FF0A8C" w:rsidRDefault="00FF0A8C" w:rsidP="00FF0A8C">
      <w:pPr>
        <w:pStyle w:val="Paragrafoelenco"/>
        <w:numPr>
          <w:ilvl w:val="0"/>
          <w:numId w:val="6"/>
        </w:numPr>
        <w:spacing w:before="100"/>
        <w:ind w:left="425" w:right="-1" w:hanging="425"/>
        <w:rPr>
          <w:rFonts w:eastAsia="MS Mincho" w:cs="Times New Roman"/>
          <w:snapToGrid w:val="0"/>
          <w:szCs w:val="24"/>
          <w:lang w:eastAsia="it-IT"/>
        </w:rPr>
      </w:pPr>
      <w:r>
        <w:rPr>
          <w:rFonts w:eastAsia="MS Mincho" w:cs="Times New Roman"/>
          <w:snapToGrid w:val="0"/>
          <w:szCs w:val="24"/>
          <w:lang w:eastAsia="it-IT"/>
        </w:rPr>
        <w:t>introduzione della sorveglianza elettronica dell’esecuzione della pena fuori del penitenziario (art. 79b CP);</w:t>
      </w:r>
    </w:p>
    <w:p w:rsidR="00FF0A8C" w:rsidRDefault="00FF0A8C" w:rsidP="00FF0A8C">
      <w:pPr>
        <w:pStyle w:val="Paragrafoelenco"/>
        <w:numPr>
          <w:ilvl w:val="0"/>
          <w:numId w:val="6"/>
        </w:numPr>
        <w:spacing w:before="100"/>
        <w:ind w:left="425" w:right="-1" w:hanging="425"/>
        <w:rPr>
          <w:rFonts w:eastAsia="MS Mincho" w:cs="Times New Roman"/>
          <w:snapToGrid w:val="0"/>
          <w:szCs w:val="24"/>
          <w:lang w:eastAsia="it-IT"/>
        </w:rPr>
      </w:pPr>
      <w:r>
        <w:rPr>
          <w:rFonts w:eastAsia="MS Mincho" w:cs="Times New Roman"/>
          <w:snapToGrid w:val="0"/>
          <w:szCs w:val="24"/>
          <w:lang w:eastAsia="it-IT"/>
        </w:rPr>
        <w:t xml:space="preserve">innalzamento </w:t>
      </w:r>
      <w:proofErr w:type="spellStart"/>
      <w:r>
        <w:rPr>
          <w:rFonts w:eastAsia="MS Mincho" w:cs="Times New Roman"/>
          <w:snapToGrid w:val="0"/>
          <w:szCs w:val="24"/>
          <w:lang w:eastAsia="it-IT"/>
        </w:rPr>
        <w:t>dell’eta</w:t>
      </w:r>
      <w:proofErr w:type="spellEnd"/>
      <w:r>
        <w:rPr>
          <w:rFonts w:eastAsia="MS Mincho" w:cs="Times New Roman"/>
          <w:snapToGrid w:val="0"/>
          <w:szCs w:val="24"/>
          <w:lang w:eastAsia="it-IT"/>
        </w:rPr>
        <w:t xml:space="preserve"> di applicazione delle misure del diritto penale minorile dai 22 ai 25 anni (art. 19 cpv. 2 DPM);</w:t>
      </w:r>
    </w:p>
    <w:p w:rsidR="00FF0A8C" w:rsidRPr="0004469A" w:rsidRDefault="00FF0A8C" w:rsidP="00FF0A8C">
      <w:pPr>
        <w:pStyle w:val="Paragrafoelenco"/>
        <w:numPr>
          <w:ilvl w:val="0"/>
          <w:numId w:val="6"/>
        </w:numPr>
        <w:spacing w:before="100"/>
        <w:ind w:left="425" w:right="-1" w:hanging="425"/>
        <w:rPr>
          <w:rFonts w:eastAsia="MS Mincho" w:cs="Times New Roman"/>
          <w:snapToGrid w:val="0"/>
          <w:szCs w:val="24"/>
          <w:lang w:eastAsia="it-IT"/>
        </w:rPr>
      </w:pPr>
      <w:r>
        <w:rPr>
          <w:rFonts w:eastAsia="MS Mincho" w:cs="Times New Roman"/>
          <w:snapToGrid w:val="0"/>
          <w:szCs w:val="24"/>
          <w:lang w:eastAsia="it-IT"/>
        </w:rPr>
        <w:t>reintroduzione dell’espulsione facoltativa dal territorio svizzero (art. 50ebis CP), superata però dall’attuazione dell’iniziativa popolare sull’espulsione dei criminali stranieri.</w:t>
      </w:r>
    </w:p>
    <w:p w:rsidR="00FF0A8C" w:rsidRPr="00603633" w:rsidRDefault="00FF0A8C" w:rsidP="00FF0A8C">
      <w:pPr>
        <w:ind w:right="-1"/>
        <w:rPr>
          <w:rFonts w:eastAsia="MS Mincho" w:cs="Times New Roman"/>
          <w:snapToGrid w:val="0"/>
          <w:sz w:val="20"/>
          <w:szCs w:val="20"/>
          <w:lang w:eastAsia="it-IT"/>
        </w:rPr>
      </w:pPr>
    </w:p>
    <w:p w:rsidR="00FF0A8C" w:rsidRDefault="00FF0A8C" w:rsidP="00FF0A8C">
      <w:pPr>
        <w:ind w:right="-1"/>
        <w:rPr>
          <w:rFonts w:eastAsia="MS Mincho" w:cs="Times New Roman"/>
          <w:snapToGrid w:val="0"/>
          <w:szCs w:val="24"/>
          <w:lang w:eastAsia="it-IT"/>
        </w:rPr>
      </w:pPr>
      <w:r>
        <w:rPr>
          <w:rFonts w:eastAsia="MS Mincho" w:cs="Times New Roman"/>
          <w:snapToGrid w:val="0"/>
          <w:szCs w:val="24"/>
          <w:lang w:eastAsia="it-IT"/>
        </w:rPr>
        <w:t xml:space="preserve">In data 23 marzo 2016 (la data del </w:t>
      </w:r>
      <w:r w:rsidRPr="00C13A56">
        <w:rPr>
          <w:rFonts w:eastAsia="MS Mincho" w:cs="Times New Roman"/>
          <w:snapToGrid w:val="0"/>
          <w:szCs w:val="24"/>
          <w:lang w:eastAsia="it-IT"/>
        </w:rPr>
        <w:t>27 marzo 2017</w:t>
      </w:r>
      <w:r>
        <w:rPr>
          <w:rFonts w:eastAsia="MS Mincho" w:cs="Times New Roman"/>
          <w:snapToGrid w:val="0"/>
          <w:szCs w:val="24"/>
          <w:lang w:eastAsia="it-IT"/>
        </w:rPr>
        <w:t xml:space="preserve"> indicata nel Messaggio è verosimilmente un refuso) il Consiglio federale ha decretato l’entrata in vigore delle modifiche legislative per il 1. gennaio 2018, fatte salve le norme sul diritto penale minorile, entrate in vigore il 1. luglio 2016.</w:t>
      </w:r>
    </w:p>
    <w:p w:rsidR="00FF0A8C" w:rsidRPr="00603633" w:rsidRDefault="00FF0A8C" w:rsidP="00FF0A8C">
      <w:pPr>
        <w:ind w:right="-1"/>
        <w:rPr>
          <w:rFonts w:eastAsia="MS Mincho" w:cs="Times New Roman"/>
          <w:snapToGrid w:val="0"/>
          <w:sz w:val="20"/>
          <w:szCs w:val="20"/>
          <w:lang w:eastAsia="it-IT"/>
        </w:rPr>
      </w:pPr>
    </w:p>
    <w:p w:rsidR="00FF0A8C" w:rsidRPr="0091238C" w:rsidRDefault="00FF0A8C" w:rsidP="00FF0A8C">
      <w:pPr>
        <w:ind w:right="-1"/>
        <w:rPr>
          <w:rFonts w:eastAsia="MS Mincho" w:cs="Times New Roman"/>
          <w:snapToGrid w:val="0"/>
          <w:szCs w:val="24"/>
          <w:lang w:eastAsia="it-IT"/>
        </w:rPr>
      </w:pPr>
      <w:r>
        <w:rPr>
          <w:rFonts w:eastAsia="MS Mincho" w:cs="Times New Roman"/>
          <w:snapToGrid w:val="0"/>
          <w:szCs w:val="24"/>
          <w:lang w:eastAsia="it-IT"/>
        </w:rPr>
        <w:t>Con il suo Messaggio del 4 ottobre 2017 il Consiglio di Stato propone sostanzialmente un adeguamento della legislazione cantonale alle nuove norme del diritto federale.</w:t>
      </w:r>
    </w:p>
    <w:p w:rsidR="00FF0A8C" w:rsidRPr="001A55E4" w:rsidRDefault="00FF0A8C" w:rsidP="00FF0A8C">
      <w:pPr>
        <w:ind w:right="-1"/>
        <w:rPr>
          <w:rFonts w:eastAsia="MS Mincho" w:cs="Times New Roman"/>
          <w:snapToGrid w:val="0"/>
          <w:sz w:val="20"/>
          <w:szCs w:val="20"/>
          <w:lang w:eastAsia="it-IT"/>
        </w:rPr>
      </w:pPr>
    </w:p>
    <w:p w:rsidR="00FF0A8C" w:rsidRPr="001A55E4" w:rsidRDefault="00FF0A8C" w:rsidP="00FF0A8C">
      <w:pPr>
        <w:ind w:right="-1"/>
        <w:rPr>
          <w:rFonts w:eastAsia="MS Mincho" w:cs="Times New Roman"/>
          <w:snapToGrid w:val="0"/>
          <w:sz w:val="20"/>
          <w:szCs w:val="20"/>
          <w:lang w:eastAsia="it-IT"/>
        </w:rPr>
      </w:pPr>
    </w:p>
    <w:p w:rsidR="00603633" w:rsidRPr="001A55E4" w:rsidRDefault="00603633" w:rsidP="00FF0A8C">
      <w:pPr>
        <w:ind w:right="-1"/>
        <w:rPr>
          <w:rFonts w:eastAsia="MS Mincho" w:cs="Times New Roman"/>
          <w:snapToGrid w:val="0"/>
          <w:sz w:val="20"/>
          <w:szCs w:val="20"/>
          <w:lang w:eastAsia="it-IT"/>
        </w:rPr>
      </w:pPr>
    </w:p>
    <w:p w:rsidR="00FF0A8C" w:rsidRPr="00FF0A8C" w:rsidRDefault="00FF0A8C" w:rsidP="00FF0A8C">
      <w:pPr>
        <w:numPr>
          <w:ilvl w:val="0"/>
          <w:numId w:val="5"/>
        </w:numPr>
        <w:tabs>
          <w:tab w:val="left" w:pos="426"/>
        </w:tabs>
        <w:spacing w:after="160"/>
        <w:ind w:left="0" w:right="-1" w:firstLine="0"/>
        <w:jc w:val="left"/>
        <w:rPr>
          <w:rFonts w:eastAsia="MS Mincho" w:cs="Times New Roman"/>
          <w:b/>
          <w:snapToGrid w:val="0"/>
          <w:szCs w:val="24"/>
          <w:lang w:eastAsia="it-IT"/>
        </w:rPr>
      </w:pPr>
      <w:r w:rsidRPr="00FF0A8C">
        <w:rPr>
          <w:rFonts w:eastAsia="MS Mincho" w:cs="Times New Roman"/>
          <w:b/>
          <w:snapToGrid w:val="0"/>
          <w:szCs w:val="24"/>
          <w:lang w:eastAsia="it-IT"/>
        </w:rPr>
        <w:t>MESSAGGIO DEL CONSIGLIO DI STATO</w:t>
      </w:r>
    </w:p>
    <w:p w:rsidR="00FF0A8C" w:rsidRDefault="00FF0A8C" w:rsidP="00FF0A8C">
      <w:pPr>
        <w:ind w:right="-1"/>
        <w:rPr>
          <w:rFonts w:eastAsia="MS Mincho" w:cs="Times New Roman"/>
          <w:snapToGrid w:val="0"/>
          <w:szCs w:val="24"/>
          <w:lang w:eastAsia="it-IT"/>
        </w:rPr>
      </w:pPr>
      <w:r w:rsidRPr="0005212E">
        <w:rPr>
          <w:rFonts w:eastAsia="MS Mincho" w:cs="Times New Roman"/>
          <w:snapToGrid w:val="0"/>
          <w:szCs w:val="24"/>
          <w:lang w:eastAsia="it-IT"/>
        </w:rPr>
        <w:t>Il Consiglio di Stato, oltre ad alcune modifiche direttamente legate alle nuove norme federali, propone ulteriori adegu</w:t>
      </w:r>
      <w:r>
        <w:rPr>
          <w:rFonts w:eastAsia="MS Mincho" w:cs="Times New Roman"/>
          <w:snapToGrid w:val="0"/>
          <w:szCs w:val="24"/>
          <w:lang w:eastAsia="it-IT"/>
        </w:rPr>
        <w:t>a</w:t>
      </w:r>
      <w:r w:rsidRPr="0005212E">
        <w:rPr>
          <w:rFonts w:eastAsia="MS Mincho" w:cs="Times New Roman"/>
          <w:snapToGrid w:val="0"/>
          <w:szCs w:val="24"/>
          <w:lang w:eastAsia="it-IT"/>
        </w:rPr>
        <w:t>menti legislativi, per di più di natura linguistico-formale, legat</w:t>
      </w:r>
      <w:r>
        <w:rPr>
          <w:rFonts w:eastAsia="MS Mincho" w:cs="Times New Roman"/>
          <w:snapToGrid w:val="0"/>
          <w:szCs w:val="24"/>
          <w:lang w:eastAsia="it-IT"/>
        </w:rPr>
        <w:t>i</w:t>
      </w:r>
      <w:r w:rsidRPr="0005212E">
        <w:rPr>
          <w:rFonts w:eastAsia="MS Mincho" w:cs="Times New Roman"/>
          <w:snapToGrid w:val="0"/>
          <w:szCs w:val="24"/>
          <w:lang w:eastAsia="it-IT"/>
        </w:rPr>
        <w:t xml:space="preserve"> a modifiche legislative entrate in vigore negli ultimi anni.</w:t>
      </w:r>
    </w:p>
    <w:p w:rsidR="00FF0A8C" w:rsidRPr="00603633" w:rsidRDefault="00FF0A8C" w:rsidP="00FF0A8C">
      <w:pPr>
        <w:ind w:right="-1"/>
        <w:rPr>
          <w:rFonts w:eastAsia="MS Mincho" w:cs="Times New Roman"/>
          <w:snapToGrid w:val="0"/>
          <w:sz w:val="16"/>
          <w:szCs w:val="16"/>
          <w:lang w:eastAsia="it-IT"/>
        </w:rPr>
      </w:pPr>
    </w:p>
    <w:p w:rsidR="00FF0A8C" w:rsidRPr="0005212E" w:rsidRDefault="00FF0A8C" w:rsidP="00FF0A8C">
      <w:pPr>
        <w:ind w:right="-1"/>
        <w:rPr>
          <w:rFonts w:eastAsia="MS Mincho" w:cs="Times New Roman"/>
          <w:snapToGrid w:val="0"/>
          <w:szCs w:val="24"/>
          <w:lang w:eastAsia="it-IT"/>
        </w:rPr>
      </w:pPr>
      <w:r>
        <w:rPr>
          <w:rFonts w:eastAsia="MS Mincho" w:cs="Times New Roman"/>
          <w:snapToGrid w:val="0"/>
          <w:szCs w:val="24"/>
          <w:lang w:eastAsia="it-IT"/>
        </w:rPr>
        <w:lastRenderedPageBreak/>
        <w:t>Il Consiglio di Stato riferisce inoltre nel Messaggio di valutazioni in corso in merito all’organizzazione dell’Ufficio dell’assistenza riabilitativa, nonché all’impiego della sorveglianza elettronica in ambiti diversi dall’esecuzione delle pene.</w:t>
      </w:r>
    </w:p>
    <w:p w:rsidR="00FF0A8C" w:rsidRPr="00603633" w:rsidRDefault="00FF0A8C" w:rsidP="00FF0A8C">
      <w:pPr>
        <w:ind w:right="-1"/>
        <w:rPr>
          <w:rFonts w:eastAsia="MS Mincho" w:cs="Times New Roman"/>
          <w:snapToGrid w:val="0"/>
          <w:sz w:val="20"/>
          <w:szCs w:val="20"/>
          <w:lang w:eastAsia="it-IT"/>
        </w:rPr>
      </w:pPr>
    </w:p>
    <w:p w:rsidR="00603633" w:rsidRPr="00603633" w:rsidRDefault="00603633" w:rsidP="00FF0A8C">
      <w:pPr>
        <w:ind w:right="-1"/>
        <w:rPr>
          <w:rFonts w:eastAsia="MS Mincho" w:cs="Times New Roman"/>
          <w:snapToGrid w:val="0"/>
          <w:sz w:val="20"/>
          <w:szCs w:val="20"/>
          <w:lang w:eastAsia="it-IT"/>
        </w:rPr>
      </w:pPr>
    </w:p>
    <w:p w:rsidR="00FF0A8C" w:rsidRPr="00603633" w:rsidRDefault="00FF0A8C" w:rsidP="00FF0A8C">
      <w:pPr>
        <w:ind w:right="-1"/>
        <w:rPr>
          <w:rFonts w:eastAsia="MS Mincho" w:cs="Times New Roman"/>
          <w:snapToGrid w:val="0"/>
          <w:sz w:val="20"/>
          <w:szCs w:val="20"/>
          <w:lang w:eastAsia="it-IT"/>
        </w:rPr>
      </w:pPr>
    </w:p>
    <w:p w:rsidR="00FF0A8C" w:rsidRPr="00FF0A8C" w:rsidRDefault="00FF0A8C" w:rsidP="00FF0A8C">
      <w:pPr>
        <w:numPr>
          <w:ilvl w:val="0"/>
          <w:numId w:val="5"/>
        </w:numPr>
        <w:tabs>
          <w:tab w:val="left" w:pos="426"/>
        </w:tabs>
        <w:spacing w:after="160"/>
        <w:ind w:left="0" w:right="-1" w:firstLine="0"/>
        <w:jc w:val="left"/>
        <w:rPr>
          <w:rFonts w:eastAsia="MS Mincho" w:cs="Times New Roman"/>
          <w:b/>
          <w:snapToGrid w:val="0"/>
          <w:szCs w:val="24"/>
          <w:lang w:eastAsia="it-IT"/>
        </w:rPr>
      </w:pPr>
      <w:r w:rsidRPr="00FF0A8C">
        <w:rPr>
          <w:rFonts w:eastAsia="MS Mincho" w:cs="Times New Roman"/>
          <w:b/>
          <w:snapToGrid w:val="0"/>
          <w:szCs w:val="24"/>
          <w:lang w:eastAsia="it-IT"/>
        </w:rPr>
        <w:t>CONSIDERAZIONI COMMISSIONALI</w:t>
      </w:r>
    </w:p>
    <w:p w:rsidR="00FF0A8C" w:rsidRDefault="00FF0A8C" w:rsidP="00FF0A8C">
      <w:pPr>
        <w:ind w:right="-1"/>
        <w:rPr>
          <w:rFonts w:eastAsia="MS Mincho" w:cs="Times New Roman"/>
          <w:snapToGrid w:val="0"/>
          <w:szCs w:val="24"/>
          <w:lang w:eastAsia="it-IT"/>
        </w:rPr>
      </w:pPr>
      <w:r w:rsidRPr="00F413E8">
        <w:rPr>
          <w:rFonts w:eastAsia="MS Mincho" w:cs="Times New Roman"/>
          <w:snapToGrid w:val="0"/>
          <w:szCs w:val="24"/>
          <w:lang w:eastAsia="it-IT"/>
        </w:rPr>
        <w:t>La Commissione</w:t>
      </w:r>
      <w:r>
        <w:rPr>
          <w:rFonts w:eastAsia="MS Mincho" w:cs="Times New Roman"/>
          <w:snapToGrid w:val="0"/>
          <w:szCs w:val="24"/>
          <w:lang w:eastAsia="it-IT"/>
        </w:rPr>
        <w:t>, considerata l’esigenza di adottare nei più brevi termini le modifiche legislative proposte nel Messaggio,</w:t>
      </w:r>
      <w:r w:rsidRPr="00F413E8">
        <w:rPr>
          <w:rFonts w:eastAsia="MS Mincho" w:cs="Times New Roman"/>
          <w:snapToGrid w:val="0"/>
          <w:szCs w:val="24"/>
          <w:lang w:eastAsia="it-IT"/>
        </w:rPr>
        <w:t xml:space="preserve"> non è entrata nel merito</w:t>
      </w:r>
      <w:r>
        <w:rPr>
          <w:rFonts w:eastAsia="MS Mincho" w:cs="Times New Roman"/>
          <w:snapToGrid w:val="0"/>
          <w:szCs w:val="24"/>
          <w:lang w:eastAsia="it-IT"/>
        </w:rPr>
        <w:t xml:space="preserve"> delle diverse considerazioni espresse dal Consiglio di Stato in relazione ad aspetti organizzativi o al possibile impatto finanziario, per il Cantone, del nuovo diritto sanzionatorio.</w:t>
      </w:r>
    </w:p>
    <w:p w:rsidR="00FF0A8C" w:rsidRPr="00603633" w:rsidRDefault="00FF0A8C" w:rsidP="00FF0A8C">
      <w:pPr>
        <w:ind w:right="-1"/>
        <w:rPr>
          <w:rFonts w:eastAsia="MS Mincho" w:cs="Times New Roman"/>
          <w:snapToGrid w:val="0"/>
          <w:sz w:val="16"/>
          <w:szCs w:val="16"/>
          <w:lang w:eastAsia="it-IT"/>
        </w:rPr>
      </w:pPr>
    </w:p>
    <w:p w:rsidR="00FF0A8C" w:rsidRDefault="00FF0A8C" w:rsidP="00FF0A8C">
      <w:pPr>
        <w:ind w:right="-1"/>
        <w:rPr>
          <w:rFonts w:eastAsia="MS Mincho" w:cs="Times New Roman"/>
          <w:snapToGrid w:val="0"/>
          <w:szCs w:val="24"/>
          <w:lang w:eastAsia="it-IT"/>
        </w:rPr>
      </w:pPr>
      <w:r>
        <w:rPr>
          <w:rFonts w:eastAsia="MS Mincho" w:cs="Times New Roman"/>
          <w:snapToGrid w:val="0"/>
          <w:szCs w:val="24"/>
          <w:lang w:eastAsia="it-IT"/>
        </w:rPr>
        <w:t>La Commissione neppure ha discusso l’opportunità di introdurre la sorveglianza elettronica in ambiti diversi dall’esecuzione delle pene.</w:t>
      </w:r>
    </w:p>
    <w:p w:rsidR="00FF0A8C" w:rsidRPr="00603633" w:rsidRDefault="00FF0A8C" w:rsidP="00FF0A8C">
      <w:pPr>
        <w:ind w:right="-1"/>
        <w:rPr>
          <w:rFonts w:eastAsia="MS Mincho" w:cs="Times New Roman"/>
          <w:snapToGrid w:val="0"/>
          <w:sz w:val="16"/>
          <w:szCs w:val="16"/>
          <w:lang w:eastAsia="it-IT"/>
        </w:rPr>
      </w:pPr>
    </w:p>
    <w:p w:rsidR="00FF0A8C" w:rsidRDefault="00FF0A8C" w:rsidP="00FF0A8C">
      <w:pPr>
        <w:ind w:right="-1"/>
        <w:rPr>
          <w:rFonts w:eastAsia="MS Mincho" w:cs="Times New Roman"/>
          <w:snapToGrid w:val="0"/>
          <w:szCs w:val="24"/>
          <w:lang w:eastAsia="it-IT"/>
        </w:rPr>
      </w:pPr>
      <w:r>
        <w:rPr>
          <w:rFonts w:eastAsia="MS Mincho" w:cs="Times New Roman"/>
          <w:snapToGrid w:val="0"/>
          <w:szCs w:val="24"/>
          <w:lang w:eastAsia="it-IT"/>
        </w:rPr>
        <w:t xml:space="preserve">La Commissione, infine, non ha discusso la concretizzazione, in ambito di Concordato </w:t>
      </w:r>
      <w:proofErr w:type="spellStart"/>
      <w:r>
        <w:rPr>
          <w:rFonts w:eastAsia="MS Mincho" w:cs="Times New Roman"/>
          <w:snapToGrid w:val="0"/>
          <w:szCs w:val="24"/>
          <w:lang w:eastAsia="it-IT"/>
        </w:rPr>
        <w:t>intercantonale</w:t>
      </w:r>
      <w:proofErr w:type="spellEnd"/>
      <w:r>
        <w:rPr>
          <w:rFonts w:eastAsia="MS Mincho" w:cs="Times New Roman"/>
          <w:snapToGrid w:val="0"/>
          <w:szCs w:val="24"/>
          <w:lang w:eastAsia="it-IT"/>
        </w:rPr>
        <w:t>, del nuovo diritto sanzionatorio.</w:t>
      </w:r>
    </w:p>
    <w:p w:rsidR="00FF0A8C" w:rsidRPr="00603633" w:rsidRDefault="00FF0A8C" w:rsidP="00FF0A8C">
      <w:pPr>
        <w:ind w:right="-1"/>
        <w:rPr>
          <w:rFonts w:eastAsia="MS Mincho" w:cs="Times New Roman"/>
          <w:snapToGrid w:val="0"/>
          <w:sz w:val="16"/>
          <w:szCs w:val="16"/>
          <w:lang w:eastAsia="it-IT"/>
        </w:rPr>
      </w:pPr>
    </w:p>
    <w:p w:rsidR="00FF0A8C" w:rsidRPr="005043E5" w:rsidRDefault="00FF0A8C" w:rsidP="00FF0A8C">
      <w:pPr>
        <w:ind w:right="-1"/>
        <w:rPr>
          <w:rFonts w:eastAsia="MS Mincho" w:cs="Times New Roman"/>
          <w:snapToGrid w:val="0"/>
          <w:szCs w:val="24"/>
          <w:lang w:eastAsia="it-IT"/>
        </w:rPr>
      </w:pPr>
      <w:r>
        <w:rPr>
          <w:rFonts w:eastAsia="MS Mincho" w:cs="Times New Roman"/>
          <w:snapToGrid w:val="0"/>
          <w:szCs w:val="24"/>
          <w:lang w:eastAsia="it-IT"/>
        </w:rPr>
        <w:t xml:space="preserve">La Commissione, in definitiva, si è limitata a verificare la necessità e l’opportunità delle modifiche legislative proposte nel Messaggio, ritenuto in ogni caso che il disegno di legge proposto dal Consiglio di Stato prevede che entro due anni dall’entrata in vigore del nuovo diritto sanzionatorio il governo presenterà </w:t>
      </w:r>
      <w:r w:rsidRPr="005043E5">
        <w:rPr>
          <w:rFonts w:eastAsia="Times New Roman" w:cs="Times New Roman"/>
          <w:szCs w:val="20"/>
          <w:lang w:val="it-IT" w:eastAsia="it-IT"/>
        </w:rPr>
        <w:t>un rapporto sulle conseguenze dell’introduzione della nuova normativa e formul</w:t>
      </w:r>
      <w:r>
        <w:rPr>
          <w:rFonts w:eastAsia="Times New Roman" w:cs="Times New Roman"/>
          <w:szCs w:val="20"/>
          <w:lang w:val="it-IT" w:eastAsia="it-IT"/>
        </w:rPr>
        <w:t>erà</w:t>
      </w:r>
      <w:r w:rsidRPr="005043E5">
        <w:rPr>
          <w:rFonts w:eastAsia="Times New Roman" w:cs="Times New Roman"/>
          <w:szCs w:val="20"/>
          <w:lang w:val="it-IT" w:eastAsia="it-IT"/>
        </w:rPr>
        <w:t xml:space="preserve"> le eventuali proposte di natura legislativa e organizzativa riguardanti le autorità con competenze in materia di esecuzione delle pene e delle misure.</w:t>
      </w:r>
    </w:p>
    <w:p w:rsidR="00FF0A8C" w:rsidRPr="0019482A" w:rsidRDefault="00FF0A8C" w:rsidP="00FF0A8C">
      <w:pPr>
        <w:ind w:right="-1"/>
        <w:rPr>
          <w:rFonts w:eastAsia="MS Mincho" w:cs="Times New Roman"/>
          <w:snapToGrid w:val="0"/>
          <w:szCs w:val="24"/>
          <w:lang w:val="it-IT" w:eastAsia="it-IT"/>
        </w:rPr>
      </w:pPr>
    </w:p>
    <w:p w:rsidR="00FF0A8C" w:rsidRDefault="00FF0A8C" w:rsidP="00FF0A8C">
      <w:pPr>
        <w:ind w:right="-1"/>
        <w:rPr>
          <w:rFonts w:eastAsia="MS Mincho" w:cs="Times New Roman"/>
          <w:snapToGrid w:val="0"/>
          <w:szCs w:val="24"/>
          <w:lang w:eastAsia="it-IT"/>
        </w:rPr>
      </w:pPr>
      <w:r>
        <w:rPr>
          <w:rFonts w:eastAsia="MS Mincho" w:cs="Times New Roman"/>
          <w:snapToGrid w:val="0"/>
          <w:szCs w:val="24"/>
          <w:lang w:eastAsia="it-IT"/>
        </w:rPr>
        <w:t>In merito alle modifiche legislative di cui al Messaggio in esame la Commissione osserva quanto segue.</w:t>
      </w:r>
    </w:p>
    <w:p w:rsidR="00FF0A8C" w:rsidRDefault="00FF0A8C" w:rsidP="00FF0A8C">
      <w:pPr>
        <w:ind w:right="-1"/>
        <w:rPr>
          <w:rFonts w:eastAsia="MS Mincho" w:cs="Times New Roman"/>
          <w:snapToGrid w:val="0"/>
          <w:szCs w:val="24"/>
          <w:lang w:eastAsia="it-IT"/>
        </w:rPr>
      </w:pPr>
    </w:p>
    <w:tbl>
      <w:tblPr>
        <w:tblStyle w:val="Grigliatabella"/>
        <w:tblW w:w="9889" w:type="dxa"/>
        <w:tblLook w:val="04A0" w:firstRow="1" w:lastRow="0" w:firstColumn="1" w:lastColumn="0" w:noHBand="0" w:noVBand="1"/>
      </w:tblPr>
      <w:tblGrid>
        <w:gridCol w:w="3055"/>
        <w:gridCol w:w="3432"/>
        <w:gridCol w:w="3402"/>
      </w:tblGrid>
      <w:tr w:rsidR="00FF0A8C" w:rsidRPr="00F857E9" w:rsidTr="00603633">
        <w:tc>
          <w:tcPr>
            <w:tcW w:w="3055" w:type="dxa"/>
          </w:tcPr>
          <w:p w:rsidR="00FF0A8C" w:rsidRPr="00F857E9" w:rsidRDefault="00FF0A8C" w:rsidP="001C4BCC">
            <w:pPr>
              <w:ind w:right="-1"/>
              <w:jc w:val="both"/>
              <w:rPr>
                <w:rFonts w:eastAsia="MS Mincho" w:cs="Times New Roman"/>
                <w:b/>
                <w:snapToGrid w:val="0"/>
                <w:sz w:val="20"/>
                <w:szCs w:val="20"/>
                <w:lang w:eastAsia="it-IT"/>
              </w:rPr>
            </w:pPr>
            <w:r w:rsidRPr="00F857E9">
              <w:rPr>
                <w:rFonts w:eastAsia="MS Mincho" w:cs="Times New Roman"/>
                <w:b/>
                <w:snapToGrid w:val="0"/>
                <w:sz w:val="20"/>
                <w:szCs w:val="20"/>
                <w:lang w:eastAsia="it-IT"/>
              </w:rPr>
              <w:t>Legge in vigore</w:t>
            </w:r>
          </w:p>
        </w:tc>
        <w:tc>
          <w:tcPr>
            <w:tcW w:w="3432" w:type="dxa"/>
          </w:tcPr>
          <w:p w:rsidR="00FF0A8C" w:rsidRPr="00F857E9" w:rsidRDefault="00FF0A8C" w:rsidP="001C4BCC">
            <w:pPr>
              <w:ind w:right="-1"/>
              <w:jc w:val="both"/>
              <w:rPr>
                <w:rFonts w:eastAsia="MS Mincho" w:cs="Times New Roman"/>
                <w:b/>
                <w:snapToGrid w:val="0"/>
                <w:sz w:val="20"/>
                <w:szCs w:val="20"/>
                <w:lang w:eastAsia="it-IT"/>
              </w:rPr>
            </w:pPr>
            <w:r w:rsidRPr="00F857E9">
              <w:rPr>
                <w:rFonts w:eastAsia="MS Mincho" w:cs="Times New Roman"/>
                <w:b/>
                <w:snapToGrid w:val="0"/>
                <w:sz w:val="20"/>
                <w:szCs w:val="20"/>
                <w:lang w:eastAsia="it-IT"/>
              </w:rPr>
              <w:t>Messaggio</w:t>
            </w:r>
          </w:p>
        </w:tc>
        <w:tc>
          <w:tcPr>
            <w:tcW w:w="3402" w:type="dxa"/>
          </w:tcPr>
          <w:p w:rsidR="00FF0A8C" w:rsidRPr="00F857E9" w:rsidRDefault="00FF0A8C" w:rsidP="001C4BCC">
            <w:pPr>
              <w:ind w:right="-1"/>
              <w:jc w:val="both"/>
              <w:rPr>
                <w:rFonts w:eastAsia="MS Mincho" w:cs="Times New Roman"/>
                <w:b/>
                <w:snapToGrid w:val="0"/>
                <w:sz w:val="20"/>
                <w:szCs w:val="20"/>
                <w:lang w:eastAsia="it-IT"/>
              </w:rPr>
            </w:pPr>
            <w:r w:rsidRPr="00F857E9">
              <w:rPr>
                <w:rFonts w:eastAsia="MS Mincho" w:cs="Times New Roman"/>
                <w:b/>
                <w:snapToGrid w:val="0"/>
                <w:sz w:val="20"/>
                <w:szCs w:val="20"/>
                <w:lang w:eastAsia="it-IT"/>
              </w:rPr>
              <w:t xml:space="preserve">Osservazioni della Commissione </w:t>
            </w:r>
          </w:p>
        </w:tc>
      </w:tr>
      <w:tr w:rsidR="00FF0A8C" w:rsidRPr="00320235" w:rsidTr="00603633">
        <w:tc>
          <w:tcPr>
            <w:tcW w:w="3055" w:type="dxa"/>
          </w:tcPr>
          <w:p w:rsidR="00FF0A8C" w:rsidRPr="00792795" w:rsidRDefault="00FF0A8C" w:rsidP="001C4BCC">
            <w:pPr>
              <w:ind w:right="-1"/>
              <w:jc w:val="both"/>
              <w:rPr>
                <w:rFonts w:eastAsia="MS Mincho" w:cs="Arial"/>
                <w:b/>
                <w:snapToGrid w:val="0"/>
                <w:sz w:val="20"/>
                <w:szCs w:val="20"/>
                <w:lang w:eastAsia="it-IT"/>
              </w:rPr>
            </w:pPr>
            <w:r w:rsidRPr="00792795">
              <w:rPr>
                <w:rFonts w:eastAsia="MS Mincho" w:cs="Arial"/>
                <w:b/>
                <w:snapToGrid w:val="0"/>
                <w:sz w:val="20"/>
                <w:szCs w:val="20"/>
                <w:lang w:eastAsia="it-IT"/>
              </w:rPr>
              <w:t xml:space="preserve">Art. 10 cpv. 1 </w:t>
            </w:r>
            <w:proofErr w:type="spellStart"/>
            <w:r w:rsidRPr="00792795">
              <w:rPr>
                <w:rFonts w:eastAsia="MS Mincho" w:cs="Arial"/>
                <w:b/>
                <w:snapToGrid w:val="0"/>
                <w:sz w:val="20"/>
                <w:szCs w:val="20"/>
                <w:lang w:eastAsia="it-IT"/>
              </w:rPr>
              <w:t>lett</w:t>
            </w:r>
            <w:proofErr w:type="spellEnd"/>
            <w:r w:rsidRPr="00792795">
              <w:rPr>
                <w:rFonts w:eastAsia="MS Mincho" w:cs="Arial"/>
                <w:b/>
                <w:snapToGrid w:val="0"/>
                <w:sz w:val="20"/>
                <w:szCs w:val="20"/>
                <w:lang w:eastAsia="it-IT"/>
              </w:rPr>
              <w:t>. a, b e h</w:t>
            </w:r>
          </w:p>
          <w:p w:rsidR="00FF0A8C" w:rsidRPr="00320235" w:rsidRDefault="00FF0A8C" w:rsidP="001C4BCC">
            <w:pPr>
              <w:ind w:right="-1"/>
              <w:jc w:val="both"/>
              <w:rPr>
                <w:rFonts w:eastAsia="MS Mincho" w:cs="Arial"/>
                <w:snapToGrid w:val="0"/>
                <w:sz w:val="20"/>
                <w:szCs w:val="20"/>
                <w:lang w:eastAsia="it-IT"/>
              </w:rPr>
            </w:pPr>
            <w:r w:rsidRPr="00F857E9">
              <w:rPr>
                <w:rFonts w:eastAsia="MS Mincho" w:cs="Arial"/>
                <w:snapToGrid w:val="0"/>
                <w:sz w:val="20"/>
                <w:szCs w:val="20"/>
                <w:vertAlign w:val="superscript"/>
                <w:lang w:eastAsia="it-IT"/>
              </w:rPr>
              <w:t>1</w:t>
            </w:r>
            <w:r w:rsidRPr="00320235">
              <w:rPr>
                <w:rFonts w:eastAsia="MS Mincho" w:cs="Arial"/>
                <w:snapToGrid w:val="0"/>
                <w:sz w:val="20"/>
                <w:szCs w:val="20"/>
                <w:lang w:eastAsia="it-IT"/>
              </w:rPr>
              <w:t>Il giudice dell’applic</w:t>
            </w:r>
            <w:r>
              <w:rPr>
                <w:rFonts w:eastAsia="MS Mincho" w:cs="Arial"/>
                <w:snapToGrid w:val="0"/>
                <w:sz w:val="20"/>
                <w:szCs w:val="20"/>
                <w:lang w:eastAsia="it-IT"/>
              </w:rPr>
              <w:t>azione della pena è competente:</w:t>
            </w:r>
          </w:p>
          <w:p w:rsidR="00FF0A8C" w:rsidRPr="00320235" w:rsidRDefault="00FF0A8C" w:rsidP="001C4BCC">
            <w:pPr>
              <w:ind w:left="284" w:right="-1" w:hanging="284"/>
              <w:jc w:val="both"/>
              <w:rPr>
                <w:rFonts w:eastAsia="MS Mincho" w:cs="Arial"/>
                <w:snapToGrid w:val="0"/>
                <w:sz w:val="20"/>
                <w:szCs w:val="20"/>
                <w:lang w:eastAsia="it-IT"/>
              </w:rPr>
            </w:pPr>
            <w:r w:rsidRPr="00320235">
              <w:rPr>
                <w:rFonts w:eastAsia="MS Mincho" w:cs="Arial"/>
                <w:snapToGrid w:val="0"/>
                <w:sz w:val="20"/>
                <w:szCs w:val="20"/>
                <w:lang w:eastAsia="it-IT"/>
              </w:rPr>
              <w:t xml:space="preserve">a) </w:t>
            </w:r>
            <w:r>
              <w:rPr>
                <w:rFonts w:eastAsia="MS Mincho" w:cs="Arial"/>
                <w:snapToGrid w:val="0"/>
                <w:sz w:val="20"/>
                <w:szCs w:val="20"/>
                <w:lang w:eastAsia="it-IT"/>
              </w:rPr>
              <w:tab/>
            </w:r>
            <w:r w:rsidRPr="00320235">
              <w:rPr>
                <w:rFonts w:eastAsia="MS Mincho" w:cs="Arial"/>
                <w:snapToGrid w:val="0"/>
                <w:sz w:val="20"/>
                <w:szCs w:val="20"/>
                <w:lang w:eastAsia="it-IT"/>
              </w:rPr>
              <w:t xml:space="preserve">a sospendere, su istanza del condannato, l’esecuzione della pena detentiva sostitutiva della pena pecuniaria o della multa e decidere in sua vece sulla proroga del termine di pagamento, sulla riduzione dell’importo dell’aliquota giornaliera o della multa o sull’esecuzione di un lavoro di pubblica utilità nei casi non contemplati dall’articolo 363 capoverso 2 del codice di procedura penale del 5 ottobre 2007 (CPP) (art. 36 cpv. 3 CP); </w:t>
            </w:r>
          </w:p>
          <w:p w:rsidR="00FF0A8C" w:rsidRPr="00320235" w:rsidRDefault="00FF0A8C" w:rsidP="001C4BCC">
            <w:pPr>
              <w:ind w:left="284" w:right="-1" w:hanging="284"/>
              <w:jc w:val="both"/>
              <w:rPr>
                <w:rFonts w:eastAsia="MS Mincho" w:cs="Arial"/>
                <w:snapToGrid w:val="0"/>
                <w:sz w:val="20"/>
                <w:szCs w:val="20"/>
                <w:lang w:eastAsia="it-IT"/>
              </w:rPr>
            </w:pPr>
            <w:r w:rsidRPr="00320235">
              <w:rPr>
                <w:rFonts w:eastAsia="MS Mincho" w:cs="Arial"/>
                <w:snapToGrid w:val="0"/>
                <w:sz w:val="20"/>
                <w:szCs w:val="20"/>
                <w:lang w:eastAsia="it-IT"/>
              </w:rPr>
              <w:t xml:space="preserve">b) </w:t>
            </w:r>
            <w:r>
              <w:rPr>
                <w:rFonts w:eastAsia="MS Mincho" w:cs="Arial"/>
                <w:snapToGrid w:val="0"/>
                <w:sz w:val="20"/>
                <w:szCs w:val="20"/>
                <w:lang w:eastAsia="it-IT"/>
              </w:rPr>
              <w:tab/>
            </w:r>
            <w:r w:rsidRPr="00320235">
              <w:rPr>
                <w:rFonts w:eastAsia="MS Mincho" w:cs="Arial"/>
                <w:snapToGrid w:val="0"/>
                <w:sz w:val="20"/>
                <w:szCs w:val="20"/>
                <w:lang w:eastAsia="it-IT"/>
              </w:rPr>
              <w:t>a convertire il lavoro di pubblica utilità in una pena pecuniaria o in una pena detentiva nei casi non contemplati dall’articolo 363 capove</w:t>
            </w:r>
            <w:r>
              <w:rPr>
                <w:rFonts w:eastAsia="MS Mincho" w:cs="Arial"/>
                <w:snapToGrid w:val="0"/>
                <w:sz w:val="20"/>
                <w:szCs w:val="20"/>
                <w:lang w:eastAsia="it-IT"/>
              </w:rPr>
              <w:t xml:space="preserve">rso 2 CPP (art. 39 cpv. 1 CP); </w:t>
            </w:r>
          </w:p>
          <w:p w:rsidR="00FF0A8C" w:rsidRPr="00320235" w:rsidRDefault="00FF0A8C" w:rsidP="001C4BCC">
            <w:pPr>
              <w:ind w:left="284" w:right="-1" w:hanging="284"/>
              <w:jc w:val="both"/>
              <w:rPr>
                <w:rFonts w:eastAsia="MS Mincho" w:cs="Arial"/>
                <w:snapToGrid w:val="0"/>
                <w:sz w:val="20"/>
                <w:szCs w:val="20"/>
                <w:lang w:eastAsia="it-IT"/>
              </w:rPr>
            </w:pPr>
            <w:r w:rsidRPr="00320235">
              <w:rPr>
                <w:rFonts w:eastAsia="MS Mincho" w:cs="Arial"/>
                <w:snapToGrid w:val="0"/>
                <w:sz w:val="20"/>
                <w:szCs w:val="20"/>
                <w:lang w:eastAsia="it-IT"/>
              </w:rPr>
              <w:lastRenderedPageBreak/>
              <w:t xml:space="preserve">h) </w:t>
            </w:r>
            <w:r>
              <w:rPr>
                <w:rFonts w:eastAsia="MS Mincho" w:cs="Arial"/>
                <w:snapToGrid w:val="0"/>
                <w:sz w:val="20"/>
                <w:szCs w:val="20"/>
                <w:lang w:eastAsia="it-IT"/>
              </w:rPr>
              <w:tab/>
            </w:r>
            <w:r w:rsidRPr="00320235">
              <w:rPr>
                <w:rFonts w:eastAsia="MS Mincho" w:cs="Arial"/>
                <w:snapToGrid w:val="0"/>
                <w:sz w:val="20"/>
                <w:szCs w:val="20"/>
                <w:lang w:eastAsia="it-IT"/>
              </w:rPr>
              <w:t xml:space="preserve">a decidere: </w:t>
            </w:r>
          </w:p>
          <w:p w:rsidR="00FF0A8C" w:rsidRPr="00320235" w:rsidRDefault="00FF0A8C" w:rsidP="001C4BCC">
            <w:pPr>
              <w:ind w:left="426" w:right="-1" w:hanging="142"/>
              <w:jc w:val="both"/>
              <w:rPr>
                <w:rFonts w:eastAsia="MS Mincho" w:cs="Arial"/>
                <w:snapToGrid w:val="0"/>
                <w:sz w:val="20"/>
                <w:szCs w:val="20"/>
                <w:lang w:eastAsia="it-IT"/>
              </w:rPr>
            </w:pPr>
            <w:r w:rsidRPr="00320235">
              <w:rPr>
                <w:rFonts w:eastAsia="MS Mincho" w:cs="Arial"/>
                <w:snapToGrid w:val="0"/>
                <w:sz w:val="20"/>
                <w:szCs w:val="20"/>
                <w:lang w:eastAsia="it-IT"/>
              </w:rPr>
              <w:t xml:space="preserve">- </w:t>
            </w:r>
            <w:r>
              <w:rPr>
                <w:rFonts w:eastAsia="MS Mincho" w:cs="Arial"/>
                <w:snapToGrid w:val="0"/>
                <w:sz w:val="20"/>
                <w:szCs w:val="20"/>
                <w:lang w:eastAsia="it-IT"/>
              </w:rPr>
              <w:tab/>
            </w:r>
            <w:r w:rsidRPr="00320235">
              <w:rPr>
                <w:rFonts w:eastAsia="MS Mincho" w:cs="Arial"/>
                <w:snapToGrid w:val="0"/>
                <w:sz w:val="20"/>
                <w:szCs w:val="20"/>
                <w:lang w:eastAsia="it-IT"/>
              </w:rPr>
              <w:t xml:space="preserve">il collocamento iniziale del condannato (art. 76 CP); </w:t>
            </w:r>
          </w:p>
          <w:p w:rsidR="00FF0A8C" w:rsidRPr="00320235" w:rsidRDefault="00FF0A8C" w:rsidP="001C4BCC">
            <w:pPr>
              <w:ind w:left="426" w:right="-1" w:hanging="142"/>
              <w:jc w:val="both"/>
              <w:rPr>
                <w:rFonts w:eastAsia="MS Mincho" w:cs="Arial"/>
                <w:snapToGrid w:val="0"/>
                <w:sz w:val="20"/>
                <w:szCs w:val="20"/>
                <w:lang w:eastAsia="it-IT"/>
              </w:rPr>
            </w:pPr>
            <w:r w:rsidRPr="00320235">
              <w:rPr>
                <w:rFonts w:eastAsia="MS Mincho" w:cs="Arial"/>
                <w:snapToGrid w:val="0"/>
                <w:sz w:val="20"/>
                <w:szCs w:val="20"/>
                <w:lang w:eastAsia="it-IT"/>
              </w:rPr>
              <w:t xml:space="preserve">- </w:t>
            </w:r>
            <w:r>
              <w:rPr>
                <w:rFonts w:eastAsia="MS Mincho" w:cs="Arial"/>
                <w:snapToGrid w:val="0"/>
                <w:sz w:val="20"/>
                <w:szCs w:val="20"/>
                <w:lang w:eastAsia="it-IT"/>
              </w:rPr>
              <w:tab/>
            </w:r>
            <w:r w:rsidRPr="00320235">
              <w:rPr>
                <w:rFonts w:eastAsia="MS Mincho" w:cs="Arial"/>
                <w:snapToGrid w:val="0"/>
                <w:sz w:val="20"/>
                <w:szCs w:val="20"/>
                <w:lang w:eastAsia="it-IT"/>
              </w:rPr>
              <w:t xml:space="preserve">la concessione della semiprigionia e dell’esecuzione per giorni separati (art. 77b, 79 cpv. 1 e 2 CP); </w:t>
            </w:r>
          </w:p>
          <w:p w:rsidR="00FF0A8C" w:rsidRPr="00320235" w:rsidRDefault="00FF0A8C" w:rsidP="001C4BCC">
            <w:pPr>
              <w:ind w:left="426" w:right="-1" w:hanging="142"/>
              <w:jc w:val="both"/>
              <w:rPr>
                <w:rFonts w:eastAsia="MS Mincho" w:cs="Arial"/>
                <w:snapToGrid w:val="0"/>
                <w:sz w:val="20"/>
                <w:szCs w:val="20"/>
                <w:lang w:eastAsia="it-IT"/>
              </w:rPr>
            </w:pPr>
            <w:r w:rsidRPr="00320235">
              <w:rPr>
                <w:rFonts w:eastAsia="MS Mincho" w:cs="Arial"/>
                <w:snapToGrid w:val="0"/>
                <w:sz w:val="20"/>
                <w:szCs w:val="20"/>
                <w:lang w:eastAsia="it-IT"/>
              </w:rPr>
              <w:t xml:space="preserve">- </w:t>
            </w:r>
            <w:r>
              <w:rPr>
                <w:rFonts w:eastAsia="MS Mincho" w:cs="Arial"/>
                <w:snapToGrid w:val="0"/>
                <w:sz w:val="20"/>
                <w:szCs w:val="20"/>
                <w:lang w:eastAsia="it-IT"/>
              </w:rPr>
              <w:tab/>
            </w:r>
            <w:r w:rsidRPr="00320235">
              <w:rPr>
                <w:rFonts w:eastAsia="MS Mincho" w:cs="Arial"/>
                <w:snapToGrid w:val="0"/>
                <w:sz w:val="20"/>
                <w:szCs w:val="20"/>
                <w:lang w:eastAsia="it-IT"/>
              </w:rPr>
              <w:t xml:space="preserve">la concessione del primo congedo; </w:t>
            </w:r>
          </w:p>
          <w:p w:rsidR="00FF0A8C" w:rsidRPr="00320235" w:rsidRDefault="00FF0A8C" w:rsidP="001C4BCC">
            <w:pPr>
              <w:ind w:left="426" w:right="-1" w:hanging="142"/>
              <w:jc w:val="both"/>
              <w:rPr>
                <w:rFonts w:eastAsia="MS Mincho" w:cs="Arial"/>
                <w:snapToGrid w:val="0"/>
                <w:sz w:val="20"/>
                <w:szCs w:val="20"/>
                <w:lang w:eastAsia="it-IT"/>
              </w:rPr>
            </w:pPr>
            <w:r w:rsidRPr="00320235">
              <w:rPr>
                <w:rFonts w:eastAsia="MS Mincho" w:cs="Arial"/>
                <w:snapToGrid w:val="0"/>
                <w:sz w:val="20"/>
                <w:szCs w:val="20"/>
                <w:lang w:eastAsia="it-IT"/>
              </w:rPr>
              <w:t xml:space="preserve">- </w:t>
            </w:r>
            <w:r>
              <w:rPr>
                <w:rFonts w:eastAsia="MS Mincho" w:cs="Arial"/>
                <w:snapToGrid w:val="0"/>
                <w:sz w:val="20"/>
                <w:szCs w:val="20"/>
                <w:lang w:eastAsia="it-IT"/>
              </w:rPr>
              <w:tab/>
            </w:r>
            <w:r w:rsidRPr="00320235">
              <w:rPr>
                <w:rFonts w:eastAsia="MS Mincho" w:cs="Arial"/>
                <w:snapToGrid w:val="0"/>
                <w:sz w:val="20"/>
                <w:szCs w:val="20"/>
                <w:lang w:eastAsia="it-IT"/>
              </w:rPr>
              <w:t xml:space="preserve">il trasferimento del condannato in sezione aperta e la concessione del lavoro e dell’alloggio esterni (art. 77a CP); </w:t>
            </w:r>
          </w:p>
          <w:p w:rsidR="00FF0A8C" w:rsidRPr="00320235" w:rsidRDefault="00FF0A8C" w:rsidP="001C4BCC">
            <w:pPr>
              <w:ind w:left="426" w:right="-1" w:hanging="142"/>
              <w:jc w:val="both"/>
              <w:rPr>
                <w:rFonts w:eastAsia="MS Mincho" w:cs="Arial"/>
                <w:snapToGrid w:val="0"/>
                <w:sz w:val="20"/>
                <w:szCs w:val="20"/>
                <w:lang w:eastAsia="it-IT"/>
              </w:rPr>
            </w:pPr>
            <w:r w:rsidRPr="00320235">
              <w:rPr>
                <w:rFonts w:eastAsia="MS Mincho" w:cs="Arial"/>
                <w:snapToGrid w:val="0"/>
                <w:sz w:val="20"/>
                <w:szCs w:val="20"/>
                <w:lang w:eastAsia="it-IT"/>
              </w:rPr>
              <w:t xml:space="preserve">- </w:t>
            </w:r>
            <w:r>
              <w:rPr>
                <w:rFonts w:eastAsia="MS Mincho" w:cs="Arial"/>
                <w:snapToGrid w:val="0"/>
                <w:sz w:val="20"/>
                <w:szCs w:val="20"/>
                <w:lang w:eastAsia="it-IT"/>
              </w:rPr>
              <w:tab/>
            </w:r>
            <w:r w:rsidRPr="00320235">
              <w:rPr>
                <w:rFonts w:eastAsia="MS Mincho" w:cs="Arial"/>
                <w:snapToGrid w:val="0"/>
                <w:sz w:val="20"/>
                <w:szCs w:val="20"/>
                <w:lang w:eastAsia="it-IT"/>
              </w:rPr>
              <w:t xml:space="preserve">le deroghe alle forme d’esecuzione (art. 80 CP); </w:t>
            </w:r>
          </w:p>
          <w:p w:rsidR="00FF0A8C" w:rsidRPr="00320235" w:rsidRDefault="00FF0A8C" w:rsidP="001C4BCC">
            <w:pPr>
              <w:ind w:left="426" w:right="-1" w:hanging="142"/>
              <w:jc w:val="both"/>
              <w:rPr>
                <w:rFonts w:eastAsia="MS Mincho" w:cs="Arial"/>
                <w:snapToGrid w:val="0"/>
                <w:sz w:val="20"/>
                <w:szCs w:val="20"/>
                <w:lang w:eastAsia="it-IT"/>
              </w:rPr>
            </w:pPr>
            <w:r w:rsidRPr="00320235">
              <w:rPr>
                <w:rFonts w:eastAsia="MS Mincho" w:cs="Arial"/>
                <w:snapToGrid w:val="0"/>
                <w:sz w:val="20"/>
                <w:szCs w:val="20"/>
                <w:lang w:eastAsia="it-IT"/>
              </w:rPr>
              <w:t xml:space="preserve">- </w:t>
            </w:r>
            <w:r>
              <w:rPr>
                <w:rFonts w:eastAsia="MS Mincho" w:cs="Arial"/>
                <w:snapToGrid w:val="0"/>
                <w:sz w:val="20"/>
                <w:szCs w:val="20"/>
                <w:lang w:eastAsia="it-IT"/>
              </w:rPr>
              <w:tab/>
            </w:r>
            <w:r w:rsidRPr="00320235">
              <w:rPr>
                <w:rFonts w:eastAsia="MS Mincho" w:cs="Arial"/>
                <w:snapToGrid w:val="0"/>
                <w:sz w:val="20"/>
                <w:szCs w:val="20"/>
                <w:lang w:eastAsia="it-IT"/>
              </w:rPr>
              <w:t xml:space="preserve">l’interruzione dell’esecuzione di pene e misure (art. 92 CP); </w:t>
            </w:r>
          </w:p>
          <w:p w:rsidR="00FF0A8C" w:rsidRPr="00320235" w:rsidRDefault="00FF0A8C" w:rsidP="001C4BCC">
            <w:pPr>
              <w:ind w:right="-1"/>
              <w:jc w:val="both"/>
              <w:rPr>
                <w:rFonts w:eastAsia="MS Mincho" w:cs="Arial"/>
                <w:snapToGrid w:val="0"/>
                <w:sz w:val="20"/>
                <w:szCs w:val="20"/>
                <w:lang w:eastAsia="it-IT"/>
              </w:rPr>
            </w:pPr>
          </w:p>
          <w:p w:rsidR="00FF0A8C" w:rsidRDefault="00FF0A8C" w:rsidP="001C4BCC">
            <w:pPr>
              <w:ind w:right="-1"/>
              <w:jc w:val="both"/>
              <w:rPr>
                <w:rFonts w:eastAsia="MS Mincho" w:cs="Arial"/>
                <w:snapToGrid w:val="0"/>
                <w:sz w:val="20"/>
                <w:szCs w:val="20"/>
                <w:lang w:eastAsia="it-IT"/>
              </w:rPr>
            </w:pPr>
          </w:p>
          <w:p w:rsidR="00FF0A8C" w:rsidRDefault="00FF0A8C" w:rsidP="001C4BCC">
            <w:pPr>
              <w:ind w:right="-1"/>
              <w:jc w:val="both"/>
              <w:rPr>
                <w:rFonts w:eastAsia="MS Mincho" w:cs="Arial"/>
                <w:snapToGrid w:val="0"/>
                <w:sz w:val="20"/>
                <w:szCs w:val="20"/>
                <w:lang w:eastAsia="it-IT"/>
              </w:rPr>
            </w:pPr>
          </w:p>
          <w:p w:rsidR="00FF0A8C" w:rsidRDefault="00FF0A8C" w:rsidP="001C4BCC">
            <w:pPr>
              <w:ind w:right="-1"/>
              <w:jc w:val="both"/>
              <w:rPr>
                <w:rFonts w:eastAsia="MS Mincho" w:cs="Arial"/>
                <w:snapToGrid w:val="0"/>
                <w:sz w:val="20"/>
                <w:szCs w:val="20"/>
                <w:lang w:eastAsia="it-IT"/>
              </w:rPr>
            </w:pPr>
          </w:p>
          <w:p w:rsidR="00FF0A8C" w:rsidRDefault="00FF0A8C" w:rsidP="001C4BCC">
            <w:pPr>
              <w:ind w:right="-1"/>
              <w:jc w:val="both"/>
              <w:rPr>
                <w:rFonts w:eastAsia="MS Mincho" w:cs="Arial"/>
                <w:snapToGrid w:val="0"/>
                <w:sz w:val="20"/>
                <w:szCs w:val="20"/>
                <w:lang w:eastAsia="it-IT"/>
              </w:rPr>
            </w:pPr>
          </w:p>
          <w:p w:rsidR="00FF0A8C" w:rsidRPr="00320235" w:rsidRDefault="00FF0A8C" w:rsidP="001C4BCC">
            <w:pPr>
              <w:ind w:right="-1"/>
              <w:jc w:val="both"/>
              <w:rPr>
                <w:rFonts w:eastAsia="MS Mincho" w:cs="Arial"/>
                <w:snapToGrid w:val="0"/>
                <w:sz w:val="20"/>
                <w:szCs w:val="20"/>
                <w:lang w:eastAsia="it-IT"/>
              </w:rPr>
            </w:pPr>
          </w:p>
          <w:p w:rsidR="00FF0A8C" w:rsidRPr="00320235" w:rsidRDefault="00FF0A8C" w:rsidP="001C4BCC">
            <w:pPr>
              <w:ind w:right="-1"/>
              <w:jc w:val="both"/>
              <w:rPr>
                <w:rFonts w:eastAsia="MS Mincho" w:cs="Arial"/>
                <w:snapToGrid w:val="0"/>
                <w:sz w:val="20"/>
                <w:szCs w:val="20"/>
                <w:lang w:eastAsia="it-IT"/>
              </w:rPr>
            </w:pPr>
          </w:p>
          <w:p w:rsidR="00FF0A8C" w:rsidRDefault="00FF0A8C" w:rsidP="001C4BCC">
            <w:pPr>
              <w:ind w:right="-1"/>
              <w:jc w:val="both"/>
              <w:rPr>
                <w:rFonts w:eastAsia="MS Mincho" w:cs="Arial"/>
                <w:snapToGrid w:val="0"/>
                <w:sz w:val="20"/>
                <w:szCs w:val="20"/>
                <w:lang w:eastAsia="it-IT"/>
              </w:rPr>
            </w:pPr>
            <w:r w:rsidRPr="00F857E9">
              <w:rPr>
                <w:rFonts w:eastAsia="MS Mincho" w:cs="Arial"/>
                <w:snapToGrid w:val="0"/>
                <w:sz w:val="20"/>
                <w:szCs w:val="20"/>
                <w:vertAlign w:val="superscript"/>
                <w:lang w:eastAsia="it-IT"/>
              </w:rPr>
              <w:t>2</w:t>
            </w:r>
            <w:r w:rsidRPr="00320235">
              <w:rPr>
                <w:rFonts w:eastAsia="MS Mincho" w:cs="Arial"/>
                <w:snapToGrid w:val="0"/>
                <w:sz w:val="20"/>
                <w:szCs w:val="20"/>
                <w:lang w:eastAsia="it-IT"/>
              </w:rPr>
              <w:t>Il giudice dell’applicazione della pena può delegare l’audizione del condannato a funzionari nei casi previsti dal capoverso 1 lettere a), b) e k), come pure in materia di concessione della semiprigionia e dell’esecuzione per giorni separati.</w:t>
            </w:r>
          </w:p>
          <w:p w:rsidR="00FF0A8C" w:rsidRPr="00320235" w:rsidRDefault="00FF0A8C" w:rsidP="001C4BCC">
            <w:pPr>
              <w:ind w:right="-1"/>
              <w:jc w:val="both"/>
              <w:rPr>
                <w:rFonts w:eastAsia="MS Mincho" w:cs="Arial"/>
                <w:snapToGrid w:val="0"/>
                <w:sz w:val="20"/>
                <w:szCs w:val="20"/>
                <w:lang w:eastAsia="it-IT"/>
              </w:rPr>
            </w:pPr>
          </w:p>
        </w:tc>
        <w:tc>
          <w:tcPr>
            <w:tcW w:w="3432" w:type="dxa"/>
          </w:tcPr>
          <w:p w:rsidR="00FF0A8C" w:rsidRPr="00320235" w:rsidRDefault="00FF0A8C" w:rsidP="001C4BCC">
            <w:pPr>
              <w:ind w:right="-1"/>
              <w:jc w:val="both"/>
              <w:rPr>
                <w:rFonts w:eastAsia="MS Mincho" w:cs="Arial"/>
                <w:b/>
                <w:snapToGrid w:val="0"/>
                <w:sz w:val="20"/>
                <w:szCs w:val="20"/>
                <w:lang w:val="en-US" w:eastAsia="it-IT"/>
              </w:rPr>
            </w:pPr>
            <w:r w:rsidRPr="00320235">
              <w:rPr>
                <w:rFonts w:eastAsia="MS Mincho" w:cs="Arial"/>
                <w:b/>
                <w:snapToGrid w:val="0"/>
                <w:sz w:val="20"/>
                <w:szCs w:val="20"/>
                <w:lang w:val="en-US" w:eastAsia="it-IT"/>
              </w:rPr>
              <w:lastRenderedPageBreak/>
              <w:t xml:space="preserve">Art. 10 </w:t>
            </w:r>
            <w:proofErr w:type="spellStart"/>
            <w:r w:rsidRPr="00320235">
              <w:rPr>
                <w:rFonts w:eastAsia="MS Mincho" w:cs="Arial"/>
                <w:b/>
                <w:snapToGrid w:val="0"/>
                <w:sz w:val="20"/>
                <w:szCs w:val="20"/>
                <w:lang w:val="en-US" w:eastAsia="it-IT"/>
              </w:rPr>
              <w:t>lett</w:t>
            </w:r>
            <w:proofErr w:type="spellEnd"/>
            <w:r w:rsidRPr="00320235">
              <w:rPr>
                <w:rFonts w:eastAsia="MS Mincho" w:cs="Arial"/>
                <w:b/>
                <w:snapToGrid w:val="0"/>
                <w:sz w:val="20"/>
                <w:szCs w:val="20"/>
                <w:lang w:val="en-US" w:eastAsia="it-IT"/>
              </w:rPr>
              <w:t>. a, b e h</w:t>
            </w:r>
          </w:p>
          <w:p w:rsidR="00FF0A8C" w:rsidRPr="00320235" w:rsidRDefault="00FF0A8C" w:rsidP="001C4BCC">
            <w:pPr>
              <w:ind w:right="-1"/>
              <w:jc w:val="both"/>
              <w:rPr>
                <w:rFonts w:eastAsia="MS Mincho" w:cs="Arial"/>
                <w:snapToGrid w:val="0"/>
                <w:sz w:val="20"/>
                <w:szCs w:val="20"/>
                <w:lang w:eastAsia="it-IT"/>
              </w:rPr>
            </w:pPr>
            <w:r w:rsidRPr="00F857E9">
              <w:rPr>
                <w:rFonts w:eastAsia="MS Mincho" w:cs="Arial"/>
                <w:snapToGrid w:val="0"/>
                <w:sz w:val="20"/>
                <w:szCs w:val="20"/>
                <w:vertAlign w:val="superscript"/>
                <w:lang w:eastAsia="it-IT"/>
              </w:rPr>
              <w:t>1</w:t>
            </w:r>
            <w:r w:rsidRPr="00320235">
              <w:rPr>
                <w:rFonts w:eastAsia="MS Mincho" w:cs="Arial"/>
                <w:snapToGrid w:val="0"/>
                <w:sz w:val="20"/>
                <w:szCs w:val="20"/>
                <w:lang w:eastAsia="it-IT"/>
              </w:rPr>
              <w:t>Il giudice dell’applicazione della pena è competente:</w:t>
            </w:r>
          </w:p>
          <w:p w:rsidR="00FF0A8C" w:rsidRDefault="00FF0A8C" w:rsidP="001C4BCC">
            <w:pPr>
              <w:ind w:left="347" w:right="-1" w:hanging="347"/>
              <w:jc w:val="both"/>
              <w:rPr>
                <w:rFonts w:eastAsia="MS Mincho" w:cs="Arial"/>
                <w:snapToGrid w:val="0"/>
                <w:sz w:val="20"/>
                <w:szCs w:val="20"/>
                <w:lang w:eastAsia="it-IT"/>
              </w:rPr>
            </w:pPr>
            <w:r w:rsidRPr="00320235">
              <w:rPr>
                <w:rFonts w:eastAsia="MS Mincho" w:cs="Arial"/>
                <w:snapToGrid w:val="0"/>
                <w:sz w:val="20"/>
                <w:szCs w:val="20"/>
                <w:lang w:eastAsia="it-IT"/>
              </w:rPr>
              <w:t>a)</w:t>
            </w:r>
            <w:r w:rsidRPr="00320235">
              <w:rPr>
                <w:rFonts w:eastAsia="MS Mincho" w:cs="Arial"/>
                <w:snapToGrid w:val="0"/>
                <w:sz w:val="20"/>
                <w:szCs w:val="20"/>
                <w:lang w:eastAsia="it-IT"/>
              </w:rPr>
              <w:tab/>
              <w:t>abrogata;</w:t>
            </w:r>
          </w:p>
          <w:p w:rsidR="00FF0A8C" w:rsidRDefault="00FF0A8C" w:rsidP="001C4BCC">
            <w:pPr>
              <w:ind w:left="347" w:right="-1" w:hanging="347"/>
              <w:jc w:val="both"/>
              <w:rPr>
                <w:rFonts w:eastAsia="MS Mincho" w:cs="Arial"/>
                <w:snapToGrid w:val="0"/>
                <w:sz w:val="20"/>
                <w:szCs w:val="20"/>
                <w:lang w:eastAsia="it-IT"/>
              </w:rPr>
            </w:pPr>
          </w:p>
          <w:p w:rsidR="00FF0A8C" w:rsidRDefault="00FF0A8C" w:rsidP="001C4BCC">
            <w:pPr>
              <w:ind w:left="347" w:right="-1" w:hanging="347"/>
              <w:jc w:val="both"/>
              <w:rPr>
                <w:rFonts w:eastAsia="MS Mincho" w:cs="Arial"/>
                <w:snapToGrid w:val="0"/>
                <w:sz w:val="20"/>
                <w:szCs w:val="20"/>
                <w:lang w:eastAsia="it-IT"/>
              </w:rPr>
            </w:pPr>
          </w:p>
          <w:p w:rsidR="00FF0A8C" w:rsidRDefault="00FF0A8C" w:rsidP="001C4BCC">
            <w:pPr>
              <w:ind w:left="347" w:right="-1" w:hanging="347"/>
              <w:jc w:val="both"/>
              <w:rPr>
                <w:rFonts w:eastAsia="MS Mincho" w:cs="Arial"/>
                <w:snapToGrid w:val="0"/>
                <w:sz w:val="20"/>
                <w:szCs w:val="20"/>
                <w:lang w:eastAsia="it-IT"/>
              </w:rPr>
            </w:pPr>
          </w:p>
          <w:p w:rsidR="00FF0A8C" w:rsidRDefault="00FF0A8C" w:rsidP="001C4BCC">
            <w:pPr>
              <w:ind w:left="347" w:right="-1" w:hanging="347"/>
              <w:jc w:val="both"/>
              <w:rPr>
                <w:rFonts w:eastAsia="MS Mincho" w:cs="Arial"/>
                <w:snapToGrid w:val="0"/>
                <w:sz w:val="20"/>
                <w:szCs w:val="20"/>
                <w:lang w:eastAsia="it-IT"/>
              </w:rPr>
            </w:pPr>
          </w:p>
          <w:p w:rsidR="00FF0A8C" w:rsidRDefault="00FF0A8C" w:rsidP="001C4BCC">
            <w:pPr>
              <w:ind w:left="347" w:right="-1" w:hanging="347"/>
              <w:jc w:val="both"/>
              <w:rPr>
                <w:rFonts w:eastAsia="MS Mincho" w:cs="Arial"/>
                <w:snapToGrid w:val="0"/>
                <w:sz w:val="20"/>
                <w:szCs w:val="20"/>
                <w:lang w:eastAsia="it-IT"/>
              </w:rPr>
            </w:pPr>
          </w:p>
          <w:p w:rsidR="00FF0A8C" w:rsidRDefault="00FF0A8C" w:rsidP="001C4BCC">
            <w:pPr>
              <w:ind w:left="347" w:right="-1" w:hanging="347"/>
              <w:jc w:val="both"/>
              <w:rPr>
                <w:rFonts w:eastAsia="MS Mincho" w:cs="Arial"/>
                <w:snapToGrid w:val="0"/>
                <w:sz w:val="20"/>
                <w:szCs w:val="20"/>
                <w:lang w:eastAsia="it-IT"/>
              </w:rPr>
            </w:pPr>
          </w:p>
          <w:p w:rsidR="00FF0A8C" w:rsidRDefault="00FF0A8C" w:rsidP="001C4BCC">
            <w:pPr>
              <w:ind w:left="347" w:right="-1" w:hanging="347"/>
              <w:jc w:val="both"/>
              <w:rPr>
                <w:rFonts w:eastAsia="MS Mincho" w:cs="Arial"/>
                <w:snapToGrid w:val="0"/>
                <w:sz w:val="20"/>
                <w:szCs w:val="20"/>
                <w:lang w:eastAsia="it-IT"/>
              </w:rPr>
            </w:pPr>
          </w:p>
          <w:p w:rsidR="00FF0A8C" w:rsidRDefault="00FF0A8C" w:rsidP="001C4BCC">
            <w:pPr>
              <w:ind w:left="347" w:right="-1" w:hanging="347"/>
              <w:jc w:val="both"/>
              <w:rPr>
                <w:rFonts w:eastAsia="MS Mincho" w:cs="Arial"/>
                <w:snapToGrid w:val="0"/>
                <w:sz w:val="20"/>
                <w:szCs w:val="20"/>
                <w:lang w:eastAsia="it-IT"/>
              </w:rPr>
            </w:pPr>
          </w:p>
          <w:p w:rsidR="00FF0A8C" w:rsidRDefault="00FF0A8C" w:rsidP="001C4BCC">
            <w:pPr>
              <w:ind w:left="347" w:right="-1" w:hanging="347"/>
              <w:jc w:val="both"/>
              <w:rPr>
                <w:rFonts w:eastAsia="MS Mincho" w:cs="Arial"/>
                <w:snapToGrid w:val="0"/>
                <w:sz w:val="20"/>
                <w:szCs w:val="20"/>
                <w:lang w:eastAsia="it-IT"/>
              </w:rPr>
            </w:pPr>
          </w:p>
          <w:p w:rsidR="00FF0A8C" w:rsidRDefault="00FF0A8C" w:rsidP="001C4BCC">
            <w:pPr>
              <w:ind w:left="347" w:right="-1" w:hanging="347"/>
              <w:jc w:val="both"/>
              <w:rPr>
                <w:rFonts w:eastAsia="MS Mincho" w:cs="Arial"/>
                <w:snapToGrid w:val="0"/>
                <w:sz w:val="20"/>
                <w:szCs w:val="20"/>
                <w:lang w:eastAsia="it-IT"/>
              </w:rPr>
            </w:pPr>
          </w:p>
          <w:p w:rsidR="00FF0A8C" w:rsidRDefault="00FF0A8C" w:rsidP="001C4BCC">
            <w:pPr>
              <w:ind w:left="347" w:right="-1" w:hanging="347"/>
              <w:jc w:val="both"/>
              <w:rPr>
                <w:rFonts w:eastAsia="MS Mincho" w:cs="Arial"/>
                <w:snapToGrid w:val="0"/>
                <w:sz w:val="20"/>
                <w:szCs w:val="20"/>
                <w:lang w:eastAsia="it-IT"/>
              </w:rPr>
            </w:pPr>
          </w:p>
          <w:p w:rsidR="00FF0A8C" w:rsidRDefault="00FF0A8C" w:rsidP="001C4BCC">
            <w:pPr>
              <w:ind w:left="347" w:right="-1" w:hanging="347"/>
              <w:jc w:val="both"/>
              <w:rPr>
                <w:rFonts w:eastAsia="MS Mincho" w:cs="Arial"/>
                <w:snapToGrid w:val="0"/>
                <w:sz w:val="20"/>
                <w:szCs w:val="20"/>
                <w:lang w:eastAsia="it-IT"/>
              </w:rPr>
            </w:pPr>
          </w:p>
          <w:p w:rsidR="00FF0A8C" w:rsidRDefault="00FF0A8C" w:rsidP="001C4BCC">
            <w:pPr>
              <w:ind w:left="347" w:right="-1" w:hanging="347"/>
              <w:jc w:val="both"/>
              <w:rPr>
                <w:rFonts w:eastAsia="MS Mincho" w:cs="Arial"/>
                <w:snapToGrid w:val="0"/>
                <w:sz w:val="20"/>
                <w:szCs w:val="20"/>
                <w:lang w:eastAsia="it-IT"/>
              </w:rPr>
            </w:pPr>
          </w:p>
          <w:p w:rsidR="00FF0A8C" w:rsidRDefault="00FF0A8C" w:rsidP="001C4BCC">
            <w:pPr>
              <w:ind w:left="347" w:right="-1" w:hanging="347"/>
              <w:jc w:val="both"/>
              <w:rPr>
                <w:rFonts w:eastAsia="MS Mincho" w:cs="Arial"/>
                <w:snapToGrid w:val="0"/>
                <w:sz w:val="20"/>
                <w:szCs w:val="20"/>
                <w:lang w:eastAsia="it-IT"/>
              </w:rPr>
            </w:pPr>
          </w:p>
          <w:p w:rsidR="00FF0A8C" w:rsidRDefault="00FF0A8C" w:rsidP="001C4BCC">
            <w:pPr>
              <w:ind w:left="347" w:right="-1" w:hanging="347"/>
              <w:jc w:val="both"/>
              <w:rPr>
                <w:rFonts w:eastAsia="MS Mincho" w:cs="Arial"/>
                <w:snapToGrid w:val="0"/>
                <w:sz w:val="20"/>
                <w:szCs w:val="20"/>
                <w:lang w:eastAsia="it-IT"/>
              </w:rPr>
            </w:pPr>
          </w:p>
          <w:p w:rsidR="00FF0A8C" w:rsidRDefault="00FF0A8C" w:rsidP="001C4BCC">
            <w:pPr>
              <w:ind w:left="347" w:right="-1" w:hanging="347"/>
              <w:jc w:val="both"/>
              <w:rPr>
                <w:rFonts w:eastAsia="MS Mincho" w:cs="Arial"/>
                <w:snapToGrid w:val="0"/>
                <w:sz w:val="20"/>
                <w:szCs w:val="20"/>
                <w:lang w:eastAsia="it-IT"/>
              </w:rPr>
            </w:pPr>
          </w:p>
          <w:p w:rsidR="00FF0A8C" w:rsidRDefault="00FF0A8C" w:rsidP="001C4BCC">
            <w:pPr>
              <w:ind w:left="347" w:right="-1" w:hanging="347"/>
              <w:jc w:val="both"/>
              <w:rPr>
                <w:rFonts w:eastAsia="MS Mincho" w:cs="Arial"/>
                <w:snapToGrid w:val="0"/>
                <w:sz w:val="20"/>
                <w:szCs w:val="20"/>
                <w:lang w:eastAsia="it-IT"/>
              </w:rPr>
            </w:pPr>
            <w:r w:rsidRPr="00320235">
              <w:rPr>
                <w:rFonts w:eastAsia="MS Mincho" w:cs="Arial"/>
                <w:snapToGrid w:val="0"/>
                <w:sz w:val="20"/>
                <w:szCs w:val="20"/>
                <w:lang w:eastAsia="it-IT"/>
              </w:rPr>
              <w:t>b)</w:t>
            </w:r>
            <w:r w:rsidRPr="00320235">
              <w:rPr>
                <w:rFonts w:eastAsia="MS Mincho" w:cs="Arial"/>
                <w:snapToGrid w:val="0"/>
                <w:sz w:val="20"/>
                <w:szCs w:val="20"/>
                <w:lang w:eastAsia="it-IT"/>
              </w:rPr>
              <w:tab/>
              <w:t>abrogata;</w:t>
            </w:r>
          </w:p>
          <w:p w:rsidR="00FF0A8C" w:rsidRDefault="00FF0A8C" w:rsidP="001C4BCC">
            <w:pPr>
              <w:ind w:left="347" w:right="-1" w:hanging="347"/>
              <w:jc w:val="both"/>
              <w:rPr>
                <w:rFonts w:eastAsia="MS Mincho" w:cs="Arial"/>
                <w:snapToGrid w:val="0"/>
                <w:sz w:val="20"/>
                <w:szCs w:val="20"/>
                <w:lang w:eastAsia="it-IT"/>
              </w:rPr>
            </w:pPr>
          </w:p>
          <w:p w:rsidR="00FF0A8C" w:rsidRDefault="00FF0A8C" w:rsidP="001C4BCC">
            <w:pPr>
              <w:ind w:left="347" w:right="-1" w:hanging="347"/>
              <w:jc w:val="both"/>
              <w:rPr>
                <w:rFonts w:eastAsia="MS Mincho" w:cs="Arial"/>
                <w:snapToGrid w:val="0"/>
                <w:sz w:val="20"/>
                <w:szCs w:val="20"/>
                <w:lang w:eastAsia="it-IT"/>
              </w:rPr>
            </w:pPr>
          </w:p>
          <w:p w:rsidR="00FF0A8C" w:rsidRDefault="00FF0A8C" w:rsidP="001C4BCC">
            <w:pPr>
              <w:ind w:left="347" w:right="-1" w:hanging="347"/>
              <w:jc w:val="both"/>
              <w:rPr>
                <w:rFonts w:eastAsia="MS Mincho" w:cs="Arial"/>
                <w:snapToGrid w:val="0"/>
                <w:sz w:val="20"/>
                <w:szCs w:val="20"/>
                <w:lang w:eastAsia="it-IT"/>
              </w:rPr>
            </w:pPr>
          </w:p>
          <w:p w:rsidR="00FF0A8C" w:rsidRDefault="00FF0A8C" w:rsidP="001C4BCC">
            <w:pPr>
              <w:ind w:left="347" w:right="-1" w:hanging="347"/>
              <w:jc w:val="both"/>
              <w:rPr>
                <w:rFonts w:eastAsia="MS Mincho" w:cs="Arial"/>
                <w:snapToGrid w:val="0"/>
                <w:sz w:val="20"/>
                <w:szCs w:val="20"/>
                <w:lang w:eastAsia="it-IT"/>
              </w:rPr>
            </w:pPr>
          </w:p>
          <w:p w:rsidR="00FF0A8C" w:rsidRDefault="00FF0A8C" w:rsidP="001C4BCC">
            <w:pPr>
              <w:ind w:left="347" w:right="-1" w:hanging="347"/>
              <w:jc w:val="both"/>
              <w:rPr>
                <w:rFonts w:eastAsia="MS Mincho" w:cs="Arial"/>
                <w:snapToGrid w:val="0"/>
                <w:sz w:val="20"/>
                <w:szCs w:val="20"/>
                <w:lang w:eastAsia="it-IT"/>
              </w:rPr>
            </w:pPr>
          </w:p>
          <w:p w:rsidR="00FF0A8C" w:rsidRDefault="00FF0A8C" w:rsidP="001C4BCC">
            <w:pPr>
              <w:ind w:left="347" w:right="-1" w:hanging="347"/>
              <w:jc w:val="both"/>
              <w:rPr>
                <w:rFonts w:eastAsia="MS Mincho" w:cs="Arial"/>
                <w:snapToGrid w:val="0"/>
                <w:sz w:val="20"/>
                <w:szCs w:val="20"/>
                <w:lang w:eastAsia="it-IT"/>
              </w:rPr>
            </w:pPr>
          </w:p>
          <w:p w:rsidR="00FF0A8C" w:rsidRPr="00320235" w:rsidRDefault="00FF0A8C" w:rsidP="001C4BCC">
            <w:pPr>
              <w:ind w:left="347" w:right="-1" w:hanging="347"/>
              <w:jc w:val="both"/>
              <w:rPr>
                <w:rFonts w:eastAsia="MS Mincho" w:cs="Arial"/>
                <w:snapToGrid w:val="0"/>
                <w:sz w:val="20"/>
                <w:szCs w:val="20"/>
                <w:lang w:eastAsia="it-IT"/>
              </w:rPr>
            </w:pPr>
            <w:r w:rsidRPr="00320235">
              <w:rPr>
                <w:rFonts w:eastAsia="MS Mincho" w:cs="Arial"/>
                <w:snapToGrid w:val="0"/>
                <w:sz w:val="20"/>
                <w:szCs w:val="20"/>
                <w:lang w:eastAsia="it-IT"/>
              </w:rPr>
              <w:lastRenderedPageBreak/>
              <w:t>h)</w:t>
            </w:r>
            <w:r w:rsidRPr="00320235">
              <w:rPr>
                <w:rFonts w:eastAsia="MS Mincho" w:cs="Arial"/>
                <w:snapToGrid w:val="0"/>
                <w:sz w:val="20"/>
                <w:szCs w:val="20"/>
                <w:lang w:eastAsia="it-IT"/>
              </w:rPr>
              <w:tab/>
              <w:t xml:space="preserve">a decidere: </w:t>
            </w:r>
          </w:p>
          <w:p w:rsidR="00FF0A8C" w:rsidRPr="00320235" w:rsidRDefault="00FF0A8C" w:rsidP="001C4BCC">
            <w:pPr>
              <w:ind w:left="347" w:right="-1" w:hanging="141"/>
              <w:jc w:val="both"/>
              <w:rPr>
                <w:rFonts w:eastAsia="MS Mincho" w:cs="Arial"/>
                <w:snapToGrid w:val="0"/>
                <w:sz w:val="20"/>
                <w:szCs w:val="20"/>
                <w:lang w:eastAsia="it-IT"/>
              </w:rPr>
            </w:pPr>
            <w:r w:rsidRPr="00320235">
              <w:rPr>
                <w:rFonts w:eastAsia="MS Mincho" w:cs="Arial"/>
                <w:snapToGrid w:val="0"/>
                <w:sz w:val="20"/>
                <w:szCs w:val="20"/>
                <w:lang w:eastAsia="it-IT"/>
              </w:rPr>
              <w:t>-</w:t>
            </w:r>
            <w:r w:rsidRPr="00320235">
              <w:rPr>
                <w:rFonts w:eastAsia="MS Mincho" w:cs="Arial"/>
                <w:snapToGrid w:val="0"/>
                <w:sz w:val="20"/>
                <w:szCs w:val="20"/>
                <w:lang w:eastAsia="it-IT"/>
              </w:rPr>
              <w:tab/>
              <w:t>il collocamento iniziale del condannato (art. 76 CP);</w:t>
            </w:r>
          </w:p>
          <w:p w:rsidR="00FF0A8C" w:rsidRPr="00320235" w:rsidRDefault="00FF0A8C" w:rsidP="001C4BCC">
            <w:pPr>
              <w:ind w:left="347" w:right="-1" w:hanging="141"/>
              <w:jc w:val="both"/>
              <w:rPr>
                <w:rFonts w:eastAsia="MS Mincho" w:cs="Arial"/>
                <w:snapToGrid w:val="0"/>
                <w:sz w:val="20"/>
                <w:szCs w:val="20"/>
                <w:lang w:eastAsia="it-IT"/>
              </w:rPr>
            </w:pPr>
            <w:r w:rsidRPr="00320235">
              <w:rPr>
                <w:rFonts w:eastAsia="MS Mincho" w:cs="Arial"/>
                <w:snapToGrid w:val="0"/>
                <w:sz w:val="20"/>
                <w:szCs w:val="20"/>
                <w:lang w:eastAsia="it-IT"/>
              </w:rPr>
              <w:t>-</w:t>
            </w:r>
            <w:r w:rsidRPr="00320235">
              <w:rPr>
                <w:rFonts w:eastAsia="MS Mincho" w:cs="Arial"/>
                <w:snapToGrid w:val="0"/>
                <w:sz w:val="20"/>
                <w:szCs w:val="20"/>
                <w:lang w:eastAsia="it-IT"/>
              </w:rPr>
              <w:tab/>
              <w:t>il collocamento iniziale in caso di misura (art. 59, 60, 61 e 64 CP);</w:t>
            </w:r>
          </w:p>
          <w:p w:rsidR="00FF0A8C" w:rsidRPr="00320235" w:rsidRDefault="00FF0A8C" w:rsidP="001C4BCC">
            <w:pPr>
              <w:ind w:left="347" w:right="-1" w:hanging="141"/>
              <w:jc w:val="both"/>
              <w:rPr>
                <w:rFonts w:eastAsia="MS Mincho" w:cs="Arial"/>
                <w:snapToGrid w:val="0"/>
                <w:sz w:val="20"/>
                <w:szCs w:val="20"/>
                <w:lang w:eastAsia="it-IT"/>
              </w:rPr>
            </w:pPr>
            <w:r w:rsidRPr="00320235">
              <w:rPr>
                <w:rFonts w:eastAsia="MS Mincho" w:cs="Arial"/>
                <w:snapToGrid w:val="0"/>
                <w:sz w:val="20"/>
                <w:szCs w:val="20"/>
                <w:lang w:eastAsia="it-IT"/>
              </w:rPr>
              <w:t>-</w:t>
            </w:r>
            <w:r w:rsidRPr="00320235">
              <w:rPr>
                <w:rFonts w:eastAsia="MS Mincho" w:cs="Arial"/>
                <w:snapToGrid w:val="0"/>
                <w:sz w:val="20"/>
                <w:szCs w:val="20"/>
                <w:lang w:eastAsia="it-IT"/>
              </w:rPr>
              <w:tab/>
              <w:t xml:space="preserve">la concessione della semiprigionia, del lavoro di utilità pubblica e della sorveglianza elettronica (art. 67b, 77b, 79a e 79b CP); </w:t>
            </w:r>
          </w:p>
          <w:p w:rsidR="00FF0A8C" w:rsidRPr="00320235" w:rsidRDefault="00FF0A8C" w:rsidP="001C4BCC">
            <w:pPr>
              <w:ind w:left="347" w:right="-1" w:hanging="141"/>
              <w:jc w:val="both"/>
              <w:rPr>
                <w:rFonts w:eastAsia="MS Mincho" w:cs="Arial"/>
                <w:snapToGrid w:val="0"/>
                <w:sz w:val="20"/>
                <w:szCs w:val="20"/>
                <w:lang w:eastAsia="it-IT"/>
              </w:rPr>
            </w:pPr>
            <w:r w:rsidRPr="00320235">
              <w:rPr>
                <w:rFonts w:eastAsia="MS Mincho" w:cs="Arial"/>
                <w:snapToGrid w:val="0"/>
                <w:sz w:val="20"/>
                <w:szCs w:val="20"/>
                <w:lang w:eastAsia="it-IT"/>
              </w:rPr>
              <w:t>-</w:t>
            </w:r>
            <w:r w:rsidRPr="00320235">
              <w:rPr>
                <w:rFonts w:eastAsia="MS Mincho" w:cs="Arial"/>
                <w:snapToGrid w:val="0"/>
                <w:sz w:val="20"/>
                <w:szCs w:val="20"/>
                <w:lang w:eastAsia="it-IT"/>
              </w:rPr>
              <w:tab/>
              <w:t xml:space="preserve">la concessione del primo congedo; </w:t>
            </w:r>
          </w:p>
          <w:p w:rsidR="00FF0A8C" w:rsidRPr="00320235" w:rsidRDefault="00FF0A8C" w:rsidP="001C4BCC">
            <w:pPr>
              <w:ind w:left="347" w:right="-1" w:hanging="141"/>
              <w:jc w:val="both"/>
              <w:rPr>
                <w:rFonts w:eastAsia="MS Mincho" w:cs="Arial"/>
                <w:snapToGrid w:val="0"/>
                <w:sz w:val="20"/>
                <w:szCs w:val="20"/>
                <w:lang w:eastAsia="it-IT"/>
              </w:rPr>
            </w:pPr>
            <w:r w:rsidRPr="00320235">
              <w:rPr>
                <w:rFonts w:eastAsia="MS Mincho" w:cs="Arial"/>
                <w:snapToGrid w:val="0"/>
                <w:sz w:val="20"/>
                <w:szCs w:val="20"/>
                <w:lang w:eastAsia="it-IT"/>
              </w:rPr>
              <w:t>-</w:t>
            </w:r>
            <w:r w:rsidRPr="00320235">
              <w:rPr>
                <w:rFonts w:eastAsia="MS Mincho" w:cs="Arial"/>
                <w:snapToGrid w:val="0"/>
                <w:sz w:val="20"/>
                <w:szCs w:val="20"/>
                <w:lang w:eastAsia="it-IT"/>
              </w:rPr>
              <w:tab/>
              <w:t>il trasferimento del condannato in sezione aperta e la concessione del lavoro e dell’alloggio esterni (art. 77a CP);</w:t>
            </w:r>
          </w:p>
          <w:p w:rsidR="00FF0A8C" w:rsidRPr="00320235" w:rsidRDefault="00FF0A8C" w:rsidP="001C4BCC">
            <w:pPr>
              <w:ind w:left="347" w:right="-1" w:hanging="141"/>
              <w:jc w:val="both"/>
              <w:rPr>
                <w:rFonts w:eastAsia="MS Mincho" w:cs="Arial"/>
                <w:snapToGrid w:val="0"/>
                <w:sz w:val="20"/>
                <w:szCs w:val="20"/>
                <w:lang w:eastAsia="it-IT"/>
              </w:rPr>
            </w:pPr>
            <w:r w:rsidRPr="00320235">
              <w:rPr>
                <w:rFonts w:eastAsia="MS Mincho" w:cs="Arial"/>
                <w:snapToGrid w:val="0"/>
                <w:sz w:val="20"/>
                <w:szCs w:val="20"/>
                <w:lang w:eastAsia="it-IT"/>
              </w:rPr>
              <w:t>-</w:t>
            </w:r>
            <w:r w:rsidRPr="00320235">
              <w:rPr>
                <w:rFonts w:eastAsia="MS Mincho" w:cs="Arial"/>
                <w:snapToGrid w:val="0"/>
                <w:sz w:val="20"/>
                <w:szCs w:val="20"/>
                <w:lang w:eastAsia="it-IT"/>
              </w:rPr>
              <w:tab/>
              <w:t xml:space="preserve">le deroghe alle forme d’esecuzione (art. 80 CP); </w:t>
            </w:r>
          </w:p>
          <w:p w:rsidR="00FF0A8C" w:rsidRPr="00320235" w:rsidRDefault="00FF0A8C" w:rsidP="001C4BCC">
            <w:pPr>
              <w:ind w:left="347" w:right="-1" w:hanging="141"/>
              <w:jc w:val="both"/>
              <w:rPr>
                <w:rFonts w:eastAsia="MS Mincho" w:cs="Arial"/>
                <w:snapToGrid w:val="0"/>
                <w:sz w:val="20"/>
                <w:szCs w:val="20"/>
                <w:lang w:eastAsia="it-IT"/>
              </w:rPr>
            </w:pPr>
            <w:r w:rsidRPr="00320235">
              <w:rPr>
                <w:rFonts w:eastAsia="MS Mincho" w:cs="Arial"/>
                <w:snapToGrid w:val="0"/>
                <w:sz w:val="20"/>
                <w:szCs w:val="20"/>
                <w:lang w:eastAsia="it-IT"/>
              </w:rPr>
              <w:t>-</w:t>
            </w:r>
            <w:r w:rsidRPr="00320235">
              <w:rPr>
                <w:rFonts w:eastAsia="MS Mincho" w:cs="Arial"/>
                <w:snapToGrid w:val="0"/>
                <w:sz w:val="20"/>
                <w:szCs w:val="20"/>
                <w:lang w:eastAsia="it-IT"/>
              </w:rPr>
              <w:tab/>
              <w:t>l’interruzione dell’esecuzione di pene e misure (art. 92 CP);</w:t>
            </w:r>
          </w:p>
          <w:p w:rsidR="00FF0A8C" w:rsidRPr="00320235" w:rsidRDefault="00FF0A8C" w:rsidP="001C4BCC">
            <w:pPr>
              <w:ind w:left="347" w:right="-1" w:hanging="141"/>
              <w:jc w:val="both"/>
              <w:rPr>
                <w:rFonts w:eastAsia="MS Mincho" w:cs="Arial"/>
                <w:snapToGrid w:val="0"/>
                <w:sz w:val="20"/>
                <w:szCs w:val="20"/>
                <w:lang w:eastAsia="it-IT"/>
              </w:rPr>
            </w:pPr>
            <w:r w:rsidRPr="00320235">
              <w:rPr>
                <w:rFonts w:eastAsia="MS Mincho" w:cs="Arial"/>
                <w:snapToGrid w:val="0"/>
                <w:sz w:val="20"/>
                <w:szCs w:val="20"/>
                <w:lang w:eastAsia="it-IT"/>
              </w:rPr>
              <w:t>-</w:t>
            </w:r>
            <w:r w:rsidRPr="00320235">
              <w:rPr>
                <w:rFonts w:eastAsia="MS Mincho" w:cs="Arial"/>
                <w:snapToGrid w:val="0"/>
                <w:sz w:val="20"/>
                <w:szCs w:val="20"/>
                <w:lang w:eastAsia="it-IT"/>
              </w:rPr>
              <w:tab/>
              <w:t>le altre decisioni che il diritto federale riserva all’autorità competente dopo la crescita in giudicato della sentenza penale;</w:t>
            </w:r>
          </w:p>
          <w:p w:rsidR="00FF0A8C" w:rsidRPr="00320235" w:rsidRDefault="00FF0A8C" w:rsidP="001C4BCC">
            <w:pPr>
              <w:ind w:right="-1"/>
              <w:jc w:val="both"/>
              <w:rPr>
                <w:rFonts w:eastAsia="MS Mincho" w:cs="Arial"/>
                <w:snapToGrid w:val="0"/>
                <w:sz w:val="20"/>
                <w:szCs w:val="20"/>
                <w:lang w:eastAsia="it-IT"/>
              </w:rPr>
            </w:pPr>
          </w:p>
          <w:p w:rsidR="00FF0A8C" w:rsidRPr="00320235" w:rsidRDefault="00FF0A8C" w:rsidP="001C4BCC">
            <w:pPr>
              <w:ind w:right="-1"/>
              <w:jc w:val="both"/>
              <w:rPr>
                <w:rFonts w:eastAsia="MS Mincho" w:cs="Arial"/>
                <w:snapToGrid w:val="0"/>
                <w:sz w:val="20"/>
                <w:szCs w:val="20"/>
                <w:lang w:eastAsia="it-IT"/>
              </w:rPr>
            </w:pPr>
            <w:r w:rsidRPr="00F857E9">
              <w:rPr>
                <w:rFonts w:eastAsia="MS Mincho" w:cs="Arial"/>
                <w:snapToGrid w:val="0"/>
                <w:sz w:val="20"/>
                <w:szCs w:val="20"/>
                <w:vertAlign w:val="superscript"/>
                <w:lang w:eastAsia="it-IT"/>
              </w:rPr>
              <w:t>2</w:t>
            </w:r>
            <w:r w:rsidRPr="00320235">
              <w:rPr>
                <w:rFonts w:eastAsia="MS Mincho" w:cs="Arial"/>
                <w:snapToGrid w:val="0"/>
                <w:sz w:val="20"/>
                <w:szCs w:val="20"/>
                <w:lang w:eastAsia="it-IT"/>
              </w:rPr>
              <w:t>Il giudice dell’applicazione della pena può delegare l’audizione del condannato a funzionari nei casi previsti dal capoverso 1 lettera k come pure in materia di concessione della semiprigionia.</w:t>
            </w:r>
          </w:p>
        </w:tc>
        <w:tc>
          <w:tcPr>
            <w:tcW w:w="3402" w:type="dxa"/>
          </w:tcPr>
          <w:p w:rsidR="00FF0A8C" w:rsidRDefault="00FF0A8C" w:rsidP="001C4BCC">
            <w:pPr>
              <w:ind w:right="-1"/>
              <w:jc w:val="both"/>
              <w:rPr>
                <w:rFonts w:eastAsia="MS Mincho" w:cs="Arial"/>
                <w:snapToGrid w:val="0"/>
                <w:sz w:val="20"/>
                <w:szCs w:val="20"/>
                <w:lang w:eastAsia="it-IT"/>
              </w:rPr>
            </w:pPr>
            <w:r>
              <w:rPr>
                <w:rFonts w:eastAsia="MS Mincho" w:cs="Arial"/>
                <w:snapToGrid w:val="0"/>
                <w:sz w:val="20"/>
                <w:szCs w:val="20"/>
                <w:lang w:eastAsia="it-IT"/>
              </w:rPr>
              <w:lastRenderedPageBreak/>
              <w:t xml:space="preserve">L’art. 10 cpv. 1 </w:t>
            </w:r>
            <w:proofErr w:type="spellStart"/>
            <w:r>
              <w:rPr>
                <w:rFonts w:eastAsia="MS Mincho" w:cs="Arial"/>
                <w:snapToGrid w:val="0"/>
                <w:sz w:val="20"/>
                <w:szCs w:val="20"/>
                <w:lang w:eastAsia="it-IT"/>
              </w:rPr>
              <w:t>lett</w:t>
            </w:r>
            <w:proofErr w:type="spellEnd"/>
            <w:r>
              <w:rPr>
                <w:rFonts w:eastAsia="MS Mincho" w:cs="Arial"/>
                <w:snapToGrid w:val="0"/>
                <w:sz w:val="20"/>
                <w:szCs w:val="20"/>
                <w:lang w:eastAsia="it-IT"/>
              </w:rPr>
              <w:t xml:space="preserve">. a è reso superfluo dalla prevista abrogazione dell’art. 36 </w:t>
            </w:r>
            <w:proofErr w:type="spellStart"/>
            <w:r>
              <w:rPr>
                <w:rFonts w:eastAsia="MS Mincho" w:cs="Arial"/>
                <w:snapToGrid w:val="0"/>
                <w:sz w:val="20"/>
                <w:szCs w:val="20"/>
                <w:lang w:eastAsia="it-IT"/>
              </w:rPr>
              <w:t>cpvv</w:t>
            </w:r>
            <w:proofErr w:type="spellEnd"/>
            <w:r>
              <w:rPr>
                <w:rFonts w:eastAsia="MS Mincho" w:cs="Arial"/>
                <w:snapToGrid w:val="0"/>
                <w:sz w:val="20"/>
                <w:szCs w:val="20"/>
                <w:lang w:eastAsia="it-IT"/>
              </w:rPr>
              <w:t>. 3-5 CP.</w:t>
            </w:r>
          </w:p>
          <w:p w:rsidR="00FF0A8C" w:rsidRDefault="00FF0A8C" w:rsidP="001C4BCC">
            <w:pPr>
              <w:ind w:right="-1"/>
              <w:jc w:val="both"/>
              <w:rPr>
                <w:rFonts w:eastAsia="MS Mincho" w:cs="Arial"/>
                <w:snapToGrid w:val="0"/>
                <w:sz w:val="20"/>
                <w:szCs w:val="20"/>
                <w:lang w:eastAsia="it-IT"/>
              </w:rPr>
            </w:pPr>
            <w:r>
              <w:rPr>
                <w:rFonts w:eastAsia="MS Mincho" w:cs="Arial"/>
                <w:snapToGrid w:val="0"/>
                <w:sz w:val="20"/>
                <w:szCs w:val="20"/>
                <w:lang w:eastAsia="it-IT"/>
              </w:rPr>
              <w:t xml:space="preserve">L’art. 10 cpv. 1 </w:t>
            </w:r>
            <w:proofErr w:type="spellStart"/>
            <w:r>
              <w:rPr>
                <w:rFonts w:eastAsia="MS Mincho" w:cs="Arial"/>
                <w:snapToGrid w:val="0"/>
                <w:sz w:val="20"/>
                <w:szCs w:val="20"/>
                <w:lang w:eastAsia="it-IT"/>
              </w:rPr>
              <w:t>let</w:t>
            </w:r>
            <w:proofErr w:type="spellEnd"/>
            <w:r>
              <w:rPr>
                <w:rFonts w:eastAsia="MS Mincho" w:cs="Arial"/>
                <w:snapToGrid w:val="0"/>
                <w:sz w:val="20"/>
                <w:szCs w:val="20"/>
                <w:lang w:eastAsia="it-IT"/>
              </w:rPr>
              <w:t>. b è reso superfluo dall’abrogazione dell’art. 39 CP.</w:t>
            </w:r>
          </w:p>
          <w:p w:rsidR="00FF0A8C" w:rsidRDefault="00FF0A8C" w:rsidP="001C4BCC">
            <w:pPr>
              <w:ind w:right="-1"/>
              <w:jc w:val="both"/>
              <w:rPr>
                <w:rFonts w:eastAsia="MS Mincho" w:cs="Arial"/>
                <w:snapToGrid w:val="0"/>
                <w:sz w:val="20"/>
                <w:szCs w:val="20"/>
                <w:lang w:eastAsia="it-IT"/>
              </w:rPr>
            </w:pPr>
            <w:r>
              <w:rPr>
                <w:rFonts w:eastAsia="MS Mincho" w:cs="Arial"/>
                <w:snapToGrid w:val="0"/>
                <w:sz w:val="20"/>
                <w:szCs w:val="20"/>
                <w:lang w:eastAsia="it-IT"/>
              </w:rPr>
              <w:t xml:space="preserve">Le nuove competenze attribuite al giudice dell’applicazione della pena sono giustificate dalle modifiche normative a livello federale e sono certamente ragionevoli. </w:t>
            </w:r>
          </w:p>
          <w:p w:rsidR="00FF0A8C" w:rsidRDefault="00FF0A8C" w:rsidP="001C4BCC">
            <w:pPr>
              <w:ind w:right="-1"/>
              <w:jc w:val="both"/>
              <w:rPr>
                <w:rFonts w:eastAsia="MS Mincho" w:cs="Arial"/>
                <w:snapToGrid w:val="0"/>
                <w:sz w:val="20"/>
                <w:szCs w:val="20"/>
                <w:lang w:eastAsia="it-IT"/>
              </w:rPr>
            </w:pPr>
            <w:r>
              <w:rPr>
                <w:rFonts w:eastAsia="MS Mincho" w:cs="Arial"/>
                <w:snapToGrid w:val="0"/>
                <w:sz w:val="20"/>
                <w:szCs w:val="20"/>
                <w:lang w:eastAsia="it-IT"/>
              </w:rPr>
              <w:t xml:space="preserve">La modifica di legge </w:t>
            </w:r>
            <w:r w:rsidRPr="00353ABD">
              <w:rPr>
                <w:rFonts w:eastAsia="MS Mincho" w:cs="Arial"/>
                <w:snapToGrid w:val="0"/>
                <w:sz w:val="20"/>
                <w:szCs w:val="20"/>
                <w:lang w:eastAsia="it-IT"/>
              </w:rPr>
              <w:t>è sostenuta dalla scrivente Commissione</w:t>
            </w:r>
          </w:p>
          <w:p w:rsidR="00FF0A8C" w:rsidRDefault="00FF0A8C" w:rsidP="001C4BCC">
            <w:pPr>
              <w:ind w:right="-1"/>
              <w:jc w:val="both"/>
              <w:rPr>
                <w:rFonts w:eastAsia="MS Mincho" w:cs="Arial"/>
                <w:snapToGrid w:val="0"/>
                <w:sz w:val="20"/>
                <w:szCs w:val="20"/>
                <w:lang w:eastAsia="it-IT"/>
              </w:rPr>
            </w:pPr>
          </w:p>
          <w:p w:rsidR="00FF0A8C" w:rsidRPr="00320235" w:rsidRDefault="00FF0A8C" w:rsidP="001C4BCC">
            <w:pPr>
              <w:ind w:right="-1"/>
              <w:jc w:val="both"/>
              <w:rPr>
                <w:rFonts w:eastAsia="MS Mincho" w:cs="Arial"/>
                <w:snapToGrid w:val="0"/>
                <w:sz w:val="20"/>
                <w:szCs w:val="20"/>
                <w:lang w:eastAsia="it-IT"/>
              </w:rPr>
            </w:pPr>
          </w:p>
        </w:tc>
      </w:tr>
      <w:tr w:rsidR="00FF0A8C" w:rsidRPr="00320235" w:rsidTr="00603633">
        <w:tc>
          <w:tcPr>
            <w:tcW w:w="3055" w:type="dxa"/>
          </w:tcPr>
          <w:p w:rsidR="00FF0A8C" w:rsidRPr="00F857E9" w:rsidRDefault="00FF0A8C" w:rsidP="001C4BCC">
            <w:pPr>
              <w:ind w:right="-1"/>
              <w:jc w:val="both"/>
              <w:rPr>
                <w:rFonts w:eastAsia="MS Mincho" w:cs="Arial"/>
                <w:b/>
                <w:snapToGrid w:val="0"/>
                <w:sz w:val="20"/>
                <w:szCs w:val="20"/>
                <w:lang w:eastAsia="it-IT"/>
              </w:rPr>
            </w:pPr>
            <w:r w:rsidRPr="00F857E9">
              <w:rPr>
                <w:rFonts w:eastAsia="MS Mincho" w:cs="Arial"/>
                <w:b/>
                <w:snapToGrid w:val="0"/>
                <w:sz w:val="20"/>
                <w:szCs w:val="20"/>
                <w:lang w:eastAsia="it-IT"/>
              </w:rPr>
              <w:lastRenderedPageBreak/>
              <w:t>Art. 12</w:t>
            </w:r>
          </w:p>
          <w:p w:rsidR="00FF0A8C" w:rsidRPr="00320235" w:rsidRDefault="00FF0A8C" w:rsidP="001C4BCC">
            <w:pPr>
              <w:ind w:right="-1"/>
              <w:jc w:val="both"/>
              <w:rPr>
                <w:rFonts w:eastAsia="MS Mincho" w:cs="Arial"/>
                <w:snapToGrid w:val="0"/>
                <w:sz w:val="20"/>
                <w:szCs w:val="20"/>
                <w:lang w:eastAsia="it-IT"/>
              </w:rPr>
            </w:pPr>
          </w:p>
          <w:p w:rsidR="00FF0A8C" w:rsidRPr="00320235" w:rsidRDefault="00FF0A8C" w:rsidP="001C4BCC">
            <w:pPr>
              <w:ind w:right="-1"/>
              <w:jc w:val="both"/>
              <w:rPr>
                <w:rFonts w:eastAsia="MS Mincho" w:cs="Arial"/>
                <w:snapToGrid w:val="0"/>
                <w:sz w:val="20"/>
                <w:szCs w:val="20"/>
                <w:lang w:eastAsia="it-IT"/>
              </w:rPr>
            </w:pPr>
            <w:r w:rsidRPr="00F857E9">
              <w:rPr>
                <w:rFonts w:eastAsia="MS Mincho" w:cs="Arial"/>
                <w:snapToGrid w:val="0"/>
                <w:sz w:val="20"/>
                <w:szCs w:val="20"/>
                <w:vertAlign w:val="superscript"/>
                <w:lang w:eastAsia="it-IT"/>
              </w:rPr>
              <w:t>1</w:t>
            </w:r>
            <w:r w:rsidRPr="00320235">
              <w:rPr>
                <w:rFonts w:eastAsia="MS Mincho" w:cs="Arial"/>
                <w:snapToGrid w:val="0"/>
                <w:sz w:val="20"/>
                <w:szCs w:val="20"/>
                <w:lang w:eastAsia="it-IT"/>
              </w:rPr>
              <w:t xml:space="preserve">Contro le decisioni del giudice dell’applicazione della pena il condannato e il Ministero pubblico possono interporre reclamo ai sensi degli articoli 393 e seguenti CPP: </w:t>
            </w:r>
          </w:p>
          <w:p w:rsidR="00FF0A8C" w:rsidRDefault="00FF0A8C" w:rsidP="001C4BCC">
            <w:pPr>
              <w:ind w:left="284" w:right="-1" w:hanging="284"/>
              <w:jc w:val="both"/>
              <w:rPr>
                <w:rFonts w:eastAsia="MS Mincho" w:cs="Arial"/>
                <w:snapToGrid w:val="0"/>
                <w:sz w:val="20"/>
                <w:szCs w:val="20"/>
                <w:lang w:eastAsia="it-IT"/>
              </w:rPr>
            </w:pPr>
            <w:r w:rsidRPr="00320235">
              <w:rPr>
                <w:rFonts w:eastAsia="MS Mincho" w:cs="Arial"/>
                <w:snapToGrid w:val="0"/>
                <w:sz w:val="20"/>
                <w:szCs w:val="20"/>
                <w:lang w:eastAsia="it-IT"/>
              </w:rPr>
              <w:t xml:space="preserve">a) </w:t>
            </w:r>
            <w:r>
              <w:rPr>
                <w:rFonts w:eastAsia="MS Mincho" w:cs="Arial"/>
                <w:snapToGrid w:val="0"/>
                <w:sz w:val="20"/>
                <w:szCs w:val="20"/>
                <w:lang w:eastAsia="it-IT"/>
              </w:rPr>
              <w:tab/>
            </w:r>
            <w:r w:rsidRPr="00320235">
              <w:rPr>
                <w:rFonts w:eastAsia="MS Mincho" w:cs="Arial"/>
                <w:snapToGrid w:val="0"/>
                <w:sz w:val="20"/>
                <w:szCs w:val="20"/>
                <w:lang w:eastAsia="it-IT"/>
              </w:rPr>
              <w:t>alla Corte di appello e di revisione penale nei casi dell’articolo 10 lettere a), b) e l);[5]</w:t>
            </w:r>
          </w:p>
          <w:p w:rsidR="00FF0A8C" w:rsidRPr="00320235" w:rsidRDefault="00FF0A8C" w:rsidP="001C4BCC">
            <w:pPr>
              <w:ind w:left="284" w:right="-1" w:hanging="284"/>
              <w:jc w:val="both"/>
              <w:rPr>
                <w:rFonts w:eastAsia="MS Mincho" w:cs="Arial"/>
                <w:snapToGrid w:val="0"/>
                <w:sz w:val="20"/>
                <w:szCs w:val="20"/>
                <w:lang w:eastAsia="it-IT"/>
              </w:rPr>
            </w:pPr>
            <w:r w:rsidRPr="00320235">
              <w:rPr>
                <w:rFonts w:eastAsia="MS Mincho" w:cs="Arial"/>
                <w:snapToGrid w:val="0"/>
                <w:sz w:val="20"/>
                <w:szCs w:val="20"/>
                <w:lang w:eastAsia="it-IT"/>
              </w:rPr>
              <w:t xml:space="preserve">b) </w:t>
            </w:r>
            <w:r>
              <w:rPr>
                <w:rFonts w:eastAsia="MS Mincho" w:cs="Arial"/>
                <w:snapToGrid w:val="0"/>
                <w:sz w:val="20"/>
                <w:szCs w:val="20"/>
                <w:lang w:eastAsia="it-IT"/>
              </w:rPr>
              <w:tab/>
            </w:r>
            <w:r w:rsidRPr="00320235">
              <w:rPr>
                <w:rFonts w:eastAsia="MS Mincho" w:cs="Arial"/>
                <w:snapToGrid w:val="0"/>
                <w:sz w:val="20"/>
                <w:szCs w:val="20"/>
                <w:lang w:eastAsia="it-IT"/>
              </w:rPr>
              <w:t>alla Corte dei reclami penali nei casi dell’articolo 10 lettere c)-k).[6]</w:t>
            </w:r>
          </w:p>
          <w:p w:rsidR="00FF0A8C" w:rsidRPr="00320235" w:rsidRDefault="00FF0A8C" w:rsidP="001C4BCC">
            <w:pPr>
              <w:ind w:right="-1"/>
              <w:jc w:val="both"/>
              <w:rPr>
                <w:rFonts w:eastAsia="MS Mincho" w:cs="Arial"/>
                <w:snapToGrid w:val="0"/>
                <w:sz w:val="20"/>
                <w:szCs w:val="20"/>
                <w:lang w:eastAsia="it-IT"/>
              </w:rPr>
            </w:pPr>
          </w:p>
        </w:tc>
        <w:tc>
          <w:tcPr>
            <w:tcW w:w="3432" w:type="dxa"/>
          </w:tcPr>
          <w:p w:rsidR="00FF0A8C" w:rsidRPr="00F857E9" w:rsidRDefault="00FF0A8C" w:rsidP="001C4BCC">
            <w:pPr>
              <w:ind w:right="-1"/>
              <w:jc w:val="both"/>
              <w:rPr>
                <w:rFonts w:eastAsia="MS Mincho" w:cs="Arial"/>
                <w:b/>
                <w:snapToGrid w:val="0"/>
                <w:sz w:val="20"/>
                <w:szCs w:val="20"/>
                <w:lang w:eastAsia="it-IT"/>
              </w:rPr>
            </w:pPr>
            <w:r w:rsidRPr="00F857E9">
              <w:rPr>
                <w:rFonts w:eastAsia="MS Mincho" w:cs="Arial"/>
                <w:b/>
                <w:snapToGrid w:val="0"/>
                <w:sz w:val="20"/>
                <w:szCs w:val="20"/>
                <w:lang w:eastAsia="it-IT"/>
              </w:rPr>
              <w:t>Art. 12 cpv. 1</w:t>
            </w:r>
          </w:p>
          <w:p w:rsidR="00FF0A8C" w:rsidRPr="00320235" w:rsidRDefault="00FF0A8C" w:rsidP="001C4BCC">
            <w:pPr>
              <w:ind w:right="-1"/>
              <w:jc w:val="both"/>
              <w:rPr>
                <w:rFonts w:eastAsia="MS Mincho" w:cs="Arial"/>
                <w:snapToGrid w:val="0"/>
                <w:sz w:val="20"/>
                <w:szCs w:val="20"/>
                <w:lang w:eastAsia="it-IT"/>
              </w:rPr>
            </w:pPr>
          </w:p>
          <w:p w:rsidR="00FF0A8C" w:rsidRDefault="00FF0A8C" w:rsidP="001C4BCC">
            <w:pPr>
              <w:ind w:right="-1"/>
              <w:jc w:val="both"/>
              <w:rPr>
                <w:rFonts w:eastAsia="MS Mincho" w:cs="Arial"/>
                <w:snapToGrid w:val="0"/>
                <w:sz w:val="20"/>
                <w:szCs w:val="20"/>
                <w:lang w:eastAsia="it-IT"/>
              </w:rPr>
            </w:pPr>
            <w:r w:rsidRPr="00F857E9">
              <w:rPr>
                <w:rFonts w:eastAsia="MS Mincho" w:cs="Arial"/>
                <w:snapToGrid w:val="0"/>
                <w:sz w:val="20"/>
                <w:szCs w:val="20"/>
                <w:vertAlign w:val="superscript"/>
                <w:lang w:eastAsia="it-IT"/>
              </w:rPr>
              <w:t>1</w:t>
            </w:r>
            <w:r w:rsidRPr="00320235">
              <w:rPr>
                <w:rFonts w:eastAsia="MS Mincho" w:cs="Arial"/>
                <w:snapToGrid w:val="0"/>
                <w:sz w:val="20"/>
                <w:szCs w:val="20"/>
                <w:lang w:eastAsia="it-IT"/>
              </w:rPr>
              <w:t>Contro le decisioni del giudice dell’applicazione della pena, il condannato e il Ministero pubblico possono interporre reclamo ai sensi degli articoli 393 e seguenti CPP:</w:t>
            </w:r>
          </w:p>
          <w:p w:rsidR="00FF0A8C" w:rsidRPr="00320235" w:rsidRDefault="00FF0A8C" w:rsidP="001C4BCC">
            <w:pPr>
              <w:ind w:right="-1"/>
              <w:jc w:val="both"/>
              <w:rPr>
                <w:rFonts w:eastAsia="MS Mincho" w:cs="Arial"/>
                <w:snapToGrid w:val="0"/>
                <w:sz w:val="20"/>
                <w:szCs w:val="20"/>
                <w:lang w:eastAsia="it-IT"/>
              </w:rPr>
            </w:pPr>
          </w:p>
          <w:p w:rsidR="00FF0A8C" w:rsidRDefault="00FF0A8C" w:rsidP="001C4BCC">
            <w:pPr>
              <w:ind w:left="347" w:right="-1" w:hanging="347"/>
              <w:jc w:val="both"/>
              <w:rPr>
                <w:rFonts w:eastAsia="MS Mincho" w:cs="Arial"/>
                <w:snapToGrid w:val="0"/>
                <w:sz w:val="20"/>
                <w:szCs w:val="20"/>
                <w:lang w:eastAsia="it-IT"/>
              </w:rPr>
            </w:pPr>
            <w:r w:rsidRPr="00320235">
              <w:rPr>
                <w:rFonts w:eastAsia="MS Mincho" w:cs="Arial"/>
                <w:snapToGrid w:val="0"/>
                <w:sz w:val="20"/>
                <w:szCs w:val="20"/>
                <w:lang w:eastAsia="it-IT"/>
              </w:rPr>
              <w:t>a)</w:t>
            </w:r>
            <w:r w:rsidRPr="00320235">
              <w:rPr>
                <w:rFonts w:eastAsia="MS Mincho" w:cs="Arial"/>
                <w:snapToGrid w:val="0"/>
                <w:sz w:val="20"/>
                <w:szCs w:val="20"/>
                <w:lang w:eastAsia="it-IT"/>
              </w:rPr>
              <w:tab/>
              <w:t>alla Corte di appello e di revisione penale nei casi dell’articolo 10 capoverso 1 lettera l;</w:t>
            </w:r>
          </w:p>
          <w:p w:rsidR="00FF0A8C" w:rsidRPr="00320235" w:rsidRDefault="00FF0A8C" w:rsidP="001C4BCC">
            <w:pPr>
              <w:ind w:left="347" w:right="-1" w:hanging="347"/>
              <w:jc w:val="both"/>
              <w:rPr>
                <w:rFonts w:eastAsia="MS Mincho" w:cs="Arial"/>
                <w:snapToGrid w:val="0"/>
                <w:sz w:val="20"/>
                <w:szCs w:val="20"/>
                <w:lang w:eastAsia="it-IT"/>
              </w:rPr>
            </w:pPr>
            <w:r w:rsidRPr="00320235">
              <w:rPr>
                <w:rFonts w:eastAsia="MS Mincho" w:cs="Arial"/>
                <w:snapToGrid w:val="0"/>
                <w:sz w:val="20"/>
                <w:szCs w:val="20"/>
                <w:lang w:eastAsia="it-IT"/>
              </w:rPr>
              <w:t>b)</w:t>
            </w:r>
            <w:r w:rsidRPr="00320235">
              <w:rPr>
                <w:rFonts w:eastAsia="MS Mincho" w:cs="Arial"/>
                <w:snapToGrid w:val="0"/>
                <w:sz w:val="20"/>
                <w:szCs w:val="20"/>
                <w:lang w:eastAsia="it-IT"/>
              </w:rPr>
              <w:tab/>
              <w:t>alla Corte dei reclami penali nei casi dell’articolo 10 capoverso 1 lettere c-k.</w:t>
            </w:r>
          </w:p>
        </w:tc>
        <w:tc>
          <w:tcPr>
            <w:tcW w:w="3402" w:type="dxa"/>
          </w:tcPr>
          <w:p w:rsidR="00FF0A8C" w:rsidRPr="00320235" w:rsidRDefault="00FF0A8C" w:rsidP="001C4BCC">
            <w:pPr>
              <w:ind w:right="-1"/>
              <w:jc w:val="both"/>
              <w:rPr>
                <w:rFonts w:eastAsia="MS Mincho" w:cs="Arial"/>
                <w:snapToGrid w:val="0"/>
                <w:sz w:val="20"/>
                <w:szCs w:val="20"/>
                <w:lang w:eastAsia="it-IT"/>
              </w:rPr>
            </w:pPr>
            <w:r>
              <w:rPr>
                <w:rFonts w:eastAsia="MS Mincho" w:cs="Arial"/>
                <w:snapToGrid w:val="0"/>
                <w:sz w:val="20"/>
                <w:szCs w:val="20"/>
                <w:lang w:eastAsia="it-IT"/>
              </w:rPr>
              <w:t xml:space="preserve">La modifica proposta è un </w:t>
            </w:r>
            <w:r w:rsidRPr="00320235">
              <w:rPr>
                <w:rFonts w:eastAsia="MS Mincho" w:cs="Arial"/>
                <w:snapToGrid w:val="0"/>
                <w:sz w:val="20"/>
                <w:szCs w:val="20"/>
                <w:lang w:eastAsia="it-IT"/>
              </w:rPr>
              <w:t>adeguamento all’abrogazione delle lettere a e b dell’</w:t>
            </w:r>
            <w:r>
              <w:rPr>
                <w:rFonts w:eastAsia="MS Mincho" w:cs="Arial"/>
                <w:snapToGrid w:val="0"/>
                <w:sz w:val="20"/>
                <w:szCs w:val="20"/>
                <w:lang w:eastAsia="it-IT"/>
              </w:rPr>
              <w:t xml:space="preserve">art. 10 cpv. 1 ed è </w:t>
            </w:r>
            <w:r w:rsidRPr="00320235">
              <w:rPr>
                <w:rFonts w:eastAsia="MS Mincho" w:cs="Arial"/>
                <w:snapToGrid w:val="0"/>
                <w:sz w:val="20"/>
                <w:szCs w:val="20"/>
                <w:lang w:eastAsia="it-IT"/>
              </w:rPr>
              <w:t>sostenuta dalla scrivente Commissione</w:t>
            </w:r>
          </w:p>
        </w:tc>
      </w:tr>
      <w:tr w:rsidR="00FF0A8C" w:rsidRPr="00320235" w:rsidTr="00603633">
        <w:tc>
          <w:tcPr>
            <w:tcW w:w="3055" w:type="dxa"/>
          </w:tcPr>
          <w:p w:rsidR="00FF0A8C" w:rsidRPr="00F857E9" w:rsidRDefault="00FF0A8C" w:rsidP="001C4BCC">
            <w:pPr>
              <w:ind w:right="-1"/>
              <w:jc w:val="both"/>
              <w:rPr>
                <w:rFonts w:eastAsia="MS Mincho" w:cs="Arial"/>
                <w:b/>
                <w:snapToGrid w:val="0"/>
                <w:sz w:val="20"/>
                <w:szCs w:val="20"/>
                <w:lang w:eastAsia="it-IT"/>
              </w:rPr>
            </w:pPr>
            <w:r w:rsidRPr="00F857E9">
              <w:rPr>
                <w:rFonts w:eastAsia="MS Mincho" w:cs="Arial"/>
                <w:b/>
                <w:snapToGrid w:val="0"/>
                <w:sz w:val="20"/>
                <w:szCs w:val="20"/>
                <w:lang w:eastAsia="it-IT"/>
              </w:rPr>
              <w:t>Art. 13 cv. 2</w:t>
            </w:r>
          </w:p>
          <w:p w:rsidR="00FF0A8C" w:rsidRPr="00320235" w:rsidRDefault="00FF0A8C" w:rsidP="001C4BCC">
            <w:pPr>
              <w:ind w:right="-1"/>
              <w:jc w:val="both"/>
              <w:rPr>
                <w:rFonts w:eastAsia="MS Mincho" w:cs="Arial"/>
                <w:snapToGrid w:val="0"/>
                <w:sz w:val="20"/>
                <w:szCs w:val="20"/>
                <w:lang w:eastAsia="it-IT"/>
              </w:rPr>
            </w:pPr>
          </w:p>
          <w:p w:rsidR="00FF0A8C" w:rsidRDefault="00FF0A8C" w:rsidP="001C4BCC">
            <w:pPr>
              <w:ind w:right="-1"/>
              <w:jc w:val="both"/>
              <w:rPr>
                <w:rFonts w:eastAsia="MS Mincho" w:cs="Arial"/>
                <w:snapToGrid w:val="0"/>
                <w:sz w:val="20"/>
                <w:szCs w:val="20"/>
                <w:lang w:eastAsia="it-IT"/>
              </w:rPr>
            </w:pPr>
            <w:r w:rsidRPr="00F857E9">
              <w:rPr>
                <w:rFonts w:eastAsia="MS Mincho" w:cs="Arial"/>
                <w:snapToGrid w:val="0"/>
                <w:sz w:val="20"/>
                <w:szCs w:val="20"/>
                <w:vertAlign w:val="superscript"/>
                <w:lang w:eastAsia="it-IT"/>
              </w:rPr>
              <w:t>2</w:t>
            </w:r>
            <w:r w:rsidRPr="00320235">
              <w:rPr>
                <w:rFonts w:eastAsia="MS Mincho" w:cs="Arial"/>
                <w:snapToGrid w:val="0"/>
                <w:sz w:val="20"/>
                <w:szCs w:val="20"/>
                <w:lang w:eastAsia="it-IT"/>
              </w:rPr>
              <w:t xml:space="preserve">Essa si compone di un giudice del Tribunale penale cantonale, di un procuratore pubblico, di un rappresentante del Dipartimento delle istituzioni, di un rappresentante del settore </w:t>
            </w:r>
            <w:r w:rsidRPr="00320235">
              <w:rPr>
                <w:rFonts w:eastAsia="MS Mincho" w:cs="Arial"/>
                <w:snapToGrid w:val="0"/>
                <w:sz w:val="20"/>
                <w:szCs w:val="20"/>
                <w:lang w:eastAsia="it-IT"/>
              </w:rPr>
              <w:lastRenderedPageBreak/>
              <w:t>della psichiatria e di un avvocato iscritto nel registro cantonale; per ogni membro è designato un supplente.</w:t>
            </w:r>
          </w:p>
          <w:p w:rsidR="00FF0A8C" w:rsidRPr="00320235" w:rsidRDefault="00FF0A8C" w:rsidP="001C4BCC">
            <w:pPr>
              <w:ind w:right="-1"/>
              <w:jc w:val="both"/>
              <w:rPr>
                <w:rFonts w:eastAsia="MS Mincho" w:cs="Arial"/>
                <w:snapToGrid w:val="0"/>
                <w:sz w:val="20"/>
                <w:szCs w:val="20"/>
                <w:lang w:eastAsia="it-IT"/>
              </w:rPr>
            </w:pPr>
          </w:p>
        </w:tc>
        <w:tc>
          <w:tcPr>
            <w:tcW w:w="3432" w:type="dxa"/>
          </w:tcPr>
          <w:p w:rsidR="00FF0A8C" w:rsidRPr="00F857E9" w:rsidRDefault="00FF0A8C" w:rsidP="001C4BCC">
            <w:pPr>
              <w:ind w:right="-1"/>
              <w:jc w:val="both"/>
              <w:rPr>
                <w:rFonts w:eastAsia="MS Mincho" w:cs="Arial"/>
                <w:b/>
                <w:snapToGrid w:val="0"/>
                <w:sz w:val="20"/>
                <w:szCs w:val="20"/>
                <w:lang w:eastAsia="it-IT"/>
              </w:rPr>
            </w:pPr>
            <w:r w:rsidRPr="00F857E9">
              <w:rPr>
                <w:rFonts w:eastAsia="MS Mincho" w:cs="Arial"/>
                <w:b/>
                <w:snapToGrid w:val="0"/>
                <w:sz w:val="20"/>
                <w:szCs w:val="20"/>
                <w:lang w:eastAsia="it-IT"/>
              </w:rPr>
              <w:lastRenderedPageBreak/>
              <w:t>Art. 13 cpv. 2</w:t>
            </w:r>
          </w:p>
          <w:p w:rsidR="00FF0A8C" w:rsidRPr="00320235" w:rsidRDefault="00FF0A8C" w:rsidP="001C4BCC">
            <w:pPr>
              <w:ind w:right="-1"/>
              <w:jc w:val="both"/>
              <w:rPr>
                <w:rFonts w:eastAsia="MS Mincho" w:cs="Arial"/>
                <w:snapToGrid w:val="0"/>
                <w:sz w:val="20"/>
                <w:szCs w:val="20"/>
                <w:lang w:eastAsia="it-IT"/>
              </w:rPr>
            </w:pPr>
          </w:p>
          <w:p w:rsidR="00FF0A8C" w:rsidRPr="00320235" w:rsidRDefault="00FF0A8C" w:rsidP="001C4BCC">
            <w:pPr>
              <w:ind w:right="-1"/>
              <w:jc w:val="both"/>
              <w:rPr>
                <w:rFonts w:eastAsia="MS Mincho" w:cs="Arial"/>
                <w:snapToGrid w:val="0"/>
                <w:sz w:val="20"/>
                <w:szCs w:val="20"/>
                <w:lang w:eastAsia="it-IT"/>
              </w:rPr>
            </w:pPr>
            <w:r w:rsidRPr="00F857E9">
              <w:rPr>
                <w:rFonts w:eastAsia="MS Mincho" w:cs="Arial"/>
                <w:snapToGrid w:val="0"/>
                <w:sz w:val="20"/>
                <w:szCs w:val="20"/>
                <w:vertAlign w:val="superscript"/>
                <w:lang w:eastAsia="it-IT"/>
              </w:rPr>
              <w:t>2</w:t>
            </w:r>
            <w:r w:rsidRPr="00320235">
              <w:rPr>
                <w:rFonts w:eastAsia="MS Mincho" w:cs="Arial"/>
                <w:snapToGrid w:val="0"/>
                <w:sz w:val="20"/>
                <w:szCs w:val="20"/>
                <w:lang w:eastAsia="it-IT"/>
              </w:rPr>
              <w:t xml:space="preserve">Essa si compone di un giudice del Tribunale penale cantonale, di un procuratore pubblico, di un rappresentante del Dipartimento delle istituzioni, di un rappresentante del settore della </w:t>
            </w:r>
            <w:r w:rsidRPr="00320235">
              <w:rPr>
                <w:rFonts w:eastAsia="MS Mincho" w:cs="Arial"/>
                <w:snapToGrid w:val="0"/>
                <w:sz w:val="20"/>
                <w:szCs w:val="20"/>
                <w:lang w:eastAsia="it-IT"/>
              </w:rPr>
              <w:lastRenderedPageBreak/>
              <w:t>psichiatria e di un avvocato iscritto nel registro cantonale; per ogni membro sono designati due supplenti.</w:t>
            </w:r>
          </w:p>
        </w:tc>
        <w:tc>
          <w:tcPr>
            <w:tcW w:w="3402" w:type="dxa"/>
          </w:tcPr>
          <w:p w:rsidR="00FF0A8C" w:rsidRPr="00320235" w:rsidRDefault="00FF0A8C" w:rsidP="001C4BCC">
            <w:pPr>
              <w:ind w:right="-1"/>
              <w:jc w:val="both"/>
              <w:rPr>
                <w:rFonts w:eastAsia="MS Mincho" w:cs="Arial"/>
                <w:snapToGrid w:val="0"/>
                <w:sz w:val="20"/>
                <w:szCs w:val="20"/>
                <w:lang w:eastAsia="it-IT"/>
              </w:rPr>
            </w:pPr>
            <w:r w:rsidRPr="00320235">
              <w:rPr>
                <w:rFonts w:eastAsia="MS Mincho" w:cs="Arial"/>
                <w:snapToGrid w:val="0"/>
                <w:sz w:val="20"/>
                <w:szCs w:val="20"/>
                <w:lang w:eastAsia="it-IT"/>
              </w:rPr>
              <w:lastRenderedPageBreak/>
              <w:t>La modifica, finalizzata a migliorare l’operatività della Commissione per l’esame dei condannati pericolosi, è sostenuta dalla scrivente Commissione.</w:t>
            </w:r>
          </w:p>
        </w:tc>
      </w:tr>
      <w:tr w:rsidR="00FF0A8C" w:rsidRPr="00320235" w:rsidTr="00603633">
        <w:tc>
          <w:tcPr>
            <w:tcW w:w="3055" w:type="dxa"/>
          </w:tcPr>
          <w:p w:rsidR="00FF0A8C" w:rsidRPr="00320235" w:rsidRDefault="00FF0A8C" w:rsidP="001C4BCC">
            <w:pPr>
              <w:ind w:right="-1"/>
              <w:jc w:val="both"/>
              <w:rPr>
                <w:rFonts w:cs="Arial"/>
                <w:b/>
                <w:bCs/>
                <w:sz w:val="20"/>
                <w:szCs w:val="20"/>
              </w:rPr>
            </w:pPr>
            <w:r w:rsidRPr="00320235">
              <w:rPr>
                <w:rFonts w:cs="Arial"/>
                <w:b/>
                <w:bCs/>
                <w:sz w:val="20"/>
                <w:szCs w:val="20"/>
              </w:rPr>
              <w:lastRenderedPageBreak/>
              <w:t>Art. 14</w:t>
            </w:r>
          </w:p>
          <w:p w:rsidR="00FF0A8C" w:rsidRDefault="00FF0A8C" w:rsidP="001C4BCC">
            <w:pPr>
              <w:ind w:right="-1"/>
              <w:jc w:val="both"/>
              <w:rPr>
                <w:rFonts w:cs="Arial"/>
                <w:sz w:val="20"/>
                <w:szCs w:val="20"/>
              </w:rPr>
            </w:pPr>
          </w:p>
          <w:p w:rsidR="00FF0A8C" w:rsidRPr="00320235" w:rsidRDefault="00FF0A8C" w:rsidP="001C4BCC">
            <w:pPr>
              <w:ind w:right="-1"/>
              <w:jc w:val="both"/>
              <w:rPr>
                <w:rFonts w:eastAsia="MS Mincho" w:cs="Arial"/>
                <w:snapToGrid w:val="0"/>
                <w:sz w:val="20"/>
                <w:szCs w:val="20"/>
                <w:lang w:eastAsia="it-IT"/>
              </w:rPr>
            </w:pPr>
            <w:r w:rsidRPr="00320235">
              <w:rPr>
                <w:rFonts w:cs="Arial"/>
                <w:sz w:val="20"/>
                <w:szCs w:val="20"/>
                <w:vertAlign w:val="superscript"/>
              </w:rPr>
              <w:t>1</w:t>
            </w:r>
            <w:r w:rsidRPr="00320235">
              <w:rPr>
                <w:rFonts w:cs="Arial"/>
                <w:sz w:val="20"/>
                <w:szCs w:val="20"/>
              </w:rPr>
              <w:t>La Commissione riferisce sulla personalità del condannato nei casi previsti dal diritto federale (art. 62d cpv. 2, 64b cpv. 2 e 75a cpv. 1 CP).</w:t>
            </w:r>
          </w:p>
        </w:tc>
        <w:tc>
          <w:tcPr>
            <w:tcW w:w="3432" w:type="dxa"/>
          </w:tcPr>
          <w:p w:rsidR="00FF0A8C" w:rsidRPr="005043E5" w:rsidRDefault="00FF0A8C" w:rsidP="001C4BCC">
            <w:pPr>
              <w:jc w:val="both"/>
              <w:rPr>
                <w:rFonts w:eastAsia="Times New Roman" w:cs="Arial"/>
                <w:b/>
                <w:sz w:val="20"/>
                <w:szCs w:val="20"/>
                <w:lang w:val="it-IT" w:eastAsia="it-IT"/>
              </w:rPr>
            </w:pPr>
            <w:r w:rsidRPr="005043E5">
              <w:rPr>
                <w:rFonts w:eastAsia="Times New Roman" w:cs="Arial"/>
                <w:b/>
                <w:sz w:val="20"/>
                <w:szCs w:val="20"/>
                <w:lang w:val="it-IT" w:eastAsia="it-IT"/>
              </w:rPr>
              <w:t>Art. 14</w:t>
            </w:r>
          </w:p>
          <w:p w:rsidR="00FF0A8C" w:rsidRPr="005043E5" w:rsidRDefault="00FF0A8C" w:rsidP="001C4BCC">
            <w:pPr>
              <w:jc w:val="both"/>
              <w:rPr>
                <w:rFonts w:eastAsia="Times New Roman" w:cs="Arial"/>
                <w:sz w:val="20"/>
                <w:szCs w:val="20"/>
                <w:lang w:val="it-IT" w:eastAsia="it-IT"/>
              </w:rPr>
            </w:pPr>
          </w:p>
          <w:p w:rsidR="00FF0A8C" w:rsidRPr="005043E5" w:rsidRDefault="00FF0A8C" w:rsidP="001C4BCC">
            <w:pPr>
              <w:jc w:val="both"/>
              <w:rPr>
                <w:rFonts w:eastAsia="Times New Roman" w:cs="Arial"/>
                <w:sz w:val="20"/>
                <w:szCs w:val="20"/>
                <w:lang w:val="it-IT" w:eastAsia="it-IT"/>
              </w:rPr>
            </w:pPr>
            <w:r w:rsidRPr="005043E5">
              <w:rPr>
                <w:rFonts w:eastAsia="Times New Roman" w:cs="Arial"/>
                <w:sz w:val="20"/>
                <w:szCs w:val="20"/>
                <w:vertAlign w:val="superscript"/>
                <w:lang w:val="it-IT" w:eastAsia="it-IT"/>
              </w:rPr>
              <w:t>1</w:t>
            </w:r>
            <w:r w:rsidRPr="005043E5">
              <w:rPr>
                <w:rFonts w:eastAsia="Times New Roman" w:cs="Arial"/>
                <w:sz w:val="20"/>
                <w:szCs w:val="20"/>
                <w:lang w:val="it-IT" w:eastAsia="it-IT"/>
              </w:rPr>
              <w:t xml:space="preserve">La Commissione riferisce sulla personalità del condannato nei casi previsti dal diritto federale (art. 62d cpv. 2, 64b cpv. 2, 75a cpv. 1 CP e 28 cpv. 3 </w:t>
            </w:r>
            <w:proofErr w:type="spellStart"/>
            <w:r w:rsidRPr="005043E5">
              <w:rPr>
                <w:rFonts w:eastAsia="Times New Roman" w:cs="Arial"/>
                <w:sz w:val="20"/>
                <w:szCs w:val="20"/>
                <w:lang w:val="it-IT" w:eastAsia="it-IT"/>
              </w:rPr>
              <w:t>DPMin</w:t>
            </w:r>
            <w:proofErr w:type="spellEnd"/>
            <w:r w:rsidRPr="005043E5">
              <w:rPr>
                <w:rFonts w:eastAsia="Times New Roman" w:cs="Arial"/>
                <w:sz w:val="20"/>
                <w:szCs w:val="20"/>
                <w:lang w:val="it-IT" w:eastAsia="it-IT"/>
              </w:rPr>
              <w:t>).</w:t>
            </w:r>
          </w:p>
          <w:p w:rsidR="00FF0A8C" w:rsidRPr="00320235" w:rsidRDefault="00FF0A8C" w:rsidP="001C4BCC">
            <w:pPr>
              <w:ind w:right="-1"/>
              <w:jc w:val="both"/>
              <w:rPr>
                <w:rFonts w:eastAsia="MS Mincho" w:cs="Arial"/>
                <w:snapToGrid w:val="0"/>
                <w:sz w:val="20"/>
                <w:szCs w:val="20"/>
                <w:lang w:val="it-IT" w:eastAsia="it-IT"/>
              </w:rPr>
            </w:pPr>
          </w:p>
        </w:tc>
        <w:tc>
          <w:tcPr>
            <w:tcW w:w="3402" w:type="dxa"/>
          </w:tcPr>
          <w:p w:rsidR="00FF0A8C" w:rsidRPr="00320235" w:rsidRDefault="00FF0A8C" w:rsidP="001C4BCC">
            <w:pPr>
              <w:ind w:right="-1"/>
              <w:jc w:val="both"/>
              <w:rPr>
                <w:rFonts w:eastAsia="MS Mincho" w:cs="Arial"/>
                <w:snapToGrid w:val="0"/>
                <w:sz w:val="20"/>
                <w:szCs w:val="20"/>
                <w:lang w:eastAsia="it-IT"/>
              </w:rPr>
            </w:pPr>
            <w:r w:rsidRPr="00320235">
              <w:rPr>
                <w:rFonts w:eastAsia="MS Mincho" w:cs="Arial"/>
                <w:snapToGrid w:val="0"/>
                <w:sz w:val="20"/>
                <w:szCs w:val="20"/>
                <w:lang w:eastAsia="it-IT"/>
              </w:rPr>
              <w:t>La modifica, finalizzata a colmare una lacuna formale (elenco incompleto dei casi previsti dal diritto federale),</w:t>
            </w:r>
            <w:r w:rsidRPr="00320235">
              <w:rPr>
                <w:rFonts w:cs="Arial"/>
                <w:sz w:val="20"/>
                <w:szCs w:val="20"/>
              </w:rPr>
              <w:t xml:space="preserve"> </w:t>
            </w:r>
            <w:r w:rsidRPr="00320235">
              <w:rPr>
                <w:rFonts w:eastAsia="MS Mincho" w:cs="Arial"/>
                <w:snapToGrid w:val="0"/>
                <w:sz w:val="20"/>
                <w:szCs w:val="20"/>
                <w:lang w:eastAsia="it-IT"/>
              </w:rPr>
              <w:t xml:space="preserve">è sostenuta dalla scrivente Commissione </w:t>
            </w:r>
          </w:p>
        </w:tc>
      </w:tr>
      <w:tr w:rsidR="00FF0A8C" w:rsidRPr="00320235" w:rsidTr="00603633">
        <w:tc>
          <w:tcPr>
            <w:tcW w:w="3055" w:type="dxa"/>
          </w:tcPr>
          <w:p w:rsidR="00FF0A8C" w:rsidRPr="00320235" w:rsidRDefault="00FF0A8C" w:rsidP="001C4BCC">
            <w:pPr>
              <w:shd w:val="clear" w:color="auto" w:fill="FFFFFF"/>
              <w:jc w:val="both"/>
              <w:rPr>
                <w:rFonts w:eastAsia="Times New Roman" w:cs="Arial"/>
                <w:b/>
                <w:bCs/>
                <w:sz w:val="20"/>
                <w:szCs w:val="20"/>
                <w:lang w:eastAsia="it-CH"/>
              </w:rPr>
            </w:pPr>
            <w:r w:rsidRPr="00320235">
              <w:rPr>
                <w:rFonts w:eastAsia="Times New Roman" w:cs="Arial"/>
                <w:b/>
                <w:bCs/>
                <w:sz w:val="20"/>
                <w:szCs w:val="20"/>
                <w:lang w:eastAsia="it-CH"/>
              </w:rPr>
              <w:t>Art. 15</w:t>
            </w:r>
          </w:p>
          <w:p w:rsidR="00FF0A8C" w:rsidRPr="00320235" w:rsidRDefault="00FF0A8C" w:rsidP="001C4BCC">
            <w:pPr>
              <w:shd w:val="clear" w:color="auto" w:fill="FFFFFF"/>
              <w:jc w:val="both"/>
              <w:rPr>
                <w:rFonts w:eastAsia="Times New Roman" w:cs="Arial"/>
                <w:sz w:val="20"/>
                <w:szCs w:val="20"/>
                <w:lang w:eastAsia="it-CH"/>
              </w:rPr>
            </w:pPr>
          </w:p>
          <w:p w:rsidR="00FF0A8C" w:rsidRDefault="00FF0A8C" w:rsidP="001C4BCC">
            <w:pPr>
              <w:shd w:val="clear" w:color="auto" w:fill="FFFFFF"/>
              <w:jc w:val="both"/>
              <w:rPr>
                <w:rFonts w:eastAsia="Times New Roman" w:cs="Arial"/>
                <w:sz w:val="20"/>
                <w:szCs w:val="20"/>
                <w:lang w:eastAsia="it-CH"/>
              </w:rPr>
            </w:pPr>
            <w:r w:rsidRPr="00320235">
              <w:rPr>
                <w:rFonts w:eastAsia="Times New Roman" w:cs="Arial"/>
                <w:sz w:val="20"/>
                <w:szCs w:val="20"/>
                <w:vertAlign w:val="superscript"/>
                <w:lang w:eastAsia="it-CH"/>
              </w:rPr>
              <w:t>1</w:t>
            </w:r>
            <w:r w:rsidRPr="00320235">
              <w:rPr>
                <w:rFonts w:eastAsia="Times New Roman" w:cs="Arial"/>
                <w:sz w:val="20"/>
                <w:szCs w:val="20"/>
                <w:lang w:eastAsia="it-CH"/>
              </w:rPr>
              <w:t>L’interdizione dell’esercizio di una professione, di un’industria o di un commercio deve essere comunicata al C</w:t>
            </w:r>
            <w:r>
              <w:rPr>
                <w:rFonts w:eastAsia="Times New Roman" w:cs="Arial"/>
                <w:sz w:val="20"/>
                <w:szCs w:val="20"/>
                <w:lang w:eastAsia="it-CH"/>
              </w:rPr>
              <w:t>onsiglio di Stato (art. 67 CP).</w:t>
            </w:r>
          </w:p>
          <w:p w:rsidR="00FF0A8C" w:rsidRPr="00320235" w:rsidRDefault="00FF0A8C" w:rsidP="001C4BCC">
            <w:pPr>
              <w:shd w:val="clear" w:color="auto" w:fill="FFFFFF"/>
              <w:jc w:val="both"/>
              <w:rPr>
                <w:rFonts w:eastAsia="Times New Roman" w:cs="Arial"/>
                <w:sz w:val="20"/>
                <w:szCs w:val="20"/>
                <w:lang w:eastAsia="it-CH"/>
              </w:rPr>
            </w:pPr>
          </w:p>
          <w:p w:rsidR="00FF0A8C" w:rsidRPr="00320235" w:rsidRDefault="00FF0A8C" w:rsidP="001C4BCC">
            <w:pPr>
              <w:shd w:val="clear" w:color="auto" w:fill="FFFFFF"/>
              <w:jc w:val="both"/>
              <w:rPr>
                <w:rFonts w:eastAsia="Times New Roman" w:cs="Arial"/>
                <w:sz w:val="20"/>
                <w:szCs w:val="20"/>
                <w:lang w:eastAsia="it-CH"/>
              </w:rPr>
            </w:pPr>
            <w:r w:rsidRPr="00320235">
              <w:rPr>
                <w:rFonts w:eastAsia="Times New Roman" w:cs="Arial"/>
                <w:sz w:val="20"/>
                <w:szCs w:val="20"/>
                <w:vertAlign w:val="superscript"/>
                <w:lang w:eastAsia="it-CH"/>
              </w:rPr>
              <w:t>2</w:t>
            </w:r>
            <w:r w:rsidRPr="00320235">
              <w:rPr>
                <w:rFonts w:eastAsia="Times New Roman" w:cs="Arial"/>
                <w:sz w:val="20"/>
                <w:szCs w:val="20"/>
                <w:lang w:eastAsia="it-CH"/>
              </w:rPr>
              <w:t xml:space="preserve">Il giudice dell’applicazione della pena è l’autorità </w:t>
            </w:r>
            <w:proofErr w:type="spellStart"/>
            <w:r w:rsidRPr="00320235">
              <w:rPr>
                <w:rFonts w:eastAsia="Times New Roman" w:cs="Arial"/>
                <w:sz w:val="20"/>
                <w:szCs w:val="20"/>
                <w:lang w:eastAsia="it-CH"/>
              </w:rPr>
              <w:t>compe</w:t>
            </w:r>
            <w:r w:rsidR="003A02EF">
              <w:rPr>
                <w:rFonts w:eastAsia="Times New Roman" w:cs="Arial"/>
                <w:sz w:val="20"/>
                <w:szCs w:val="20"/>
                <w:lang w:eastAsia="it-CH"/>
              </w:rPr>
              <w:t>-</w:t>
            </w:r>
            <w:r w:rsidRPr="00320235">
              <w:rPr>
                <w:rFonts w:eastAsia="Times New Roman" w:cs="Arial"/>
                <w:sz w:val="20"/>
                <w:szCs w:val="20"/>
                <w:lang w:eastAsia="it-CH"/>
              </w:rPr>
              <w:t>tente</w:t>
            </w:r>
            <w:proofErr w:type="spellEnd"/>
            <w:r w:rsidRPr="00320235">
              <w:rPr>
                <w:rFonts w:eastAsia="Times New Roman" w:cs="Arial"/>
                <w:sz w:val="20"/>
                <w:szCs w:val="20"/>
                <w:lang w:eastAsia="it-CH"/>
              </w:rPr>
              <w:t xml:space="preserve"> per decidere l’attenua</w:t>
            </w:r>
            <w:r w:rsidR="003A02EF">
              <w:rPr>
                <w:rFonts w:eastAsia="Times New Roman" w:cs="Arial"/>
                <w:sz w:val="20"/>
                <w:szCs w:val="20"/>
                <w:lang w:eastAsia="it-CH"/>
              </w:rPr>
              <w:t>-</w:t>
            </w:r>
            <w:r w:rsidRPr="00320235">
              <w:rPr>
                <w:rFonts w:eastAsia="Times New Roman" w:cs="Arial"/>
                <w:sz w:val="20"/>
                <w:szCs w:val="20"/>
                <w:lang w:eastAsia="it-CH"/>
              </w:rPr>
              <w:t xml:space="preserve">zione e la soppressione dell’interdizione (art. 67a cpv. 3-5 CP). </w:t>
            </w:r>
          </w:p>
          <w:p w:rsidR="00FF0A8C" w:rsidRPr="00320235" w:rsidRDefault="00FF0A8C" w:rsidP="001C4BCC">
            <w:pPr>
              <w:ind w:right="-1"/>
              <w:jc w:val="both"/>
              <w:rPr>
                <w:rFonts w:cs="Arial"/>
                <w:b/>
                <w:bCs/>
                <w:sz w:val="20"/>
                <w:szCs w:val="20"/>
              </w:rPr>
            </w:pPr>
          </w:p>
        </w:tc>
        <w:tc>
          <w:tcPr>
            <w:tcW w:w="3432" w:type="dxa"/>
          </w:tcPr>
          <w:p w:rsidR="00FF0A8C" w:rsidRPr="005043E5" w:rsidRDefault="00FF0A8C" w:rsidP="001C4BCC">
            <w:pPr>
              <w:jc w:val="both"/>
              <w:rPr>
                <w:rFonts w:eastAsia="Times New Roman" w:cs="Arial"/>
                <w:b/>
                <w:sz w:val="20"/>
                <w:szCs w:val="20"/>
                <w:lang w:val="it-IT" w:eastAsia="it-IT"/>
              </w:rPr>
            </w:pPr>
            <w:r w:rsidRPr="005043E5">
              <w:rPr>
                <w:rFonts w:eastAsia="Times New Roman" w:cs="Arial"/>
                <w:b/>
                <w:sz w:val="20"/>
                <w:szCs w:val="20"/>
                <w:lang w:val="it-IT" w:eastAsia="it-IT"/>
              </w:rPr>
              <w:t>Art. 15</w:t>
            </w:r>
          </w:p>
          <w:p w:rsidR="00FF0A8C" w:rsidRPr="005043E5" w:rsidRDefault="00FF0A8C" w:rsidP="001C4BCC">
            <w:pPr>
              <w:jc w:val="both"/>
              <w:rPr>
                <w:rFonts w:eastAsia="Times New Roman" w:cs="Arial"/>
                <w:sz w:val="20"/>
                <w:szCs w:val="20"/>
                <w:lang w:val="it-IT" w:eastAsia="it-IT"/>
              </w:rPr>
            </w:pPr>
          </w:p>
          <w:p w:rsidR="00FF0A8C" w:rsidRPr="005043E5" w:rsidRDefault="00FF0A8C" w:rsidP="001C4BCC">
            <w:pPr>
              <w:jc w:val="both"/>
              <w:rPr>
                <w:rFonts w:eastAsia="Times New Roman" w:cs="Arial"/>
                <w:sz w:val="20"/>
                <w:szCs w:val="20"/>
                <w:lang w:val="it-IT" w:eastAsia="it-IT"/>
              </w:rPr>
            </w:pPr>
            <w:r w:rsidRPr="005043E5">
              <w:rPr>
                <w:rFonts w:eastAsia="Times New Roman" w:cs="Arial"/>
                <w:sz w:val="20"/>
                <w:szCs w:val="20"/>
                <w:vertAlign w:val="superscript"/>
                <w:lang w:val="it-IT" w:eastAsia="it-IT"/>
              </w:rPr>
              <w:t>1</w:t>
            </w:r>
            <w:r w:rsidRPr="005043E5">
              <w:rPr>
                <w:rFonts w:eastAsia="Times New Roman" w:cs="Arial"/>
                <w:sz w:val="20"/>
                <w:szCs w:val="20"/>
                <w:lang w:val="it-IT" w:eastAsia="it-IT"/>
              </w:rPr>
              <w:t>L’interdizione di esercitare un’attività deve essere comunicata al Consiglio di Stato.</w:t>
            </w:r>
          </w:p>
          <w:p w:rsidR="00FF0A8C" w:rsidRDefault="00FF0A8C" w:rsidP="001C4BCC">
            <w:pPr>
              <w:jc w:val="both"/>
              <w:rPr>
                <w:rFonts w:eastAsia="Times New Roman" w:cs="Arial"/>
                <w:sz w:val="20"/>
                <w:szCs w:val="20"/>
                <w:lang w:val="it-IT" w:eastAsia="it-IT"/>
              </w:rPr>
            </w:pPr>
          </w:p>
          <w:p w:rsidR="00FF0A8C" w:rsidRDefault="00FF0A8C" w:rsidP="001C4BCC">
            <w:pPr>
              <w:jc w:val="both"/>
              <w:rPr>
                <w:rFonts w:eastAsia="Times New Roman" w:cs="Arial"/>
                <w:sz w:val="20"/>
                <w:szCs w:val="20"/>
                <w:lang w:val="it-IT" w:eastAsia="it-IT"/>
              </w:rPr>
            </w:pPr>
          </w:p>
          <w:p w:rsidR="00FF0A8C" w:rsidRPr="005043E5" w:rsidRDefault="00FF0A8C" w:rsidP="001C4BCC">
            <w:pPr>
              <w:jc w:val="both"/>
              <w:rPr>
                <w:rFonts w:eastAsia="Times New Roman" w:cs="Arial"/>
                <w:sz w:val="20"/>
                <w:szCs w:val="20"/>
                <w:lang w:val="it-IT" w:eastAsia="it-IT"/>
              </w:rPr>
            </w:pPr>
          </w:p>
          <w:p w:rsidR="00FF0A8C" w:rsidRPr="005043E5" w:rsidRDefault="00FF0A8C" w:rsidP="001C4BCC">
            <w:pPr>
              <w:jc w:val="both"/>
              <w:rPr>
                <w:rFonts w:eastAsia="Times New Roman" w:cs="Arial"/>
                <w:sz w:val="20"/>
                <w:szCs w:val="20"/>
                <w:lang w:eastAsia="it-IT"/>
              </w:rPr>
            </w:pPr>
            <w:r w:rsidRPr="005043E5">
              <w:rPr>
                <w:rFonts w:eastAsia="Times New Roman" w:cs="Arial"/>
                <w:sz w:val="20"/>
                <w:szCs w:val="20"/>
                <w:vertAlign w:val="superscript"/>
                <w:lang w:val="it-IT" w:eastAsia="it-IT"/>
              </w:rPr>
              <w:t>2</w:t>
            </w:r>
            <w:r w:rsidRPr="005043E5">
              <w:rPr>
                <w:rFonts w:eastAsia="Times New Roman" w:cs="Arial"/>
                <w:sz w:val="20"/>
                <w:szCs w:val="20"/>
                <w:lang w:val="it-IT" w:eastAsia="it-IT"/>
              </w:rPr>
              <w:t>Il giudice dell’applicazione della pena è l’autorità competente per decidere in materia di interdizione come pure del divieto di avere contatti e di accedere ad aree determinate.</w:t>
            </w:r>
          </w:p>
          <w:p w:rsidR="00FF0A8C" w:rsidRPr="005043E5" w:rsidRDefault="00FF0A8C" w:rsidP="001C4BCC">
            <w:pPr>
              <w:jc w:val="both"/>
              <w:rPr>
                <w:rFonts w:eastAsia="Times New Roman" w:cs="Arial"/>
                <w:sz w:val="20"/>
                <w:szCs w:val="20"/>
                <w:lang w:val="it-IT" w:eastAsia="it-IT"/>
              </w:rPr>
            </w:pPr>
          </w:p>
          <w:p w:rsidR="00FF0A8C" w:rsidRPr="00320235" w:rsidRDefault="00FF0A8C" w:rsidP="001C4BCC">
            <w:pPr>
              <w:jc w:val="both"/>
              <w:rPr>
                <w:rFonts w:eastAsia="Times New Roman" w:cs="Arial"/>
                <w:b/>
                <w:sz w:val="20"/>
                <w:szCs w:val="20"/>
                <w:lang w:val="it-IT" w:eastAsia="it-IT"/>
              </w:rPr>
            </w:pPr>
          </w:p>
        </w:tc>
        <w:tc>
          <w:tcPr>
            <w:tcW w:w="3402" w:type="dxa"/>
          </w:tcPr>
          <w:p w:rsidR="00FF0A8C" w:rsidRDefault="00FF0A8C" w:rsidP="001C4BCC">
            <w:pPr>
              <w:ind w:right="-1"/>
              <w:jc w:val="both"/>
              <w:rPr>
                <w:rFonts w:eastAsia="MS Mincho" w:cs="Arial"/>
                <w:snapToGrid w:val="0"/>
                <w:sz w:val="20"/>
                <w:szCs w:val="20"/>
                <w:lang w:eastAsia="it-IT"/>
              </w:rPr>
            </w:pPr>
            <w:r w:rsidRPr="00320235">
              <w:rPr>
                <w:rFonts w:eastAsia="MS Mincho" w:cs="Arial"/>
                <w:snapToGrid w:val="0"/>
                <w:sz w:val="20"/>
                <w:szCs w:val="20"/>
                <w:lang w:eastAsia="it-IT"/>
              </w:rPr>
              <w:t xml:space="preserve">La modifica, che costituisce un adeguamento linguistico rispetto all’art. 67 CP, entrato in vigore il 1. gennaio 2015, è sostenuta dalla scrivente Commissione. </w:t>
            </w:r>
          </w:p>
          <w:p w:rsidR="00FF0A8C" w:rsidRDefault="00FF0A8C" w:rsidP="001C4BCC">
            <w:pPr>
              <w:ind w:right="-1"/>
              <w:jc w:val="both"/>
              <w:rPr>
                <w:rFonts w:eastAsia="MS Mincho" w:cs="Arial"/>
                <w:snapToGrid w:val="0"/>
                <w:sz w:val="20"/>
                <w:szCs w:val="20"/>
                <w:lang w:eastAsia="it-IT"/>
              </w:rPr>
            </w:pPr>
            <w:r>
              <w:rPr>
                <w:rFonts w:eastAsia="MS Mincho" w:cs="Arial"/>
                <w:snapToGrid w:val="0"/>
                <w:sz w:val="20"/>
                <w:szCs w:val="20"/>
                <w:lang w:eastAsia="it-IT"/>
              </w:rPr>
              <w:t>Il Consiglio di Stato, per tecnica legislativa, propone inoltre di esplicitare il riferimento alle norme federali nel marginale dell’articolo e di non più menzionare tali norme nel corpo dell’articolo.</w:t>
            </w:r>
          </w:p>
          <w:p w:rsidR="00FF0A8C" w:rsidRPr="00320235" w:rsidRDefault="00FF0A8C" w:rsidP="001C4BCC">
            <w:pPr>
              <w:ind w:right="-1"/>
              <w:jc w:val="both"/>
              <w:rPr>
                <w:rFonts w:eastAsia="MS Mincho" w:cs="Arial"/>
                <w:snapToGrid w:val="0"/>
                <w:sz w:val="20"/>
                <w:szCs w:val="20"/>
                <w:lang w:eastAsia="it-IT"/>
              </w:rPr>
            </w:pPr>
            <w:r>
              <w:rPr>
                <w:rFonts w:eastAsia="MS Mincho" w:cs="Arial"/>
                <w:snapToGrid w:val="0"/>
                <w:sz w:val="20"/>
                <w:szCs w:val="20"/>
                <w:lang w:eastAsia="it-IT"/>
              </w:rPr>
              <w:t>La Commissione sostiene questa proposta.</w:t>
            </w:r>
          </w:p>
        </w:tc>
      </w:tr>
      <w:tr w:rsidR="00FF0A8C" w:rsidRPr="00603633" w:rsidTr="00603633">
        <w:tc>
          <w:tcPr>
            <w:tcW w:w="3055" w:type="dxa"/>
          </w:tcPr>
          <w:p w:rsidR="00FF0A8C" w:rsidRPr="00603633" w:rsidRDefault="00FF0A8C" w:rsidP="001C4BCC">
            <w:pPr>
              <w:ind w:right="-1"/>
              <w:jc w:val="both"/>
              <w:rPr>
                <w:rFonts w:cs="Arial"/>
                <w:sz w:val="20"/>
                <w:szCs w:val="20"/>
              </w:rPr>
            </w:pPr>
            <w:r w:rsidRPr="00603633">
              <w:rPr>
                <w:rFonts w:cs="Arial"/>
                <w:b/>
                <w:bCs/>
                <w:sz w:val="20"/>
                <w:szCs w:val="20"/>
              </w:rPr>
              <w:t>Art. 16</w:t>
            </w:r>
            <w:r w:rsidRPr="00603633">
              <w:rPr>
                <w:rFonts w:cs="Arial"/>
                <w:sz w:val="20"/>
                <w:szCs w:val="20"/>
              </w:rPr>
              <w:t xml:space="preserve"> </w:t>
            </w:r>
          </w:p>
          <w:p w:rsidR="00FF0A8C" w:rsidRPr="00603633" w:rsidRDefault="00FF0A8C" w:rsidP="001C4BCC">
            <w:pPr>
              <w:ind w:right="-1"/>
              <w:jc w:val="both"/>
              <w:rPr>
                <w:rFonts w:cs="Arial"/>
                <w:sz w:val="20"/>
                <w:szCs w:val="20"/>
              </w:rPr>
            </w:pPr>
          </w:p>
          <w:p w:rsidR="00FF0A8C" w:rsidRPr="00603633" w:rsidRDefault="00FF0A8C" w:rsidP="001C4BCC">
            <w:pPr>
              <w:ind w:right="-1"/>
              <w:jc w:val="both"/>
              <w:rPr>
                <w:rFonts w:cs="Arial"/>
                <w:b/>
                <w:bCs/>
                <w:sz w:val="20"/>
                <w:szCs w:val="20"/>
              </w:rPr>
            </w:pPr>
            <w:r w:rsidRPr="00603633">
              <w:rPr>
                <w:rFonts w:cs="Arial"/>
                <w:sz w:val="20"/>
                <w:szCs w:val="20"/>
              </w:rPr>
              <w:t>Il divieto di condurre un veicolo a motore deve essere comuni</w:t>
            </w:r>
            <w:r w:rsidR="003A02EF">
              <w:rPr>
                <w:rFonts w:cs="Arial"/>
                <w:sz w:val="20"/>
                <w:szCs w:val="20"/>
              </w:rPr>
              <w:t>-</w:t>
            </w:r>
            <w:proofErr w:type="spellStart"/>
            <w:r w:rsidRPr="00603633">
              <w:rPr>
                <w:rFonts w:cs="Arial"/>
                <w:sz w:val="20"/>
                <w:szCs w:val="20"/>
              </w:rPr>
              <w:t>cato</w:t>
            </w:r>
            <w:proofErr w:type="spellEnd"/>
            <w:r w:rsidRPr="00603633">
              <w:rPr>
                <w:rFonts w:cs="Arial"/>
                <w:sz w:val="20"/>
                <w:szCs w:val="20"/>
              </w:rPr>
              <w:t xml:space="preserve"> all’autorità designata dal Consiglio di Stato (art. 67b CP).</w:t>
            </w:r>
          </w:p>
        </w:tc>
        <w:tc>
          <w:tcPr>
            <w:tcW w:w="3432" w:type="dxa"/>
          </w:tcPr>
          <w:p w:rsidR="00FF0A8C" w:rsidRPr="00603633" w:rsidRDefault="00FF0A8C" w:rsidP="001C4BCC">
            <w:pPr>
              <w:jc w:val="both"/>
              <w:rPr>
                <w:rFonts w:eastAsia="Times New Roman" w:cs="Arial"/>
                <w:b/>
                <w:sz w:val="20"/>
                <w:szCs w:val="20"/>
                <w:lang w:val="it-IT" w:eastAsia="it-IT"/>
              </w:rPr>
            </w:pPr>
            <w:r w:rsidRPr="00603633">
              <w:rPr>
                <w:rFonts w:eastAsia="Times New Roman" w:cs="Arial"/>
                <w:b/>
                <w:sz w:val="20"/>
                <w:szCs w:val="20"/>
                <w:lang w:val="it-IT" w:eastAsia="it-IT"/>
              </w:rPr>
              <w:t>Art. 16</w:t>
            </w:r>
          </w:p>
          <w:p w:rsidR="00FF0A8C" w:rsidRPr="00603633" w:rsidRDefault="00FF0A8C" w:rsidP="001C4BCC">
            <w:pPr>
              <w:jc w:val="both"/>
              <w:rPr>
                <w:rFonts w:eastAsia="Times New Roman" w:cs="Arial"/>
                <w:sz w:val="20"/>
                <w:szCs w:val="20"/>
                <w:lang w:val="it-IT" w:eastAsia="it-IT"/>
              </w:rPr>
            </w:pPr>
          </w:p>
          <w:p w:rsidR="00FF0A8C" w:rsidRPr="00603633" w:rsidRDefault="00FF0A8C" w:rsidP="001C4BCC">
            <w:pPr>
              <w:jc w:val="both"/>
              <w:rPr>
                <w:rFonts w:eastAsia="Times New Roman" w:cs="Arial"/>
                <w:b/>
                <w:sz w:val="20"/>
                <w:szCs w:val="20"/>
                <w:lang w:val="it-IT" w:eastAsia="it-IT"/>
              </w:rPr>
            </w:pPr>
            <w:r w:rsidRPr="00603633">
              <w:rPr>
                <w:rFonts w:eastAsia="Times New Roman" w:cs="Arial"/>
                <w:sz w:val="20"/>
                <w:szCs w:val="20"/>
                <w:lang w:val="it-IT" w:eastAsia="it-IT"/>
              </w:rPr>
              <w:t>Il divieto di condurre un veicolo a motore deve essere comunicato all’autorità designata dal Consiglio di Stato.</w:t>
            </w:r>
          </w:p>
        </w:tc>
        <w:tc>
          <w:tcPr>
            <w:tcW w:w="3402" w:type="dxa"/>
          </w:tcPr>
          <w:p w:rsidR="00FF0A8C" w:rsidRPr="00603633" w:rsidRDefault="00FF0A8C" w:rsidP="001C4BCC">
            <w:pPr>
              <w:ind w:right="-1"/>
              <w:jc w:val="both"/>
              <w:rPr>
                <w:rFonts w:eastAsia="MS Mincho" w:cs="Arial"/>
                <w:snapToGrid w:val="0"/>
                <w:sz w:val="20"/>
                <w:szCs w:val="20"/>
                <w:lang w:eastAsia="it-IT"/>
              </w:rPr>
            </w:pPr>
            <w:r w:rsidRPr="00603633">
              <w:rPr>
                <w:rFonts w:eastAsia="MS Mincho" w:cs="Arial"/>
                <w:snapToGrid w:val="0"/>
                <w:sz w:val="20"/>
                <w:szCs w:val="20"/>
                <w:lang w:eastAsia="it-IT"/>
              </w:rPr>
              <w:t xml:space="preserve">Con la modifica legislativa entrata in vigore il 1. gennaio 2015 il divieto di condurre è ora previsto dall’art. 67e CP. </w:t>
            </w:r>
          </w:p>
          <w:p w:rsidR="00FF0A8C" w:rsidRPr="00603633" w:rsidRDefault="00FF0A8C" w:rsidP="001C4BCC">
            <w:pPr>
              <w:ind w:right="-1"/>
              <w:jc w:val="both"/>
              <w:rPr>
                <w:rFonts w:eastAsia="MS Mincho" w:cs="Arial"/>
                <w:snapToGrid w:val="0"/>
                <w:sz w:val="20"/>
                <w:szCs w:val="20"/>
                <w:lang w:eastAsia="it-IT"/>
              </w:rPr>
            </w:pPr>
            <w:r w:rsidRPr="00603633">
              <w:rPr>
                <w:rFonts w:eastAsia="MS Mincho" w:cs="Arial"/>
                <w:snapToGrid w:val="0"/>
                <w:sz w:val="20"/>
                <w:szCs w:val="20"/>
                <w:lang w:eastAsia="it-IT"/>
              </w:rPr>
              <w:t>Come per l’art. 15 il Consiglio di Stato propone di modificare di esplicitare il riferimento alla norma federale nel marginale dell’articolo e di non più menzionare tale norma nel corpo dell’articolo.</w:t>
            </w:r>
          </w:p>
          <w:p w:rsidR="00FF0A8C" w:rsidRPr="00603633" w:rsidRDefault="00FF0A8C" w:rsidP="001C4BCC">
            <w:pPr>
              <w:ind w:right="-1"/>
              <w:jc w:val="both"/>
              <w:rPr>
                <w:rFonts w:eastAsia="MS Mincho" w:cs="Arial"/>
                <w:snapToGrid w:val="0"/>
                <w:sz w:val="20"/>
                <w:szCs w:val="20"/>
                <w:lang w:eastAsia="it-IT"/>
              </w:rPr>
            </w:pPr>
            <w:r w:rsidRPr="00603633">
              <w:rPr>
                <w:rFonts w:eastAsia="MS Mincho" w:cs="Arial"/>
                <w:snapToGrid w:val="0"/>
                <w:sz w:val="20"/>
                <w:szCs w:val="20"/>
                <w:lang w:eastAsia="it-IT"/>
              </w:rPr>
              <w:t>La Commissione sostiene questa proposta.</w:t>
            </w:r>
          </w:p>
        </w:tc>
      </w:tr>
    </w:tbl>
    <w:p w:rsidR="00FF0A8C" w:rsidRDefault="00FF0A8C" w:rsidP="00FF0A8C">
      <w:pPr>
        <w:ind w:right="-1"/>
        <w:rPr>
          <w:rFonts w:eastAsia="MS Mincho" w:cs="Times New Roman"/>
          <w:snapToGrid w:val="0"/>
          <w:szCs w:val="24"/>
          <w:lang w:eastAsia="it-IT"/>
        </w:rPr>
      </w:pPr>
    </w:p>
    <w:p w:rsidR="00FF0A8C" w:rsidRDefault="00FF0A8C" w:rsidP="00FF0A8C">
      <w:pPr>
        <w:ind w:right="-1"/>
        <w:rPr>
          <w:rFonts w:eastAsia="MS Mincho" w:cs="Times New Roman"/>
          <w:snapToGrid w:val="0"/>
          <w:szCs w:val="24"/>
          <w:lang w:eastAsia="it-IT"/>
        </w:rPr>
      </w:pPr>
    </w:p>
    <w:p w:rsidR="00FF0A8C" w:rsidRPr="0091238C" w:rsidRDefault="00FF0A8C" w:rsidP="00FF0A8C">
      <w:pPr>
        <w:ind w:right="-1"/>
        <w:rPr>
          <w:rFonts w:eastAsia="MS Mincho" w:cs="Times New Roman"/>
          <w:snapToGrid w:val="0"/>
          <w:szCs w:val="24"/>
          <w:lang w:eastAsia="it-IT"/>
        </w:rPr>
      </w:pPr>
    </w:p>
    <w:p w:rsidR="00FF0A8C" w:rsidRPr="00FF0A8C" w:rsidRDefault="00FF0A8C" w:rsidP="00FF0A8C">
      <w:pPr>
        <w:numPr>
          <w:ilvl w:val="0"/>
          <w:numId w:val="5"/>
        </w:numPr>
        <w:tabs>
          <w:tab w:val="left" w:pos="426"/>
        </w:tabs>
        <w:spacing w:after="160"/>
        <w:ind w:left="0" w:right="-1" w:firstLine="0"/>
        <w:jc w:val="left"/>
        <w:rPr>
          <w:rFonts w:eastAsia="MS Mincho" w:cs="Times New Roman"/>
          <w:b/>
          <w:snapToGrid w:val="0"/>
          <w:szCs w:val="24"/>
          <w:lang w:eastAsia="it-IT"/>
        </w:rPr>
      </w:pPr>
      <w:r w:rsidRPr="00FF0A8C">
        <w:rPr>
          <w:rFonts w:eastAsia="MS Mincho" w:cs="Times New Roman"/>
          <w:b/>
          <w:snapToGrid w:val="0"/>
          <w:szCs w:val="24"/>
          <w:lang w:eastAsia="it-IT"/>
        </w:rPr>
        <w:t>CONCLUSIONI</w:t>
      </w:r>
    </w:p>
    <w:p w:rsidR="00FF0A8C" w:rsidRDefault="00FF0A8C" w:rsidP="00FF0A8C">
      <w:pPr>
        <w:ind w:right="-1"/>
        <w:rPr>
          <w:rFonts w:eastAsia="MS Mincho" w:cs="Times New Roman"/>
          <w:snapToGrid w:val="0"/>
          <w:szCs w:val="24"/>
          <w:lang w:eastAsia="it-IT"/>
        </w:rPr>
      </w:pPr>
      <w:r w:rsidRPr="00F619A4">
        <w:rPr>
          <w:rFonts w:eastAsia="MS Mincho" w:cs="Times New Roman"/>
          <w:snapToGrid w:val="0"/>
          <w:szCs w:val="24"/>
          <w:lang w:eastAsia="it-IT"/>
        </w:rPr>
        <w:t xml:space="preserve">Per i motivi </w:t>
      </w:r>
      <w:r>
        <w:rPr>
          <w:rFonts w:eastAsia="MS Mincho" w:cs="Times New Roman"/>
          <w:snapToGrid w:val="0"/>
          <w:szCs w:val="24"/>
          <w:lang w:eastAsia="it-IT"/>
        </w:rPr>
        <w:t>che precedono la Commissione raccomanda al Gran Consiglio di accogliere il presente rapporto e di adottare il disegno di legge allegato</w:t>
      </w:r>
      <w:r w:rsidR="00A74C3B">
        <w:rPr>
          <w:rFonts w:eastAsia="MS Mincho" w:cs="Times New Roman"/>
          <w:snapToGrid w:val="0"/>
          <w:szCs w:val="24"/>
          <w:lang w:eastAsia="it-IT"/>
        </w:rPr>
        <w:t xml:space="preserve"> al messaggio governativo</w:t>
      </w:r>
      <w:r>
        <w:rPr>
          <w:rFonts w:eastAsia="MS Mincho" w:cs="Times New Roman"/>
          <w:snapToGrid w:val="0"/>
          <w:szCs w:val="24"/>
          <w:lang w:eastAsia="it-IT"/>
        </w:rPr>
        <w:t>.</w:t>
      </w:r>
    </w:p>
    <w:p w:rsidR="00FF0A8C" w:rsidRDefault="00FF0A8C" w:rsidP="00FF0A8C">
      <w:pPr>
        <w:ind w:right="-1"/>
        <w:rPr>
          <w:rFonts w:eastAsia="MS Mincho" w:cs="Times New Roman"/>
          <w:snapToGrid w:val="0"/>
          <w:szCs w:val="24"/>
          <w:lang w:eastAsia="it-IT"/>
        </w:rPr>
      </w:pPr>
    </w:p>
    <w:p w:rsidR="00FF0A8C" w:rsidRDefault="00FF0A8C" w:rsidP="00FF0A8C">
      <w:pPr>
        <w:ind w:right="-1"/>
        <w:rPr>
          <w:rFonts w:eastAsia="MS Mincho" w:cs="Times New Roman"/>
          <w:snapToGrid w:val="0"/>
          <w:szCs w:val="24"/>
          <w:lang w:eastAsia="it-IT"/>
        </w:rPr>
      </w:pPr>
    </w:p>
    <w:p w:rsidR="00FF0A8C" w:rsidRDefault="00FF0A8C" w:rsidP="00FF0A8C">
      <w:pPr>
        <w:ind w:right="-1"/>
        <w:rPr>
          <w:rFonts w:eastAsia="MS Mincho" w:cs="Times New Roman"/>
          <w:snapToGrid w:val="0"/>
          <w:szCs w:val="24"/>
          <w:lang w:eastAsia="it-IT"/>
        </w:rPr>
      </w:pPr>
    </w:p>
    <w:p w:rsidR="00FF0A8C" w:rsidRPr="00A612B5" w:rsidRDefault="00FF0A8C" w:rsidP="00FF0A8C">
      <w:pPr>
        <w:pStyle w:val="Corpotesto"/>
        <w:tabs>
          <w:tab w:val="clear" w:pos="284"/>
          <w:tab w:val="clear" w:pos="426"/>
          <w:tab w:val="clear" w:pos="4962"/>
        </w:tabs>
        <w:spacing w:after="120"/>
        <w:ind w:right="-1"/>
        <w:rPr>
          <w:rFonts w:cs="Arial"/>
          <w:lang w:val="it-CH"/>
        </w:rPr>
      </w:pPr>
      <w:r w:rsidRPr="00A612B5">
        <w:rPr>
          <w:rFonts w:cs="Arial"/>
          <w:lang w:val="it-CH"/>
        </w:rPr>
        <w:t>Per la Commissione della legislazione</w:t>
      </w:r>
    </w:p>
    <w:p w:rsidR="00FF0A8C" w:rsidRPr="00F857E9" w:rsidRDefault="00FF0A8C" w:rsidP="00603633">
      <w:r>
        <w:t>Maurizio Agustoni</w:t>
      </w:r>
      <w:r w:rsidRPr="00F857E9">
        <w:t>, relatore</w:t>
      </w:r>
    </w:p>
    <w:p w:rsidR="00603633" w:rsidRDefault="00603633" w:rsidP="00603633">
      <w:pPr>
        <w:rPr>
          <w:rFonts w:cs="Arial"/>
        </w:rPr>
      </w:pPr>
      <w:r>
        <w:rPr>
          <w:rFonts w:cs="Arial"/>
        </w:rPr>
        <w:t xml:space="preserve">Aldi - Celio - </w:t>
      </w:r>
      <w:r w:rsidR="00490FCA">
        <w:rPr>
          <w:rFonts w:cs="Arial"/>
        </w:rPr>
        <w:t xml:space="preserve">Corti - </w:t>
      </w:r>
      <w:r>
        <w:rPr>
          <w:rFonts w:cs="Arial"/>
        </w:rPr>
        <w:t xml:space="preserve">Delcò Petralli - Ducry - Ferrara - </w:t>
      </w:r>
    </w:p>
    <w:p w:rsidR="00603633" w:rsidRDefault="00603633" w:rsidP="00603633">
      <w:pPr>
        <w:rPr>
          <w:rFonts w:cs="Arial"/>
        </w:rPr>
      </w:pPr>
      <w:r>
        <w:rPr>
          <w:rFonts w:cs="Arial"/>
        </w:rPr>
        <w:t xml:space="preserve">Filippini - Galusero - Gendotti - Ghisolfi - </w:t>
      </w:r>
    </w:p>
    <w:p w:rsidR="00603633" w:rsidRPr="005E5056" w:rsidRDefault="00603633" w:rsidP="00603633">
      <w:pPr>
        <w:rPr>
          <w:rFonts w:cs="Arial"/>
        </w:rPr>
      </w:pPr>
      <w:r>
        <w:rPr>
          <w:rFonts w:cs="Arial"/>
        </w:rPr>
        <w:t>Giudici - Lepori - Minotti - Rückert - Viscardi</w:t>
      </w:r>
    </w:p>
    <w:p w:rsidR="00076E70" w:rsidRPr="00076E70" w:rsidRDefault="00076E70" w:rsidP="00076E70">
      <w:pPr>
        <w:autoSpaceDE w:val="0"/>
        <w:autoSpaceDN w:val="0"/>
        <w:adjustRightInd w:val="0"/>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CF" w:rsidRDefault="00C628CF" w:rsidP="008E77C6">
      <w:r>
        <w:separator/>
      </w:r>
    </w:p>
  </w:endnote>
  <w:endnote w:type="continuationSeparator" w:id="0">
    <w:p w:rsidR="00C628CF" w:rsidRDefault="00C628CF"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A55E4" w:rsidRPr="001A55E4">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CF" w:rsidRDefault="00C628CF" w:rsidP="008E77C6">
      <w:r>
        <w:separator/>
      </w:r>
    </w:p>
  </w:footnote>
  <w:footnote w:type="continuationSeparator" w:id="0">
    <w:p w:rsidR="00C628CF" w:rsidRDefault="00C628CF"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39E840EF"/>
    <w:multiLevelType w:val="hybridMultilevel"/>
    <w:tmpl w:val="0E84349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420B6B1B"/>
    <w:multiLevelType w:val="hybridMultilevel"/>
    <w:tmpl w:val="29E0FBB6"/>
    <w:lvl w:ilvl="0" w:tplc="B518FF5C">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A55E4"/>
    <w:rsid w:val="002E5E40"/>
    <w:rsid w:val="003A02EF"/>
    <w:rsid w:val="00490FCA"/>
    <w:rsid w:val="0052425A"/>
    <w:rsid w:val="00586A8D"/>
    <w:rsid w:val="00603633"/>
    <w:rsid w:val="006D7A3B"/>
    <w:rsid w:val="007B5462"/>
    <w:rsid w:val="008034BD"/>
    <w:rsid w:val="00876352"/>
    <w:rsid w:val="008B4137"/>
    <w:rsid w:val="008C767A"/>
    <w:rsid w:val="008E77C6"/>
    <w:rsid w:val="009770BB"/>
    <w:rsid w:val="009E008D"/>
    <w:rsid w:val="00A5465F"/>
    <w:rsid w:val="00A74C3B"/>
    <w:rsid w:val="00A77678"/>
    <w:rsid w:val="00BC4C95"/>
    <w:rsid w:val="00BD5944"/>
    <w:rsid w:val="00C628CF"/>
    <w:rsid w:val="00CF6858"/>
    <w:rsid w:val="00D377B5"/>
    <w:rsid w:val="00D93B31"/>
    <w:rsid w:val="00FF0A8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FF0A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FF0A8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FF0A8C"/>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6036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3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FF0A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FF0A8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FF0A8C"/>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6036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3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77910-D6F1-4AC4-877B-31733780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1575</Words>
  <Characters>9010</Characters>
  <Application>Microsoft Office Word</Application>
  <DocSecurity>0</DocSecurity>
  <Lines>219</Lines>
  <Paragraphs>77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2017-11-30T13:58:00Z</cp:lastPrinted>
  <dcterms:created xsi:type="dcterms:W3CDTF">2017-11-29T09:47:00Z</dcterms:created>
  <dcterms:modified xsi:type="dcterms:W3CDTF">2017-11-30T14:12:00Z</dcterms:modified>
</cp:coreProperties>
</file>