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37" w:rsidRDefault="005E7D2D" w:rsidP="00076E70">
      <w:r w:rsidRPr="004C79B7">
        <w:rPr>
          <w:rFonts w:ascii="Gill Sans MT" w:hAnsi="Gill Sans MT"/>
          <w:b/>
          <w:sz w:val="52"/>
          <w:szCs w:val="52"/>
        </w:rPr>
        <w:t>Rapporto</w:t>
      </w:r>
      <w:bookmarkStart w:id="0" w:name="_GoBack"/>
      <w:bookmarkEnd w:id="0"/>
    </w:p>
    <w:p w:rsidR="00102B8B" w:rsidRDefault="00102B8B" w:rsidP="00076E70"/>
    <w:p w:rsidR="008B4137" w:rsidRDefault="008B4137">
      <w:pPr>
        <w:rPr>
          <w:rFonts w:cs="Arial"/>
          <w:szCs w:val="24"/>
        </w:rPr>
      </w:pPr>
    </w:p>
    <w:p w:rsidR="00076E70" w:rsidRDefault="00076E70">
      <w:pPr>
        <w:rPr>
          <w:rFonts w:cs="Arial"/>
          <w:szCs w:val="24"/>
        </w:rPr>
      </w:pPr>
    </w:p>
    <w:p w:rsidR="00260C8C" w:rsidRDefault="005C3B98" w:rsidP="00260C8C">
      <w:pPr>
        <w:tabs>
          <w:tab w:val="left" w:pos="2098"/>
          <w:tab w:val="left" w:pos="4933"/>
        </w:tabs>
        <w:rPr>
          <w:rFonts w:cs="Arial"/>
          <w:szCs w:val="24"/>
        </w:rPr>
      </w:pPr>
      <w:r>
        <w:rPr>
          <w:rFonts w:cs="Arial"/>
          <w:b/>
          <w:sz w:val="32"/>
          <w:szCs w:val="32"/>
        </w:rPr>
        <w:t>7469</w:t>
      </w:r>
      <w:r w:rsidR="00260C8C" w:rsidRPr="008B4137">
        <w:rPr>
          <w:rFonts w:cs="Arial"/>
          <w:b/>
          <w:sz w:val="32"/>
          <w:szCs w:val="32"/>
        </w:rPr>
        <w:t xml:space="preserve"> R</w:t>
      </w:r>
      <w:r w:rsidR="00260C8C" w:rsidRPr="008B4137">
        <w:rPr>
          <w:rFonts w:cs="Arial"/>
          <w:sz w:val="28"/>
          <w:szCs w:val="28"/>
        </w:rPr>
        <w:tab/>
      </w:r>
      <w:r>
        <w:rPr>
          <w:rFonts w:cs="Arial"/>
          <w:sz w:val="28"/>
          <w:szCs w:val="28"/>
        </w:rPr>
        <w:t>6 dicembre 2018</w:t>
      </w:r>
      <w:r w:rsidR="00260C8C" w:rsidRPr="008B4137">
        <w:rPr>
          <w:rFonts w:cs="Arial"/>
          <w:sz w:val="28"/>
          <w:szCs w:val="28"/>
        </w:rPr>
        <w:tab/>
      </w:r>
      <w:r>
        <w:rPr>
          <w:sz w:val="28"/>
        </w:rPr>
        <w:t>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8B4137" w:rsidRDefault="00260C8C" w:rsidP="00260C8C">
      <w:pPr>
        <w:rPr>
          <w:rFonts w:cs="Arial"/>
          <w:b/>
          <w:sz w:val="28"/>
          <w:szCs w:val="28"/>
        </w:rPr>
      </w:pPr>
      <w:r w:rsidRPr="008B4137">
        <w:rPr>
          <w:rFonts w:cs="Arial"/>
          <w:b/>
          <w:sz w:val="28"/>
          <w:szCs w:val="28"/>
        </w:rPr>
        <w:t xml:space="preserve">della Commissione </w:t>
      </w:r>
      <w:r w:rsidR="005C3B98">
        <w:rPr>
          <w:rFonts w:cs="Arial"/>
          <w:b/>
          <w:sz w:val="28"/>
          <w:szCs w:val="28"/>
        </w:rPr>
        <w:t xml:space="preserve">speciale </w:t>
      </w:r>
      <w:r w:rsidR="005C3B98" w:rsidRPr="007461C7">
        <w:rPr>
          <w:rFonts w:eastAsia="Times New Roman" w:cs="Times New Roman"/>
          <w:b/>
          <w:position w:val="4"/>
          <w:sz w:val="28"/>
          <w:szCs w:val="28"/>
          <w:lang w:eastAsia="it-IT"/>
        </w:rPr>
        <w:t>pianificazione del territorio</w:t>
      </w:r>
    </w:p>
    <w:p w:rsidR="00260C8C" w:rsidRPr="008B2655" w:rsidRDefault="001574D7" w:rsidP="00E765A9">
      <w:pPr>
        <w:rPr>
          <w:rFonts w:cs="Arial"/>
          <w:b/>
          <w:sz w:val="26"/>
          <w:szCs w:val="26"/>
        </w:rPr>
      </w:pPr>
      <w:r w:rsidRPr="000D6BD0">
        <w:rPr>
          <w:rFonts w:cs="Arial"/>
          <w:b/>
          <w:sz w:val="28"/>
          <w:szCs w:val="28"/>
        </w:rPr>
        <w:t>sul</w:t>
      </w:r>
      <w:r w:rsidR="00E765A9">
        <w:rPr>
          <w:rFonts w:cs="Arial"/>
          <w:b/>
          <w:sz w:val="28"/>
          <w:szCs w:val="28"/>
        </w:rPr>
        <w:t xml:space="preserve"> messaggio</w:t>
      </w:r>
      <w:r w:rsidR="007352D3">
        <w:rPr>
          <w:rFonts w:cs="Arial"/>
          <w:b/>
          <w:sz w:val="26"/>
          <w:szCs w:val="26"/>
        </w:rPr>
        <w:t xml:space="preserve"> </w:t>
      </w:r>
      <w:r w:rsidR="005C3B98" w:rsidRPr="007461C7">
        <w:rPr>
          <w:rFonts w:eastAsia="Times New Roman" w:cs="Times New Roman"/>
          <w:b/>
          <w:position w:val="4"/>
          <w:sz w:val="28"/>
          <w:szCs w:val="28"/>
          <w:lang w:eastAsia="it-IT"/>
        </w:rPr>
        <w:t>13 dicembre 2017 concernente la modifica della Legge sullo sviluppo territoriale del 21 giugno 2011 (LST) – Compensazione di vantaggi e svantaggi derivanti dalla pianificazione del territorio</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5C3B98" w:rsidRPr="005C3B98" w:rsidRDefault="005C3B98" w:rsidP="005C3B98">
      <w:pPr>
        <w:pStyle w:val="Titolo1"/>
      </w:pPr>
      <w:r w:rsidRPr="005C3B98">
        <w:t>Premessa</w:t>
      </w:r>
    </w:p>
    <w:p w:rsidR="005C3B98" w:rsidRPr="007461C7" w:rsidRDefault="005C3B98" w:rsidP="005C3B98">
      <w:pPr>
        <w:rPr>
          <w:rFonts w:cs="Arial"/>
          <w:szCs w:val="24"/>
        </w:rPr>
      </w:pPr>
      <w:r w:rsidRPr="007461C7">
        <w:rPr>
          <w:rFonts w:cs="Arial"/>
          <w:szCs w:val="24"/>
        </w:rPr>
        <w:t xml:space="preserve">Con il Messaggio </w:t>
      </w:r>
      <w:r>
        <w:rPr>
          <w:rFonts w:cs="Arial"/>
          <w:szCs w:val="24"/>
        </w:rPr>
        <w:t>che qui ci occupa</w:t>
      </w:r>
      <w:r w:rsidRPr="007461C7">
        <w:rPr>
          <w:rFonts w:cs="Arial"/>
          <w:szCs w:val="24"/>
        </w:rPr>
        <w:t xml:space="preserve"> il Consiglio di Stato sottopone al Parlamento una proposta di modifica della Legge sullo sviluppo territoriale del 21 giugno 2011 (</w:t>
      </w:r>
      <w:r w:rsidRPr="007461C7">
        <w:rPr>
          <w:rFonts w:cs="Arial"/>
          <w:i/>
          <w:szCs w:val="24"/>
        </w:rPr>
        <w:t>LST; RL 701.100</w:t>
      </w:r>
      <w:r w:rsidRPr="007461C7">
        <w:rPr>
          <w:rFonts w:cs="Arial"/>
          <w:szCs w:val="24"/>
        </w:rPr>
        <w:t>), resasi necessaria in seguito ad una sentenza del Tribunale federale (</w:t>
      </w:r>
      <w:r w:rsidRPr="007461C7">
        <w:rPr>
          <w:rFonts w:cs="Arial"/>
          <w:i/>
          <w:szCs w:val="24"/>
        </w:rPr>
        <w:t>1C_132/2015 del 16 agosto 2017</w:t>
      </w:r>
      <w:r w:rsidRPr="007461C7">
        <w:rPr>
          <w:rFonts w:cs="Arial"/>
          <w:szCs w:val="24"/>
        </w:rPr>
        <w:t>), che ha portato all’annullamento dell’art. 93 cpv. 1 e 2 LST, nella misura in cui stabilisce l’esenzione dal pagamento di contributi nel caso in cui l’aumento di valore di un terreno sia inferiore a CHF 100'000.--.</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 xml:space="preserve">Il tema della compensazione di vantaggi e svantaggi derivanti da misure </w:t>
      </w:r>
      <w:proofErr w:type="spellStart"/>
      <w:r w:rsidRPr="007461C7">
        <w:rPr>
          <w:rFonts w:cs="Arial"/>
          <w:szCs w:val="24"/>
        </w:rPr>
        <w:t>pianificatorie</w:t>
      </w:r>
      <w:proofErr w:type="spellEnd"/>
      <w:r w:rsidRPr="007461C7">
        <w:rPr>
          <w:rFonts w:cs="Arial"/>
          <w:szCs w:val="24"/>
        </w:rPr>
        <w:t xml:space="preserve"> è da tempo oggetto di discussioni a livello politico. In effetti, partendo dal presupposto che la pianificazione del territorio non è un concetto statico, bensì continuamente soggetta a provvedimenti dell’ente pubblico, ne discende che il valore dei singoli fondi è sottoposto a variazioni: quando l’effetto</w:t>
      </w:r>
      <w:r>
        <w:rPr>
          <w:rFonts w:cs="Arial"/>
          <w:szCs w:val="24"/>
        </w:rPr>
        <w:t xml:space="preserve"> per il proprietario</w:t>
      </w:r>
      <w:r w:rsidRPr="007461C7">
        <w:rPr>
          <w:rFonts w:cs="Arial"/>
          <w:szCs w:val="24"/>
        </w:rPr>
        <w:t xml:space="preserve"> è positivo si parla di vantaggi, quando è negativo di svantaggi. In questo contesto, il quadro giuridico relativo alla materia è ben illustrato nel Messaggio 6728 del 18 dicembre 2012, che riguarda l’introduzione della compensazione di vantaggi e svantaggi derivanti dalla pianificazione del territorio.  Il plusvalore risultante da una modifica </w:t>
      </w:r>
      <w:proofErr w:type="spellStart"/>
      <w:r w:rsidRPr="007461C7">
        <w:rPr>
          <w:rFonts w:cs="Arial"/>
          <w:szCs w:val="24"/>
        </w:rPr>
        <w:t>pianificatoria</w:t>
      </w:r>
      <w:proofErr w:type="spellEnd"/>
      <w:r w:rsidRPr="007461C7">
        <w:rPr>
          <w:rFonts w:cs="Arial"/>
          <w:szCs w:val="24"/>
        </w:rPr>
        <w:t xml:space="preserve"> è un tributo causale indipendente, che può essere prelevato dai Cantoni o dai Comuni (</w:t>
      </w:r>
      <w:r w:rsidRPr="007461C7">
        <w:rPr>
          <w:rFonts w:cs="Arial"/>
          <w:i/>
          <w:szCs w:val="24"/>
        </w:rPr>
        <w:t>DTF 142 I 177</w:t>
      </w:r>
      <w:r w:rsidRPr="007461C7">
        <w:rPr>
          <w:rFonts w:cs="Arial"/>
          <w:szCs w:val="24"/>
        </w:rPr>
        <w:t xml:space="preserve">). Esso non è quindi né una tassa né un’imposta, ma un contributo dovuto per motivi di equità giuridica, giustificato dal fatto che misure di pianificazione, quali ad esempio nuovi azzonamenti e importanti </w:t>
      </w:r>
      <w:proofErr w:type="spellStart"/>
      <w:r w:rsidRPr="007461C7">
        <w:rPr>
          <w:rFonts w:cs="Arial"/>
          <w:szCs w:val="24"/>
        </w:rPr>
        <w:t>densificazioni</w:t>
      </w:r>
      <w:proofErr w:type="spellEnd"/>
      <w:r w:rsidRPr="007461C7">
        <w:rPr>
          <w:rFonts w:cs="Arial"/>
          <w:szCs w:val="24"/>
        </w:rPr>
        <w:t xml:space="preserve">, possono comportare vantaggi economici rilevanti per il proprietario di un fondo, in maniera del tutto gratuita. </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In seguito a un lungo iter legislativo e dopo essere state approvate in votazione popolare, il 1° maggio 2014, sono entrate in vigore diverse nuove disposizioni della Legge federale sulla pianificazione del territorio (</w:t>
      </w:r>
      <w:r w:rsidRPr="007461C7">
        <w:rPr>
          <w:rFonts w:cs="Arial"/>
          <w:i/>
          <w:szCs w:val="24"/>
        </w:rPr>
        <w:t>LPT; RS 700</w:t>
      </w:r>
      <w:r w:rsidRPr="007461C7">
        <w:rPr>
          <w:rFonts w:cs="Arial"/>
          <w:szCs w:val="24"/>
        </w:rPr>
        <w:t>), tra cui il revisionato art. 5, che stabilisce alcuni principi di fondo affini al prelievo di plusvalenze generate da vantaggi derivanti dalla pianificazione del territorio.</w:t>
      </w:r>
    </w:p>
    <w:p w:rsidR="005C3B98" w:rsidRDefault="005C3B98" w:rsidP="005C3B98">
      <w:pPr>
        <w:rPr>
          <w:rFonts w:cs="Arial"/>
          <w:szCs w:val="24"/>
        </w:rPr>
      </w:pPr>
    </w:p>
    <w:p w:rsidR="005C3B98" w:rsidRDefault="005C3B98">
      <w:pPr>
        <w:rPr>
          <w:rFonts w:cs="Arial"/>
          <w:szCs w:val="24"/>
        </w:rPr>
      </w:pPr>
      <w:r>
        <w:rPr>
          <w:rFonts w:cs="Arial"/>
          <w:szCs w:val="24"/>
        </w:rPr>
        <w:br w:type="page"/>
      </w:r>
    </w:p>
    <w:p w:rsidR="005C3B98" w:rsidRPr="007461C7" w:rsidRDefault="005C3B98" w:rsidP="005C3B98">
      <w:pPr>
        <w:rPr>
          <w:rFonts w:cs="Arial"/>
          <w:szCs w:val="24"/>
        </w:rPr>
      </w:pPr>
      <w:r w:rsidRPr="007461C7">
        <w:rPr>
          <w:rFonts w:cs="Arial"/>
          <w:szCs w:val="24"/>
        </w:rPr>
        <w:lastRenderedPageBreak/>
        <w:t>L’art. 5 LPT</w:t>
      </w:r>
      <w:r w:rsidRPr="007461C7">
        <w:rPr>
          <w:rFonts w:cs="Arial"/>
          <w:szCs w:val="24"/>
          <w:vertAlign w:val="superscript"/>
        </w:rPr>
        <w:footnoteReference w:id="1"/>
      </w:r>
      <w:r w:rsidRPr="007461C7">
        <w:rPr>
          <w:rFonts w:cs="Arial"/>
          <w:szCs w:val="24"/>
        </w:rPr>
        <w:t xml:space="preserve"> attualmente in vigore ha il seguente tenore:</w:t>
      </w:r>
    </w:p>
    <w:p w:rsidR="005C3B98" w:rsidRPr="007461C7" w:rsidRDefault="005C3B98" w:rsidP="005C3B98">
      <w:pPr>
        <w:rPr>
          <w:rFonts w:cs="Arial"/>
          <w:szCs w:val="24"/>
        </w:rPr>
      </w:pP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567" w:right="567"/>
        <w:rPr>
          <w:rFonts w:ascii="Times New Roman" w:eastAsia="Times New Roman" w:hAnsi="Times New Roman" w:cs="Times New Roman"/>
          <w:b/>
          <w:i/>
          <w:sz w:val="20"/>
          <w:szCs w:val="20"/>
          <w:lang w:eastAsia="it-IT"/>
        </w:rPr>
      </w:pPr>
      <w:r w:rsidRPr="007461C7">
        <w:rPr>
          <w:rFonts w:ascii="Times New Roman" w:eastAsia="Times New Roman" w:hAnsi="Times New Roman" w:cs="Times New Roman"/>
          <w:b/>
          <w:i/>
          <w:sz w:val="20"/>
          <w:szCs w:val="20"/>
          <w:lang w:eastAsia="it-IT"/>
        </w:rPr>
        <w:t>Legge federale sulla pianificazione del territorio</w:t>
      </w: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1134" w:right="567" w:hanging="567"/>
        <w:rPr>
          <w:rFonts w:ascii="Times New Roman" w:eastAsia="Times New Roman" w:hAnsi="Times New Roman" w:cs="Times New Roman"/>
          <w:b/>
          <w:i/>
          <w:sz w:val="20"/>
          <w:szCs w:val="20"/>
          <w:lang w:eastAsia="it-IT"/>
        </w:rPr>
      </w:pPr>
      <w:r w:rsidRPr="007461C7">
        <w:rPr>
          <w:rFonts w:ascii="Times New Roman" w:eastAsia="Times New Roman" w:hAnsi="Times New Roman" w:cs="Times New Roman"/>
          <w:b/>
          <w:i/>
          <w:sz w:val="20"/>
          <w:szCs w:val="20"/>
          <w:lang w:eastAsia="it-IT"/>
        </w:rPr>
        <w:t>Art. 5</w:t>
      </w:r>
      <w:r w:rsidRPr="007461C7">
        <w:rPr>
          <w:rFonts w:ascii="Times New Roman" w:eastAsia="Times New Roman" w:hAnsi="Times New Roman" w:cs="Times New Roman"/>
          <w:b/>
          <w:i/>
          <w:sz w:val="20"/>
          <w:szCs w:val="20"/>
          <w:lang w:eastAsia="it-IT"/>
        </w:rPr>
        <w:tab/>
        <w:t>Compensazione e indennizzo</w:t>
      </w: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567" w:right="567"/>
        <w:rPr>
          <w:rFonts w:ascii="Times New Roman" w:eastAsia="Times New Roman" w:hAnsi="Times New Roman" w:cs="Times New Roman"/>
          <w:i/>
          <w:sz w:val="20"/>
          <w:szCs w:val="20"/>
          <w:lang w:val="it-IT" w:eastAsia="it-IT"/>
        </w:rPr>
      </w:pPr>
      <w:r w:rsidRPr="007461C7">
        <w:rPr>
          <w:rFonts w:ascii="Times New Roman" w:eastAsia="Times New Roman" w:hAnsi="Times New Roman" w:cs="Times New Roman"/>
          <w:i/>
          <w:sz w:val="20"/>
          <w:szCs w:val="20"/>
          <w:vertAlign w:val="superscript"/>
          <w:lang w:val="it-IT" w:eastAsia="it-IT"/>
        </w:rPr>
        <w:t xml:space="preserve">1 </w:t>
      </w:r>
      <w:r w:rsidRPr="007461C7">
        <w:rPr>
          <w:rFonts w:ascii="Times New Roman" w:eastAsia="Times New Roman" w:hAnsi="Times New Roman" w:cs="Times New Roman"/>
          <w:i/>
          <w:sz w:val="20"/>
          <w:szCs w:val="20"/>
          <w:lang w:val="it-IT" w:eastAsia="it-IT"/>
        </w:rPr>
        <w:t>Il diritto cantonale prevede un’adeguata compensazione di vantaggi o svantaggi rilevanti, derivanti da pianificazioni secondo la presente legge.</w:t>
      </w: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567" w:right="567"/>
        <w:rPr>
          <w:rFonts w:ascii="Times New Roman" w:eastAsia="Times New Roman" w:hAnsi="Times New Roman" w:cs="Times New Roman"/>
          <w:i/>
          <w:sz w:val="20"/>
          <w:szCs w:val="20"/>
          <w:lang w:val="it-IT" w:eastAsia="it-IT"/>
        </w:rPr>
      </w:pPr>
      <w:r w:rsidRPr="007461C7">
        <w:rPr>
          <w:rFonts w:ascii="Times New Roman" w:eastAsia="Times New Roman" w:hAnsi="Times New Roman" w:cs="Times New Roman"/>
          <w:i/>
          <w:sz w:val="20"/>
          <w:szCs w:val="20"/>
          <w:vertAlign w:val="superscript"/>
          <w:lang w:val="it-IT" w:eastAsia="it-IT"/>
        </w:rPr>
        <w:t xml:space="preserve">1bis </w:t>
      </w:r>
      <w:r w:rsidRPr="007461C7">
        <w:rPr>
          <w:rFonts w:ascii="Times New Roman" w:eastAsia="Times New Roman" w:hAnsi="Times New Roman" w:cs="Times New Roman"/>
          <w:i/>
          <w:sz w:val="20"/>
          <w:szCs w:val="20"/>
          <w:lang w:val="it-IT" w:eastAsia="it-IT"/>
        </w:rPr>
        <w:t>I vantaggi derivanti da pianificazioni sono compensati con un’aliquota del 20 per cento almeno. La compensazione diventa esigibile se il fondo è edificato o alienato. Il diritto cantonale imposta la compensazione in modo da compensare quantomeno il plusvalore derivante dall’assegnazione durevole del terreno a una zona edificabile.</w:t>
      </w: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567" w:right="567"/>
        <w:rPr>
          <w:rFonts w:ascii="Times New Roman" w:eastAsia="Times New Roman" w:hAnsi="Times New Roman" w:cs="Times New Roman"/>
          <w:i/>
          <w:sz w:val="20"/>
          <w:szCs w:val="20"/>
          <w:lang w:val="it-IT" w:eastAsia="it-IT"/>
        </w:rPr>
      </w:pPr>
      <w:r w:rsidRPr="007461C7">
        <w:rPr>
          <w:rFonts w:ascii="Times New Roman" w:eastAsia="Times New Roman" w:hAnsi="Times New Roman" w:cs="Times New Roman"/>
          <w:i/>
          <w:sz w:val="20"/>
          <w:szCs w:val="20"/>
          <w:vertAlign w:val="superscript"/>
          <w:lang w:val="it-IT" w:eastAsia="it-IT"/>
        </w:rPr>
        <w:t xml:space="preserve">1ter </w:t>
      </w:r>
      <w:r w:rsidRPr="007461C7">
        <w:rPr>
          <w:rFonts w:ascii="Times New Roman" w:eastAsia="Times New Roman" w:hAnsi="Times New Roman" w:cs="Times New Roman"/>
          <w:i/>
          <w:sz w:val="20"/>
          <w:szCs w:val="20"/>
          <w:lang w:val="it-IT" w:eastAsia="it-IT"/>
        </w:rPr>
        <w:t xml:space="preserve">Il prodotto è utilizzato per misure di cui al capoverso 2 o per altre misure </w:t>
      </w:r>
      <w:proofErr w:type="spellStart"/>
      <w:r w:rsidRPr="007461C7">
        <w:rPr>
          <w:rFonts w:ascii="Times New Roman" w:eastAsia="Times New Roman" w:hAnsi="Times New Roman" w:cs="Times New Roman"/>
          <w:i/>
          <w:sz w:val="20"/>
          <w:szCs w:val="20"/>
          <w:lang w:val="it-IT" w:eastAsia="it-IT"/>
        </w:rPr>
        <w:t>pianificatorie</w:t>
      </w:r>
      <w:proofErr w:type="spellEnd"/>
      <w:r w:rsidRPr="007461C7">
        <w:rPr>
          <w:rFonts w:ascii="Times New Roman" w:eastAsia="Times New Roman" w:hAnsi="Times New Roman" w:cs="Times New Roman"/>
          <w:i/>
          <w:sz w:val="20"/>
          <w:szCs w:val="20"/>
          <w:lang w:val="it-IT" w:eastAsia="it-IT"/>
        </w:rPr>
        <w:t xml:space="preserve"> di cui all’articolo 3 in particolare ai capoversi 2 lettera a e 3 lettera </w:t>
      </w:r>
      <w:proofErr w:type="spellStart"/>
      <w:r w:rsidRPr="007461C7">
        <w:rPr>
          <w:rFonts w:ascii="Times New Roman" w:eastAsia="Times New Roman" w:hAnsi="Times New Roman" w:cs="Times New Roman"/>
          <w:i/>
          <w:sz w:val="20"/>
          <w:szCs w:val="20"/>
          <w:lang w:val="it-IT" w:eastAsia="it-IT"/>
        </w:rPr>
        <w:t>a</w:t>
      </w:r>
      <w:r w:rsidRPr="007461C7">
        <w:rPr>
          <w:rFonts w:ascii="Times New Roman" w:eastAsia="Times New Roman" w:hAnsi="Times New Roman" w:cs="Times New Roman"/>
          <w:i/>
          <w:sz w:val="20"/>
          <w:szCs w:val="20"/>
          <w:vertAlign w:val="superscript"/>
          <w:lang w:val="it-IT" w:eastAsia="it-IT"/>
        </w:rPr>
        <w:t>bis</w:t>
      </w:r>
      <w:proofErr w:type="spellEnd"/>
      <w:r w:rsidRPr="007461C7">
        <w:rPr>
          <w:rFonts w:ascii="Times New Roman" w:eastAsia="Times New Roman" w:hAnsi="Times New Roman" w:cs="Times New Roman"/>
          <w:i/>
          <w:sz w:val="20"/>
          <w:szCs w:val="20"/>
          <w:lang w:val="it-IT" w:eastAsia="it-IT"/>
        </w:rPr>
        <w:t>.</w:t>
      </w: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567" w:right="567"/>
        <w:rPr>
          <w:rFonts w:ascii="Times New Roman" w:eastAsia="Times New Roman" w:hAnsi="Times New Roman" w:cs="Times New Roman"/>
          <w:i/>
          <w:sz w:val="20"/>
          <w:szCs w:val="20"/>
          <w:lang w:val="it-IT" w:eastAsia="it-IT"/>
        </w:rPr>
      </w:pPr>
      <w:r w:rsidRPr="007461C7">
        <w:rPr>
          <w:rFonts w:ascii="Times New Roman" w:eastAsia="Times New Roman" w:hAnsi="Times New Roman" w:cs="Times New Roman"/>
          <w:i/>
          <w:sz w:val="20"/>
          <w:szCs w:val="20"/>
          <w:vertAlign w:val="superscript"/>
          <w:lang w:val="it-IT" w:eastAsia="it-IT"/>
        </w:rPr>
        <w:t xml:space="preserve">1quater </w:t>
      </w:r>
      <w:r w:rsidRPr="007461C7">
        <w:rPr>
          <w:rFonts w:ascii="Times New Roman" w:eastAsia="Times New Roman" w:hAnsi="Times New Roman" w:cs="Times New Roman"/>
          <w:i/>
          <w:sz w:val="20"/>
          <w:szCs w:val="20"/>
          <w:lang w:val="it-IT" w:eastAsia="it-IT"/>
        </w:rPr>
        <w:t>Per il calcolo della tassa, del vantaggio derivante da pianificazioni in occasione di un azzonamento è dedotto l’importo che è utilizzato entro un congruo termine per l’acquisto di un edificio agricolo sostitutivo per la gestione in proprio.</w:t>
      </w: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567" w:right="567"/>
        <w:rPr>
          <w:rFonts w:ascii="Times New Roman" w:eastAsia="Times New Roman" w:hAnsi="Times New Roman" w:cs="Times New Roman"/>
          <w:i/>
          <w:sz w:val="20"/>
          <w:szCs w:val="20"/>
          <w:lang w:val="it-IT" w:eastAsia="it-IT"/>
        </w:rPr>
      </w:pPr>
      <w:r w:rsidRPr="007461C7">
        <w:rPr>
          <w:rFonts w:ascii="Times New Roman" w:eastAsia="Times New Roman" w:hAnsi="Times New Roman" w:cs="Times New Roman"/>
          <w:i/>
          <w:sz w:val="20"/>
          <w:szCs w:val="20"/>
          <w:vertAlign w:val="superscript"/>
          <w:lang w:val="it-IT" w:eastAsia="it-IT"/>
        </w:rPr>
        <w:t xml:space="preserve">1quinquies </w:t>
      </w:r>
      <w:r w:rsidRPr="007461C7">
        <w:rPr>
          <w:rFonts w:ascii="Times New Roman" w:eastAsia="Times New Roman" w:hAnsi="Times New Roman" w:cs="Times New Roman"/>
          <w:i/>
          <w:sz w:val="20"/>
          <w:szCs w:val="20"/>
          <w:lang w:val="it-IT" w:eastAsia="it-IT"/>
        </w:rPr>
        <w:t>Il diritto cantonale può rinunciare alla riscossione della tassa se:</w:t>
      </w: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851" w:right="567" w:hanging="284"/>
        <w:rPr>
          <w:rFonts w:ascii="Times New Roman" w:eastAsia="Times New Roman" w:hAnsi="Times New Roman" w:cs="Times New Roman"/>
          <w:i/>
          <w:sz w:val="20"/>
          <w:szCs w:val="20"/>
          <w:lang w:val="it-IT" w:eastAsia="it-IT"/>
        </w:rPr>
      </w:pPr>
      <w:r w:rsidRPr="007461C7">
        <w:rPr>
          <w:rFonts w:ascii="Times New Roman" w:eastAsia="Times New Roman" w:hAnsi="Times New Roman" w:cs="Times New Roman"/>
          <w:i/>
          <w:sz w:val="20"/>
          <w:szCs w:val="20"/>
          <w:lang w:val="it-IT" w:eastAsia="it-IT"/>
        </w:rPr>
        <w:t>a.</w:t>
      </w:r>
      <w:r w:rsidRPr="007461C7">
        <w:rPr>
          <w:rFonts w:ascii="Times New Roman" w:eastAsia="Times New Roman" w:hAnsi="Times New Roman" w:cs="Times New Roman"/>
          <w:i/>
          <w:sz w:val="20"/>
          <w:szCs w:val="20"/>
          <w:lang w:val="it-IT" w:eastAsia="it-IT"/>
        </w:rPr>
        <w:tab/>
        <w:t>la tassa è dovuta da un ente pubblico; o</w:t>
      </w: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851" w:right="567" w:hanging="284"/>
        <w:rPr>
          <w:rFonts w:ascii="Times New Roman" w:eastAsia="Times New Roman" w:hAnsi="Times New Roman" w:cs="Times New Roman"/>
          <w:i/>
          <w:sz w:val="20"/>
          <w:szCs w:val="20"/>
          <w:lang w:val="it-IT" w:eastAsia="it-IT"/>
        </w:rPr>
      </w:pPr>
      <w:r w:rsidRPr="007461C7">
        <w:rPr>
          <w:rFonts w:ascii="Times New Roman" w:eastAsia="Times New Roman" w:hAnsi="Times New Roman" w:cs="Times New Roman"/>
          <w:i/>
          <w:sz w:val="20"/>
          <w:szCs w:val="20"/>
          <w:lang w:val="it-IT" w:eastAsia="it-IT"/>
        </w:rPr>
        <w:t>b.</w:t>
      </w:r>
      <w:r w:rsidRPr="007461C7">
        <w:rPr>
          <w:rFonts w:ascii="Times New Roman" w:eastAsia="Times New Roman" w:hAnsi="Times New Roman" w:cs="Times New Roman"/>
          <w:i/>
          <w:sz w:val="20"/>
          <w:szCs w:val="20"/>
          <w:lang w:val="it-IT" w:eastAsia="it-IT"/>
        </w:rPr>
        <w:tab/>
        <w:t>il prodotto della tassa prevedibile è insufficiente rispetto alle spese di riscossione.</w:t>
      </w: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567" w:right="567"/>
        <w:rPr>
          <w:rFonts w:ascii="Times New Roman" w:eastAsia="Times New Roman" w:hAnsi="Times New Roman" w:cs="Times New Roman"/>
          <w:i/>
          <w:sz w:val="20"/>
          <w:szCs w:val="20"/>
          <w:lang w:val="it-IT" w:eastAsia="it-IT"/>
        </w:rPr>
      </w:pPr>
      <w:r w:rsidRPr="007461C7">
        <w:rPr>
          <w:rFonts w:ascii="Times New Roman" w:eastAsia="Times New Roman" w:hAnsi="Times New Roman" w:cs="Times New Roman"/>
          <w:i/>
          <w:sz w:val="20"/>
          <w:szCs w:val="20"/>
          <w:vertAlign w:val="superscript"/>
          <w:lang w:val="it-IT" w:eastAsia="it-IT"/>
        </w:rPr>
        <w:t xml:space="preserve">1sexies </w:t>
      </w:r>
      <w:r w:rsidRPr="007461C7">
        <w:rPr>
          <w:rFonts w:ascii="Times New Roman" w:eastAsia="Times New Roman" w:hAnsi="Times New Roman" w:cs="Times New Roman"/>
          <w:i/>
          <w:sz w:val="20"/>
          <w:szCs w:val="20"/>
          <w:lang w:val="it-IT" w:eastAsia="it-IT"/>
        </w:rPr>
        <w:t>In caso di imposta sugli utili da sostanza immobiliare, la tassa pagata è dedotta dall’utile quale parte delle spese.</w:t>
      </w: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567" w:right="567"/>
        <w:rPr>
          <w:rFonts w:ascii="Times New Roman" w:eastAsia="Times New Roman" w:hAnsi="Times New Roman" w:cs="Times New Roman"/>
          <w:i/>
          <w:sz w:val="20"/>
          <w:szCs w:val="20"/>
          <w:lang w:val="it-IT" w:eastAsia="it-IT"/>
        </w:rPr>
      </w:pPr>
      <w:r w:rsidRPr="007461C7">
        <w:rPr>
          <w:rFonts w:ascii="Times New Roman" w:eastAsia="Times New Roman" w:hAnsi="Times New Roman" w:cs="Times New Roman"/>
          <w:i/>
          <w:sz w:val="20"/>
          <w:szCs w:val="20"/>
          <w:vertAlign w:val="superscript"/>
          <w:lang w:val="it-IT" w:eastAsia="it-IT"/>
        </w:rPr>
        <w:t xml:space="preserve">2 </w:t>
      </w:r>
      <w:r w:rsidRPr="007461C7">
        <w:rPr>
          <w:rFonts w:ascii="Times New Roman" w:eastAsia="Times New Roman" w:hAnsi="Times New Roman" w:cs="Times New Roman"/>
          <w:i/>
          <w:sz w:val="20"/>
          <w:szCs w:val="20"/>
          <w:lang w:val="it-IT" w:eastAsia="it-IT"/>
        </w:rPr>
        <w:t>Per le restrizioni della proprietà equivalenti a espropriazione, derivanti da pianificazioni secondo la presente legge, è dovuta piena indennità.</w:t>
      </w:r>
    </w:p>
    <w:p w:rsidR="005C3B98" w:rsidRPr="007461C7" w:rsidRDefault="005C3B98" w:rsidP="005C3B98">
      <w:pPr>
        <w:pBdr>
          <w:top w:val="single" w:sz="4" w:space="1" w:color="auto"/>
          <w:left w:val="single" w:sz="4" w:space="4" w:color="auto"/>
          <w:bottom w:val="single" w:sz="4" w:space="1" w:color="auto"/>
          <w:right w:val="single" w:sz="4" w:space="4" w:color="auto"/>
        </w:pBdr>
        <w:spacing w:before="60"/>
        <w:ind w:left="567" w:right="567"/>
        <w:rPr>
          <w:rFonts w:ascii="Times New Roman" w:eastAsia="Times New Roman" w:hAnsi="Times New Roman" w:cs="Times New Roman"/>
          <w:i/>
          <w:sz w:val="20"/>
          <w:szCs w:val="20"/>
          <w:lang w:val="it-IT" w:eastAsia="it-IT"/>
        </w:rPr>
      </w:pPr>
      <w:r w:rsidRPr="007461C7">
        <w:rPr>
          <w:rFonts w:ascii="Times New Roman" w:eastAsia="Times New Roman" w:hAnsi="Times New Roman" w:cs="Times New Roman"/>
          <w:i/>
          <w:sz w:val="20"/>
          <w:szCs w:val="20"/>
          <w:vertAlign w:val="superscript"/>
          <w:lang w:val="it-IT" w:eastAsia="it-IT"/>
        </w:rPr>
        <w:t xml:space="preserve">3 </w:t>
      </w:r>
      <w:r w:rsidRPr="007461C7">
        <w:rPr>
          <w:rFonts w:ascii="Times New Roman" w:eastAsia="Times New Roman" w:hAnsi="Times New Roman" w:cs="Times New Roman"/>
          <w:i/>
          <w:sz w:val="20"/>
          <w:szCs w:val="20"/>
          <w:lang w:val="it-IT" w:eastAsia="it-IT"/>
        </w:rPr>
        <w:t xml:space="preserve">I Cantoni possono prescrivere che il pagamento di indennità per restrizioni della proprietà sia menzionato nel registro fondiario. </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 xml:space="preserve">Lo scopo dell’art. 5 LPT è quindi quello di conferire un mandato imperativo ai Cantoni di creare un sistema di compensazioni di plus e minusvalenze, senza stabilire però il regime esatto di compensazione. L’art. 5 </w:t>
      </w:r>
      <w:proofErr w:type="spellStart"/>
      <w:r w:rsidRPr="007461C7">
        <w:rPr>
          <w:rFonts w:cs="Arial"/>
          <w:szCs w:val="24"/>
        </w:rPr>
        <w:t>cpv</w:t>
      </w:r>
      <w:proofErr w:type="spellEnd"/>
      <w:r w:rsidRPr="007461C7">
        <w:rPr>
          <w:rFonts w:cs="Arial"/>
          <w:szCs w:val="24"/>
        </w:rPr>
        <w:t>, 1</w:t>
      </w:r>
      <w:r w:rsidRPr="007461C7">
        <w:rPr>
          <w:rFonts w:cs="Arial"/>
          <w:szCs w:val="24"/>
          <w:vertAlign w:val="superscript"/>
        </w:rPr>
        <w:t>bis</w:t>
      </w:r>
      <w:r w:rsidRPr="007461C7">
        <w:rPr>
          <w:rFonts w:cs="Arial"/>
          <w:szCs w:val="24"/>
        </w:rPr>
        <w:t xml:space="preserve"> LPT prevede una regolamentazione minima del prelievo di plusvalore derivante dalla pianificazione, ma i Cantoni sono liberi di predisporre un prelievo sul plusvalore anche per altre fattispecie oltre ai casi di azzonamento, come ad esempio per le </w:t>
      </w:r>
      <w:proofErr w:type="spellStart"/>
      <w:r w:rsidRPr="007461C7">
        <w:rPr>
          <w:rFonts w:cs="Arial"/>
          <w:szCs w:val="24"/>
        </w:rPr>
        <w:t>densificazioni</w:t>
      </w:r>
      <w:proofErr w:type="spellEnd"/>
      <w:r w:rsidRPr="007461C7">
        <w:rPr>
          <w:rFonts w:cs="Arial"/>
          <w:szCs w:val="24"/>
        </w:rPr>
        <w:t xml:space="preserve"> o per i cambiamenti di destinazione. </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 xml:space="preserve">Il tema principale è senz’altro quello di comprendere la portata del concetto di </w:t>
      </w:r>
      <w:r w:rsidRPr="007461C7">
        <w:rPr>
          <w:rFonts w:cs="Arial"/>
          <w:szCs w:val="24"/>
          <w:u w:val="single"/>
        </w:rPr>
        <w:t>vantaggi e svantaggi rilevanti</w:t>
      </w:r>
      <w:r w:rsidRPr="007461C7">
        <w:rPr>
          <w:rFonts w:cs="Arial"/>
          <w:szCs w:val="24"/>
        </w:rPr>
        <w:t xml:space="preserve">, considerando che l’intento della disposizione è quello di ossequiare il principio di proporzionalità ed evitare un dispendio amministrativo e finanziario eccessivo in caso di aumenti di valore insignificanti. L’art. 5 </w:t>
      </w:r>
      <w:proofErr w:type="spellStart"/>
      <w:r w:rsidRPr="007461C7">
        <w:rPr>
          <w:rFonts w:cs="Arial"/>
          <w:szCs w:val="24"/>
        </w:rPr>
        <w:t>cpv</w:t>
      </w:r>
      <w:proofErr w:type="spellEnd"/>
      <w:r w:rsidRPr="007461C7">
        <w:rPr>
          <w:rFonts w:cs="Arial"/>
          <w:szCs w:val="24"/>
        </w:rPr>
        <w:t xml:space="preserve"> 1</w:t>
      </w:r>
      <w:r w:rsidRPr="007461C7">
        <w:rPr>
          <w:rFonts w:cs="Arial"/>
          <w:szCs w:val="24"/>
          <w:vertAlign w:val="superscript"/>
        </w:rPr>
        <w:t>quinquies</w:t>
      </w:r>
      <w:r w:rsidRPr="007461C7">
        <w:rPr>
          <w:rFonts w:cs="Arial"/>
          <w:szCs w:val="24"/>
        </w:rPr>
        <w:t xml:space="preserve"> LPT lascia inoltre ai Cantoni la possibilità di fissare un importo esente da contributi, se il prodotto della tassa prevedibile è insufficiente rispetto alle spese di riscossione, ovvero se i dispendi amministrativi e finanziari sarebbero sproporzionati rispetto all’incasso prevedibile. La legge federale non prevede dunque un esplicito valore soglia entro il quale definire i casi bagatella. Nell’ambito dei lavori parlamentari una proposta presentata dal Consiglio degli Stati, che prevedeva di esentare plusvalori inferiori a CHF 30'000.--, non venne condivisa dal Consiglio nazionale e fu quindi rigettata, con conseguente rinuncia da parte del legislatore federale a stabilire quote minime. Ogni Cantone ha quindi adottato normative proprie per la concretizzazione del principio sancito dalla LPT. </w:t>
      </w:r>
      <w:r>
        <w:rPr>
          <w:rFonts w:cs="Arial"/>
          <w:szCs w:val="24"/>
        </w:rPr>
        <w:t xml:space="preserve">Le differenti soluzioni adottate nei vari Cantoni svizzeri si evincono dalla tabella 3. </w:t>
      </w:r>
      <w:r w:rsidRPr="007461C7">
        <w:rPr>
          <w:rFonts w:cs="Arial"/>
          <w:szCs w:val="24"/>
        </w:rPr>
        <w:t xml:space="preserve"> </w:t>
      </w:r>
    </w:p>
    <w:p w:rsidR="005C3B98" w:rsidRDefault="005C3B98" w:rsidP="005C3B98">
      <w:pPr>
        <w:rPr>
          <w:rFonts w:cs="Arial"/>
          <w:szCs w:val="24"/>
        </w:rPr>
      </w:pPr>
    </w:p>
    <w:p w:rsidR="005C3B98" w:rsidRDefault="005C3B98" w:rsidP="005C3B98">
      <w:pPr>
        <w:rPr>
          <w:rFonts w:cs="Arial"/>
          <w:szCs w:val="24"/>
        </w:rPr>
      </w:pPr>
    </w:p>
    <w:p w:rsidR="005C3B98" w:rsidRPr="007461C7" w:rsidRDefault="005C3B98" w:rsidP="005C3B98">
      <w:pPr>
        <w:rPr>
          <w:rFonts w:cs="Arial"/>
          <w:szCs w:val="24"/>
        </w:rPr>
      </w:pPr>
    </w:p>
    <w:p w:rsidR="005C3B98" w:rsidRPr="007461C7" w:rsidRDefault="005C3B98" w:rsidP="005C3B98">
      <w:pPr>
        <w:pStyle w:val="Titolo1"/>
      </w:pPr>
      <w:r w:rsidRPr="007461C7">
        <w:lastRenderedPageBreak/>
        <w:t>La concretizzazione dell’art. 5 LPT in Ticino</w:t>
      </w:r>
    </w:p>
    <w:p w:rsidR="005C3B98" w:rsidRPr="007461C7" w:rsidRDefault="005C3B98" w:rsidP="005C3B98">
      <w:pPr>
        <w:rPr>
          <w:rFonts w:cs="Arial"/>
          <w:szCs w:val="24"/>
        </w:rPr>
      </w:pPr>
      <w:r w:rsidRPr="007461C7">
        <w:rPr>
          <w:rFonts w:cs="Arial"/>
          <w:szCs w:val="24"/>
        </w:rPr>
        <w:t>Con il Messaggio 6728</w:t>
      </w:r>
      <w:r>
        <w:rPr>
          <w:rFonts w:cs="Arial"/>
          <w:szCs w:val="24"/>
        </w:rPr>
        <w:t xml:space="preserve"> del 18 dicembre 2012</w:t>
      </w:r>
      <w:r w:rsidRPr="007461C7">
        <w:rPr>
          <w:rFonts w:cs="Arial"/>
          <w:szCs w:val="24"/>
        </w:rPr>
        <w:t>, il Consiglio di Stato ha presentato una soluzione per l’applicazione dei principi sanciti dal diritto superiore. Nello specifico il Governo ha proposto al Parlamento di adottare una serie di modifiche della LST, tra cui l’introduzione di principio e procedura di compensazione di vantaggi e svantaggi rilevanti derivanti dalla pianificazione.</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 xml:space="preserve">Oltre che per i casi di azzonamento, la proposta del Governo cantonale </w:t>
      </w:r>
      <w:r>
        <w:rPr>
          <w:rFonts w:cs="Arial"/>
          <w:szCs w:val="24"/>
        </w:rPr>
        <w:t>chiedeva d’</w:t>
      </w:r>
      <w:r w:rsidRPr="007461C7">
        <w:rPr>
          <w:rFonts w:cs="Arial"/>
          <w:szCs w:val="24"/>
        </w:rPr>
        <w:t xml:space="preserve">introdurre il prelievo sul plusvalore anche per i casi di </w:t>
      </w:r>
      <w:proofErr w:type="spellStart"/>
      <w:r w:rsidRPr="007461C7">
        <w:rPr>
          <w:rFonts w:cs="Arial"/>
          <w:szCs w:val="24"/>
        </w:rPr>
        <w:t>densificazione</w:t>
      </w:r>
      <w:proofErr w:type="spellEnd"/>
      <w:r w:rsidRPr="007461C7">
        <w:rPr>
          <w:rFonts w:cs="Arial"/>
          <w:szCs w:val="24"/>
        </w:rPr>
        <w:t xml:space="preserve"> (</w:t>
      </w:r>
      <w:proofErr w:type="spellStart"/>
      <w:r w:rsidRPr="007461C7">
        <w:rPr>
          <w:rFonts w:cs="Arial"/>
          <w:i/>
          <w:szCs w:val="24"/>
        </w:rPr>
        <w:t>Aufzonungen</w:t>
      </w:r>
      <w:proofErr w:type="spellEnd"/>
      <w:r w:rsidRPr="007461C7">
        <w:rPr>
          <w:rFonts w:cs="Arial"/>
          <w:szCs w:val="24"/>
        </w:rPr>
        <w:t>) e per i cambiament</w:t>
      </w:r>
      <w:r>
        <w:rPr>
          <w:rFonts w:cs="Arial"/>
          <w:szCs w:val="24"/>
        </w:rPr>
        <w:t>i</w:t>
      </w:r>
      <w:r w:rsidRPr="007461C7">
        <w:rPr>
          <w:rFonts w:cs="Arial"/>
          <w:szCs w:val="24"/>
        </w:rPr>
        <w:t xml:space="preserve"> di destinazione (</w:t>
      </w:r>
      <w:proofErr w:type="spellStart"/>
      <w:r w:rsidRPr="007461C7">
        <w:rPr>
          <w:rFonts w:cs="Arial"/>
          <w:i/>
          <w:szCs w:val="24"/>
        </w:rPr>
        <w:t>Umzonungen</w:t>
      </w:r>
      <w:proofErr w:type="spellEnd"/>
      <w:r w:rsidRPr="007461C7">
        <w:rPr>
          <w:rFonts w:cs="Arial"/>
          <w:szCs w:val="24"/>
        </w:rPr>
        <w:t xml:space="preserve">), ritenuto anche che si tratta di situazioni che si potranno verificare con molta più frequenza in Ticino rispetto ai casi di azzonamento, che saranno invece ben più rari, in virtù dei nuovi disposti della LPT, che impongono la riduzione delle zone edificabili sovradimensionate. </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 xml:space="preserve">La soluzione proposta dal Messaggio governativo considerava vantaggi rilevanti gli aumenti di valore di un terreno derivanti dalla sua assegnazione alla zona edificabile, da una modifica di un piano d’utilizzazione comportante un aumento di almeno 0.2 punti dell’indice di sfruttamento o di almeno 1.5 punti dell’indice di edificabilità o da un cambiamento di destinazione, atto a ingenerare un plusvalore importante. </w:t>
      </w:r>
      <w:r w:rsidRPr="007461C7">
        <w:rPr>
          <w:rFonts w:cs="Arial"/>
          <w:szCs w:val="24"/>
          <w:u w:val="single"/>
        </w:rPr>
        <w:t>La proposta governativa proponeva poi di fissare il plusvalore per ogni incremento di valore superiore a CHF 50'000.--, quale quota assoluta e fissa, libera da prelievo e considerando imponibile solo la frazione oltre tale quota (</w:t>
      </w:r>
      <w:proofErr w:type="spellStart"/>
      <w:r w:rsidRPr="007461C7">
        <w:rPr>
          <w:rFonts w:cs="Arial"/>
          <w:i/>
          <w:szCs w:val="24"/>
          <w:u w:val="single"/>
        </w:rPr>
        <w:t>Freibetrag</w:t>
      </w:r>
      <w:proofErr w:type="spellEnd"/>
      <w:r w:rsidRPr="007461C7">
        <w:rPr>
          <w:rFonts w:cs="Arial"/>
          <w:szCs w:val="24"/>
          <w:u w:val="single"/>
        </w:rPr>
        <w:t>)</w:t>
      </w:r>
      <w:r w:rsidRPr="007461C7">
        <w:rPr>
          <w:rFonts w:cs="Arial"/>
          <w:szCs w:val="24"/>
        </w:rPr>
        <w:t>, ritenendo tale valore soglia equo e rispettoso del principio di proporzionalità. Concretamente, considerare una cosiddetta quota libera</w:t>
      </w:r>
      <w:r w:rsidRPr="007461C7">
        <w:rPr>
          <w:rFonts w:cs="Arial"/>
          <w:i/>
          <w:szCs w:val="24"/>
        </w:rPr>
        <w:t xml:space="preserve"> </w:t>
      </w:r>
      <w:r w:rsidRPr="007461C7">
        <w:rPr>
          <w:rFonts w:cs="Arial"/>
          <w:szCs w:val="24"/>
        </w:rPr>
        <w:t xml:space="preserve">significa che nulla è dovuto per gli aumenti di valore del terreno sino a CHF 50'000.--, mentre che se il plusvalore dovesse ammontare ad esempio a CHF 60'000.-- il contributo sarebbe calcolato e dovuto solo su CHF 10'000.--, considerando quindi imponibile solo ciò che va oltre la quota esente. </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 xml:space="preserve">Dopo quasi due anni di lavoro, il 13 novembre 2014 la Commissione speciale per la pianificazione del territorio ha reso il proprio rapporto, proponendo alcune modifiche rispetto alla proposta governativa, tra </w:t>
      </w:r>
      <w:r w:rsidRPr="007461C7">
        <w:rPr>
          <w:rFonts w:cs="Arial"/>
          <w:szCs w:val="24"/>
          <w:u w:val="single"/>
        </w:rPr>
        <w:t>cui l’innalzamento della quota esente da prelievo (</w:t>
      </w:r>
      <w:proofErr w:type="spellStart"/>
      <w:r w:rsidRPr="007461C7">
        <w:rPr>
          <w:rFonts w:cs="Arial"/>
          <w:i/>
          <w:szCs w:val="24"/>
          <w:u w:val="single"/>
        </w:rPr>
        <w:t>Freibetrag</w:t>
      </w:r>
      <w:proofErr w:type="spellEnd"/>
      <w:r w:rsidRPr="007461C7">
        <w:rPr>
          <w:rFonts w:cs="Arial"/>
          <w:szCs w:val="24"/>
          <w:u w:val="single"/>
        </w:rPr>
        <w:t>) a CHF 100'000.--</w:t>
      </w:r>
      <w:r w:rsidRPr="007461C7">
        <w:rPr>
          <w:rFonts w:cs="Arial"/>
          <w:szCs w:val="24"/>
        </w:rPr>
        <w:t xml:space="preserve">. Nell’ambito del dibattito del 18 dicembre 2014, il gruppo parlamentare del Partito socialista ha presentato un emendamento volto a ripristinare la quota libera a CHF 50'000.--. Questo è però stato ritirato nel corso delle discussioni e non è pertanto stato né dibattuto, né votato. </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 xml:space="preserve">Contro tale decisione, nel mese di marzo 2015 due privati cittadini ticinesi hanno adito il Tribunale federale, postulando l’annullamento dell’art. 93 LST. A fondamento del proprio gravame essi hanno in sostanza criticato il valore soglia di CHF 100'000.--, a loro avviso troppo elevato, poiché – richiamate le norme in concreto applicabili - </w:t>
      </w:r>
      <w:r w:rsidRPr="007461C7">
        <w:rPr>
          <w:rFonts w:cs="Arial"/>
          <w:szCs w:val="24"/>
          <w:u w:val="single"/>
        </w:rPr>
        <w:t>le plusvalenze generate da un tale aumento di valore di un fondo sono atte a generare un contributo ben superiore rispetto alle spese di riscossione della tassa, previste dal diritto federale come limite massimo per un eventuale esonero</w:t>
      </w:r>
      <w:r w:rsidRPr="007461C7">
        <w:rPr>
          <w:rFonts w:cs="Arial"/>
          <w:szCs w:val="24"/>
        </w:rPr>
        <w:t>. A loro avviso, la scelta del legislatore cantonale ticinese sarebbe dunque stata lesiva dell’art. 5 cpv. 1</w:t>
      </w:r>
      <w:r w:rsidRPr="007461C7">
        <w:rPr>
          <w:rFonts w:cs="Arial"/>
          <w:szCs w:val="24"/>
          <w:vertAlign w:val="superscript"/>
        </w:rPr>
        <w:t>quinquies</w:t>
      </w:r>
      <w:r w:rsidRPr="007461C7">
        <w:rPr>
          <w:rFonts w:cs="Arial"/>
          <w:szCs w:val="24"/>
        </w:rPr>
        <w:t xml:space="preserve"> </w:t>
      </w:r>
      <w:proofErr w:type="spellStart"/>
      <w:r w:rsidRPr="007461C7">
        <w:rPr>
          <w:rFonts w:cs="Arial"/>
          <w:szCs w:val="24"/>
        </w:rPr>
        <w:t>lett</w:t>
      </w:r>
      <w:proofErr w:type="spellEnd"/>
      <w:r w:rsidRPr="007461C7">
        <w:rPr>
          <w:rFonts w:cs="Arial"/>
          <w:szCs w:val="24"/>
        </w:rPr>
        <w:t xml:space="preserve">. b LPT. </w:t>
      </w:r>
    </w:p>
    <w:p w:rsidR="005C3B98" w:rsidRPr="007461C7" w:rsidRDefault="005C3B98" w:rsidP="005C3B98">
      <w:pPr>
        <w:rPr>
          <w:rFonts w:cs="Arial"/>
          <w:szCs w:val="24"/>
        </w:rPr>
      </w:pPr>
    </w:p>
    <w:p w:rsidR="005C3B98" w:rsidRPr="007461C7" w:rsidRDefault="005C3B98" w:rsidP="005C3B98">
      <w:pPr>
        <w:rPr>
          <w:rFonts w:cs="Arial"/>
          <w:b/>
          <w:szCs w:val="24"/>
        </w:rPr>
      </w:pPr>
      <w:r w:rsidRPr="007461C7">
        <w:rPr>
          <w:rFonts w:cs="Arial"/>
          <w:b/>
          <w:szCs w:val="24"/>
        </w:rPr>
        <w:br w:type="page"/>
      </w:r>
    </w:p>
    <w:p w:rsidR="005C3B98" w:rsidRPr="005C3B98" w:rsidRDefault="005C3B98" w:rsidP="005C3B98">
      <w:pPr>
        <w:pStyle w:val="Titolo1"/>
      </w:pPr>
      <w:r w:rsidRPr="005C3B98">
        <w:lastRenderedPageBreak/>
        <w:t>La Sentenza 1C_132/2015 del 16 agosto 2017 del Tribunale federale</w:t>
      </w:r>
    </w:p>
    <w:p w:rsidR="005C3B98" w:rsidRPr="007461C7" w:rsidRDefault="005C3B98" w:rsidP="005C3B98">
      <w:pPr>
        <w:rPr>
          <w:rFonts w:cs="Arial"/>
          <w:szCs w:val="24"/>
        </w:rPr>
      </w:pPr>
      <w:r w:rsidRPr="007461C7">
        <w:rPr>
          <w:rFonts w:cs="Arial"/>
          <w:szCs w:val="24"/>
        </w:rPr>
        <w:t xml:space="preserve">Nella propria sentenza del 16 agosto 2017, il Tribunale federale ha esposto alcune considerazioni interessanti. Innanzitutto ha ricordato che per immutata giurisprudenza, la nozione di vantaggio rilevante ai sensi dell’art. 5 cpv. 1 LPT costituisce una </w:t>
      </w:r>
      <w:r w:rsidRPr="007461C7">
        <w:rPr>
          <w:rFonts w:cs="Arial"/>
          <w:szCs w:val="24"/>
          <w:u w:val="single"/>
        </w:rPr>
        <w:t>nozione giuridica indeterminata</w:t>
      </w:r>
      <w:r w:rsidRPr="007461C7">
        <w:rPr>
          <w:rFonts w:cs="Arial"/>
          <w:szCs w:val="24"/>
        </w:rPr>
        <w:t xml:space="preserve"> e che nella sua interpretazione occorre lasciare ai Cantoni un certo margine di apprezzamento. L’alta Corte federale ha poi rammentato che l’interpretazione da dare all’esonero previsto dall’art. 5 cpv. 1</w:t>
      </w:r>
      <w:r w:rsidRPr="007461C7">
        <w:rPr>
          <w:rFonts w:cs="Arial"/>
          <w:i/>
          <w:sz w:val="20"/>
          <w:szCs w:val="20"/>
          <w:vertAlign w:val="superscript"/>
        </w:rPr>
        <w:t xml:space="preserve"> </w:t>
      </w:r>
      <w:proofErr w:type="spellStart"/>
      <w:r w:rsidRPr="007461C7">
        <w:rPr>
          <w:rFonts w:cs="Arial"/>
          <w:i/>
          <w:sz w:val="20"/>
          <w:szCs w:val="20"/>
          <w:vertAlign w:val="superscript"/>
        </w:rPr>
        <w:t>quinquies</w:t>
      </w:r>
      <w:proofErr w:type="spellEnd"/>
      <w:r w:rsidRPr="007461C7">
        <w:rPr>
          <w:rFonts w:cs="Arial"/>
          <w:szCs w:val="24"/>
        </w:rPr>
        <w:t xml:space="preserve"> </w:t>
      </w:r>
      <w:proofErr w:type="spellStart"/>
      <w:r w:rsidRPr="007461C7">
        <w:rPr>
          <w:rFonts w:cs="Arial"/>
          <w:szCs w:val="24"/>
        </w:rPr>
        <w:t>lett</w:t>
      </w:r>
      <w:proofErr w:type="spellEnd"/>
      <w:r w:rsidRPr="007461C7">
        <w:rPr>
          <w:rFonts w:cs="Arial"/>
          <w:szCs w:val="24"/>
        </w:rPr>
        <w:t xml:space="preserve">. b LPT è quello di permettere ai cantoni di rinunciare alla riscossione della tassa, se il prodotto della tassa prevedibile è insufficiente rispetto alle spese di riscossione. Lo scopo del disposto è quindi quello di </w:t>
      </w:r>
      <w:r w:rsidRPr="007461C7">
        <w:rPr>
          <w:rFonts w:cs="Arial"/>
          <w:szCs w:val="24"/>
          <w:u w:val="single"/>
        </w:rPr>
        <w:t xml:space="preserve">considerare aumenti di valore del fondo </w:t>
      </w:r>
      <w:proofErr w:type="spellStart"/>
      <w:r w:rsidRPr="007461C7">
        <w:rPr>
          <w:rFonts w:cs="Arial"/>
          <w:szCs w:val="24"/>
          <w:u w:val="single"/>
        </w:rPr>
        <w:t>bagatellari</w:t>
      </w:r>
      <w:proofErr w:type="spellEnd"/>
      <w:r w:rsidRPr="007461C7">
        <w:rPr>
          <w:rFonts w:cs="Arial"/>
          <w:szCs w:val="24"/>
          <w:u w:val="single"/>
        </w:rPr>
        <w:t xml:space="preserve"> ed esenti solo quelli in cui l’eventuale contributo del plusvalore non sarebbe sufficiente per coprire i costi del prelievo</w:t>
      </w:r>
      <w:r w:rsidRPr="007461C7">
        <w:rPr>
          <w:rFonts w:cs="Arial"/>
          <w:szCs w:val="24"/>
        </w:rPr>
        <w:t xml:space="preserve">. Decisivo per i giudici di </w:t>
      </w:r>
      <w:proofErr w:type="spellStart"/>
      <w:r w:rsidRPr="007461C7">
        <w:rPr>
          <w:rFonts w:cs="Arial"/>
          <w:i/>
          <w:szCs w:val="24"/>
        </w:rPr>
        <w:t>Mon</w:t>
      </w:r>
      <w:proofErr w:type="spellEnd"/>
      <w:r w:rsidRPr="007461C7">
        <w:rPr>
          <w:rFonts w:cs="Arial"/>
          <w:i/>
          <w:szCs w:val="24"/>
        </w:rPr>
        <w:t xml:space="preserve"> </w:t>
      </w:r>
      <w:proofErr w:type="spellStart"/>
      <w:r w:rsidRPr="007461C7">
        <w:rPr>
          <w:rFonts w:cs="Arial"/>
          <w:i/>
          <w:szCs w:val="24"/>
        </w:rPr>
        <w:t>Repos</w:t>
      </w:r>
      <w:proofErr w:type="spellEnd"/>
      <w:r w:rsidRPr="007461C7">
        <w:rPr>
          <w:rFonts w:cs="Arial"/>
          <w:szCs w:val="24"/>
        </w:rPr>
        <w:t xml:space="preserve"> è pertanto il fatto che l’importo si debba orientare alle spese di riscossione.</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 xml:space="preserve">Fatte le dovute premesse, il Tribunale federale ha quindi giudicato eccessivo e lesivo del diritto federale l’importo di CHF 100'000.-- quale valore soglia, ritenendo che esso non contemplasse alcuna relazione tra le spese di riscossione e il prevedibile prodotto della stessa. E pur giudicando sufficientemente adeguata anche la proposta formulata dal Consiglio di Stato nel Messaggio </w:t>
      </w:r>
      <w:r>
        <w:rPr>
          <w:rFonts w:cs="Arial"/>
          <w:szCs w:val="24"/>
        </w:rPr>
        <w:t>del 18 dicembre 2012</w:t>
      </w:r>
      <w:r w:rsidRPr="007461C7">
        <w:rPr>
          <w:rFonts w:cs="Arial"/>
          <w:szCs w:val="24"/>
        </w:rPr>
        <w:t xml:space="preserve"> (CHF 50'000.--), il Tribunale federale ha esplicitato che l’importo di CHF 30'000.-- sia da ritenersi un margine di riferimento adeguato (</w:t>
      </w:r>
      <w:proofErr w:type="spellStart"/>
      <w:r w:rsidRPr="007461C7">
        <w:rPr>
          <w:rFonts w:cs="Arial"/>
          <w:szCs w:val="24"/>
        </w:rPr>
        <w:t>consid</w:t>
      </w:r>
      <w:proofErr w:type="spellEnd"/>
      <w:r w:rsidRPr="007461C7">
        <w:rPr>
          <w:rFonts w:cs="Arial"/>
          <w:szCs w:val="24"/>
        </w:rPr>
        <w:t>. 7.7). Pertanto, con la propria sentenza l’Alta Corte ha annullato l’art. 93 cpv. 1 e cpv. 2 LST, nella misura in cui stabiliva un importo esente da contributo di CHF 100’00 (</w:t>
      </w:r>
      <w:proofErr w:type="spellStart"/>
      <w:r w:rsidRPr="007461C7">
        <w:rPr>
          <w:rFonts w:cs="Arial"/>
          <w:i/>
          <w:szCs w:val="24"/>
        </w:rPr>
        <w:t>Freibetrag</w:t>
      </w:r>
      <w:proofErr w:type="spellEnd"/>
      <w:r w:rsidRPr="007461C7">
        <w:rPr>
          <w:rFonts w:cs="Arial"/>
          <w:szCs w:val="24"/>
        </w:rPr>
        <w:t>). Il Tribunale ha poi demandato al Cantone il compito di determinare un nuovo importo, precisandone la portata, ovvero se il contributo sia da computare sull’importo eccedente il valore esente come attualmente operato in Cantone Ticino (</w:t>
      </w:r>
      <w:proofErr w:type="spellStart"/>
      <w:r w:rsidRPr="007461C7">
        <w:rPr>
          <w:rFonts w:cs="Arial"/>
          <w:i/>
          <w:szCs w:val="24"/>
        </w:rPr>
        <w:t>Freibetrag</w:t>
      </w:r>
      <w:proofErr w:type="spellEnd"/>
      <w:r w:rsidRPr="007461C7">
        <w:rPr>
          <w:rFonts w:cs="Arial"/>
          <w:szCs w:val="24"/>
        </w:rPr>
        <w:t>) o sull’intero importo dal momento che supera la soglia stabilita dalla legge (</w:t>
      </w:r>
      <w:proofErr w:type="spellStart"/>
      <w:r w:rsidRPr="007461C7">
        <w:rPr>
          <w:rFonts w:cs="Arial"/>
          <w:i/>
          <w:szCs w:val="24"/>
        </w:rPr>
        <w:t>Freigrenze</w:t>
      </w:r>
      <w:proofErr w:type="spellEnd"/>
      <w:r w:rsidRPr="007461C7">
        <w:rPr>
          <w:rFonts w:cs="Arial"/>
          <w:szCs w:val="24"/>
        </w:rPr>
        <w:t xml:space="preserve">). </w:t>
      </w:r>
    </w:p>
    <w:p w:rsidR="005C3B98" w:rsidRPr="007461C7" w:rsidRDefault="005C3B98" w:rsidP="005C3B98">
      <w:pPr>
        <w:rPr>
          <w:rFonts w:cs="Arial"/>
          <w:szCs w:val="24"/>
        </w:rPr>
      </w:pPr>
    </w:p>
    <w:p w:rsidR="005C3B98" w:rsidRPr="007461C7" w:rsidRDefault="005C3B98" w:rsidP="005C3B98">
      <w:pPr>
        <w:rPr>
          <w:rFonts w:cs="Arial"/>
          <w:szCs w:val="24"/>
        </w:rPr>
      </w:pPr>
      <w:r>
        <w:rPr>
          <w:rFonts w:cs="Arial"/>
          <w:szCs w:val="24"/>
        </w:rPr>
        <w:t>Per la completezza degli atti</w:t>
      </w:r>
      <w:r w:rsidRPr="007461C7">
        <w:rPr>
          <w:rFonts w:cs="Arial"/>
          <w:szCs w:val="24"/>
        </w:rPr>
        <w:t>, si riproduce di seguito il passaggio della sentenza in cui viene sancita la contrarietà della normativa cantonale rispetto al diritto superiore</w:t>
      </w:r>
      <w:r w:rsidRPr="007461C7">
        <w:rPr>
          <w:rFonts w:cs="Arial"/>
          <w:szCs w:val="24"/>
          <w:vertAlign w:val="superscript"/>
        </w:rPr>
        <w:footnoteReference w:id="2"/>
      </w:r>
      <w:r w:rsidRPr="007461C7">
        <w:rPr>
          <w:rFonts w:cs="Arial"/>
          <w:szCs w:val="24"/>
        </w:rPr>
        <w:t xml:space="preserve">: </w:t>
      </w:r>
    </w:p>
    <w:p w:rsidR="005C3B98" w:rsidRPr="005C3B98" w:rsidRDefault="005C3B98" w:rsidP="005C3B98">
      <w:pPr>
        <w:rPr>
          <w:rFonts w:cs="Arial"/>
          <w:sz w:val="12"/>
          <w:szCs w:val="12"/>
        </w:rPr>
      </w:pPr>
    </w:p>
    <w:p w:rsidR="005C3B98" w:rsidRPr="005C3B98" w:rsidRDefault="005C3B98" w:rsidP="005C3B98">
      <w:pPr>
        <w:ind w:left="567" w:right="567"/>
        <w:rPr>
          <w:rFonts w:cs="Arial"/>
          <w:i/>
          <w:sz w:val="22"/>
        </w:rPr>
      </w:pPr>
      <w:r w:rsidRPr="005C3B98">
        <w:rPr>
          <w:rFonts w:cs="Arial"/>
          <w:sz w:val="22"/>
        </w:rPr>
        <w:t>“</w:t>
      </w:r>
      <w:r w:rsidRPr="005C3B98">
        <w:rPr>
          <w:rFonts w:cs="Arial"/>
          <w:i/>
          <w:sz w:val="22"/>
        </w:rPr>
        <w:t xml:space="preserve">Il Tribunale federale non deve infatti esprimersi compiutamente su tutte le sfaccettature e i casi di applicazione dell’art. 5 LPT, ma unicamente su quelli sottoposti al suo giudizio, ossia sulla soluzione ticinese e soltanto nella misura in cui essa è contestata. Non gli spetta in particolare determinare il limite di esenzione, né scegliere il suo metodo di calcolo: valutazione che entro i limiti dell’art. 5 cpv. 1quinquies </w:t>
      </w:r>
      <w:proofErr w:type="spellStart"/>
      <w:r w:rsidRPr="005C3B98">
        <w:rPr>
          <w:rFonts w:cs="Arial"/>
          <w:i/>
          <w:sz w:val="22"/>
        </w:rPr>
        <w:t>lett</w:t>
      </w:r>
      <w:proofErr w:type="spellEnd"/>
      <w:r w:rsidRPr="005C3B98">
        <w:rPr>
          <w:rFonts w:cs="Arial"/>
          <w:i/>
          <w:sz w:val="22"/>
        </w:rPr>
        <w:t xml:space="preserve">. b LPT compete ai Cantoni. Decisivo è tuttavia che l’importo si orienti alle spese di riscossione, ciò che non è manifestamente il caso per la somma di </w:t>
      </w:r>
      <w:proofErr w:type="spellStart"/>
      <w:r w:rsidRPr="005C3B98">
        <w:rPr>
          <w:rFonts w:cs="Arial"/>
          <w:i/>
          <w:sz w:val="22"/>
        </w:rPr>
        <w:t>fr</w:t>
      </w:r>
      <w:proofErr w:type="spellEnd"/>
      <w:r w:rsidRPr="005C3B98">
        <w:rPr>
          <w:rFonts w:cs="Arial"/>
          <w:i/>
          <w:sz w:val="22"/>
        </w:rPr>
        <w:t xml:space="preserve">. 100'000.-. Al riguardo giova rilevare che la questione non è tanto di sapere quanto il Cantone, fissando determinati valori soglia o importi esenti, incasserà globalmente, beni se le spese di riscossione per il singolo prelievo siano giustificate rispetto al prodotto della tassa. </w:t>
      </w:r>
    </w:p>
    <w:p w:rsidR="005C3B98" w:rsidRPr="005C3B98" w:rsidRDefault="005C3B98" w:rsidP="005C3B98">
      <w:pPr>
        <w:spacing w:before="120"/>
        <w:ind w:left="567" w:right="567"/>
        <w:rPr>
          <w:rFonts w:cs="Arial"/>
          <w:sz w:val="22"/>
        </w:rPr>
      </w:pPr>
      <w:r w:rsidRPr="005C3B98">
        <w:rPr>
          <w:rFonts w:cs="Arial"/>
          <w:i/>
          <w:sz w:val="22"/>
        </w:rPr>
        <w:t>“Se il Cantone Ticino ha scelto di compensare i vantaggi derivanti da pianificazioni non riferite unicamente ad azzonamenti, ciò non implica che per le ulteriori fattispecie non sia dovuta l’adeguata compensazione di vantaggi rilevanti prevista dall’art. 5 cpv. 1 LPT: anche in quei casi, un’eventuale rinuncia a riscuotere la tassa si giustifica soltanto qualora le relative spese siano superiori all’importo della stessa. Ora, nel caso in esame l’importo litigioso è chiaramente lesivo del diritto federale, non solo in caso di azzonamento, ma anche per gli altri casi previsti dalla contestata norma cantonale, non sussistendo alcuna relazione</w:t>
      </w:r>
      <w:r w:rsidRPr="007461C7">
        <w:rPr>
          <w:rFonts w:cs="Arial"/>
          <w:i/>
        </w:rPr>
        <w:t xml:space="preserve"> </w:t>
      </w:r>
      <w:r w:rsidRPr="005C3B98">
        <w:rPr>
          <w:rFonts w:cs="Arial"/>
          <w:i/>
          <w:sz w:val="22"/>
        </w:rPr>
        <w:t>tra le spese di riscossione e il prevedibile prodotto della tassa</w:t>
      </w:r>
      <w:r w:rsidRPr="005C3B98">
        <w:rPr>
          <w:rFonts w:cs="Arial"/>
          <w:sz w:val="22"/>
        </w:rPr>
        <w:t xml:space="preserve">”. </w:t>
      </w:r>
    </w:p>
    <w:p w:rsidR="005C3B98" w:rsidRPr="005C3B98" w:rsidRDefault="005C3B98" w:rsidP="005C3B98">
      <w:pPr>
        <w:pStyle w:val="Titolo1"/>
      </w:pPr>
      <w:r w:rsidRPr="005C3B98">
        <w:lastRenderedPageBreak/>
        <w:t xml:space="preserve">Il Messaggio del Consiglio di Stato </w:t>
      </w:r>
    </w:p>
    <w:p w:rsidR="005C3B98" w:rsidRPr="007461C7" w:rsidRDefault="005C3B98" w:rsidP="005C3B98">
      <w:pPr>
        <w:rPr>
          <w:rFonts w:cs="Arial"/>
          <w:szCs w:val="24"/>
        </w:rPr>
      </w:pPr>
      <w:r w:rsidRPr="007461C7">
        <w:rPr>
          <w:rFonts w:cs="Arial"/>
          <w:szCs w:val="24"/>
        </w:rPr>
        <w:t xml:space="preserve">Con il Messaggio che qui ci occupa, il Consiglio di Stato – preso atto della sentenza del Tribunale federale - propone al Parlamento di adottare un nuovo valore soglia esente da contributo pari a CHF 30'000.--, importo tra l’altro nel frattempo scelto anche da diversi altri Cantoni. </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 xml:space="preserve">Con la proposta in esame, il Governo cantonale si è inoltre discostato dal sistema del </w:t>
      </w:r>
      <w:proofErr w:type="spellStart"/>
      <w:r w:rsidRPr="007461C7">
        <w:rPr>
          <w:rFonts w:cs="Arial"/>
          <w:i/>
          <w:szCs w:val="24"/>
        </w:rPr>
        <w:t>Freibetrag</w:t>
      </w:r>
      <w:proofErr w:type="spellEnd"/>
      <w:r w:rsidRPr="007461C7">
        <w:rPr>
          <w:rFonts w:cs="Arial"/>
          <w:szCs w:val="24"/>
        </w:rPr>
        <w:t xml:space="preserve">, secondo il quale è imponibile soltanto la frazione che supera la quota esente, adottando quello della </w:t>
      </w:r>
      <w:proofErr w:type="spellStart"/>
      <w:r w:rsidRPr="007461C7">
        <w:rPr>
          <w:rFonts w:cs="Arial"/>
          <w:i/>
          <w:szCs w:val="24"/>
        </w:rPr>
        <w:t>Freigrenze</w:t>
      </w:r>
      <w:proofErr w:type="spellEnd"/>
      <w:r w:rsidRPr="007461C7">
        <w:rPr>
          <w:rFonts w:cs="Arial"/>
          <w:szCs w:val="24"/>
        </w:rPr>
        <w:t xml:space="preserve"> (limite di esenzione), che consiste nel determinare il contributo sulla base dell’intero importo, dal momento che supera il valore soglia sancito dalla legge.</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Secondo il Tribunale federale, la scelta di un importo esente (</w:t>
      </w:r>
      <w:proofErr w:type="spellStart"/>
      <w:r w:rsidRPr="007461C7">
        <w:rPr>
          <w:rFonts w:cs="Arial"/>
          <w:i/>
          <w:szCs w:val="24"/>
        </w:rPr>
        <w:t>Freibetrag</w:t>
      </w:r>
      <w:proofErr w:type="spellEnd"/>
      <w:r w:rsidRPr="007461C7">
        <w:rPr>
          <w:rFonts w:cs="Arial"/>
          <w:szCs w:val="24"/>
        </w:rPr>
        <w:t>) è più equa dal profilo della parità di trattamento tra i proprietari interessati rispetto a quella fondata su un limite di esenzione (</w:t>
      </w:r>
      <w:proofErr w:type="spellStart"/>
      <w:r w:rsidRPr="007461C7">
        <w:rPr>
          <w:rFonts w:cs="Arial"/>
          <w:i/>
          <w:szCs w:val="24"/>
        </w:rPr>
        <w:t>Freigrenze</w:t>
      </w:r>
      <w:proofErr w:type="spellEnd"/>
      <w:r w:rsidRPr="007461C7">
        <w:rPr>
          <w:rFonts w:cs="Arial"/>
          <w:szCs w:val="24"/>
        </w:rPr>
        <w:t xml:space="preserve">), ma non permette necessariamente all’ente pubblico di utilizzare i ricavi risultanti dal plusvalore per rimborsare le restrizioni della proprietà derivanti in particolare da </w:t>
      </w:r>
      <w:proofErr w:type="spellStart"/>
      <w:r w:rsidRPr="007461C7">
        <w:rPr>
          <w:rFonts w:cs="Arial"/>
          <w:szCs w:val="24"/>
        </w:rPr>
        <w:t>dezonamenti</w:t>
      </w:r>
      <w:proofErr w:type="spellEnd"/>
      <w:r w:rsidRPr="007461C7">
        <w:rPr>
          <w:rFonts w:cs="Arial"/>
          <w:szCs w:val="24"/>
        </w:rPr>
        <w:t>. Secondo l’Alta Corte entrambe le soluzioni presentano vantaggi e svantaggi ed è una scelta “</w:t>
      </w:r>
      <w:r w:rsidRPr="007461C7">
        <w:rPr>
          <w:rFonts w:cs="Arial"/>
          <w:i/>
          <w:szCs w:val="24"/>
        </w:rPr>
        <w:t>con forte connotazione politica, che il Tribunale federale valuta con un certo riserbo</w:t>
      </w:r>
      <w:r w:rsidRPr="007461C7">
        <w:rPr>
          <w:rFonts w:cs="Arial"/>
          <w:szCs w:val="24"/>
        </w:rPr>
        <w:t>” del singolo Cantone, quella di valutare la soluzione più adeguata ed equilibrata, considerato che “</w:t>
      </w:r>
      <w:r w:rsidRPr="007461C7">
        <w:rPr>
          <w:rFonts w:cs="Arial"/>
          <w:i/>
          <w:szCs w:val="24"/>
        </w:rPr>
        <w:t>soltanto applicando un limite di esenzione o un importo esente relativamente basso, si può giungere a risultati compatibili con i precetti dell’art. 5 cpv. 1ter e 1quinquies LPT e rispettosi sia dell’aggravio amministrativo in relazione alle spese di riscossione sia della parità di trattamento</w:t>
      </w:r>
      <w:r w:rsidRPr="007461C7">
        <w:rPr>
          <w:rFonts w:cs="Arial"/>
          <w:szCs w:val="24"/>
        </w:rPr>
        <w:t>” (</w:t>
      </w:r>
      <w:r w:rsidRPr="007461C7">
        <w:rPr>
          <w:rFonts w:cs="Arial"/>
          <w:i/>
          <w:szCs w:val="24"/>
        </w:rPr>
        <w:t>TF 1C_132/2015 del 16 agosto 2017, c. 9.2</w:t>
      </w:r>
      <w:r w:rsidRPr="007461C7">
        <w:rPr>
          <w:rFonts w:cs="Arial"/>
          <w:szCs w:val="24"/>
        </w:rPr>
        <w:t xml:space="preserve">). </w:t>
      </w:r>
    </w:p>
    <w:p w:rsidR="005C3B98" w:rsidRPr="007461C7" w:rsidRDefault="005C3B98" w:rsidP="005C3B98">
      <w:pPr>
        <w:rPr>
          <w:rFonts w:cs="Arial"/>
          <w:szCs w:val="24"/>
        </w:rPr>
      </w:pPr>
    </w:p>
    <w:p w:rsidR="005C3B98" w:rsidRPr="007461C7" w:rsidRDefault="005C3B98" w:rsidP="005C3B98">
      <w:pPr>
        <w:spacing w:after="240"/>
        <w:rPr>
          <w:rFonts w:cs="Arial"/>
          <w:szCs w:val="24"/>
        </w:rPr>
      </w:pPr>
      <w:r w:rsidRPr="007461C7">
        <w:rPr>
          <w:rFonts w:cs="Arial"/>
          <w:szCs w:val="24"/>
        </w:rPr>
        <w:t>Concretamente, Il Messaggio governativo che qui ci occupa propone di modificare l’art. 93 LST come di seguito esposto:</w:t>
      </w:r>
    </w:p>
    <w:p w:rsidR="005C3B98" w:rsidRPr="007461C7" w:rsidRDefault="005C3B98" w:rsidP="005C3B98">
      <w:pPr>
        <w:keepNext/>
        <w:spacing w:before="360" w:after="120"/>
        <w:rPr>
          <w:rFonts w:eastAsia="Times New Roman" w:cs="Times New Roman"/>
          <w:b/>
          <w:bCs/>
          <w:sz w:val="20"/>
          <w:szCs w:val="20"/>
          <w:lang w:eastAsia="it-IT"/>
        </w:rPr>
      </w:pPr>
      <w:r w:rsidRPr="007461C7">
        <w:rPr>
          <w:rFonts w:eastAsia="Times New Roman" w:cs="Times New Roman"/>
          <w:b/>
          <w:bCs/>
          <w:sz w:val="20"/>
          <w:szCs w:val="20"/>
          <w:lang w:eastAsia="it-IT"/>
        </w:rPr>
        <w:t xml:space="preserve">Tabella </w:t>
      </w:r>
      <w:r w:rsidRPr="007461C7">
        <w:rPr>
          <w:rFonts w:eastAsia="Times New Roman" w:cs="Times New Roman"/>
          <w:b/>
          <w:bCs/>
          <w:sz w:val="20"/>
          <w:szCs w:val="20"/>
          <w:lang w:eastAsia="it-IT"/>
        </w:rPr>
        <w:fldChar w:fldCharType="begin"/>
      </w:r>
      <w:r w:rsidRPr="007461C7">
        <w:rPr>
          <w:rFonts w:eastAsia="Times New Roman" w:cs="Times New Roman"/>
          <w:b/>
          <w:bCs/>
          <w:sz w:val="20"/>
          <w:szCs w:val="20"/>
          <w:lang w:eastAsia="it-IT"/>
        </w:rPr>
        <w:instrText xml:space="preserve"> SEQ Tabella \* ARABIC </w:instrText>
      </w:r>
      <w:r w:rsidRPr="007461C7">
        <w:rPr>
          <w:rFonts w:eastAsia="Times New Roman" w:cs="Times New Roman"/>
          <w:b/>
          <w:bCs/>
          <w:sz w:val="20"/>
          <w:szCs w:val="20"/>
          <w:lang w:eastAsia="it-IT"/>
        </w:rPr>
        <w:fldChar w:fldCharType="separate"/>
      </w:r>
      <w:r w:rsidR="00102B8B">
        <w:rPr>
          <w:rFonts w:eastAsia="Times New Roman" w:cs="Times New Roman"/>
          <w:b/>
          <w:bCs/>
          <w:noProof/>
          <w:sz w:val="20"/>
          <w:szCs w:val="20"/>
          <w:lang w:eastAsia="it-IT"/>
        </w:rPr>
        <w:t>1</w:t>
      </w:r>
      <w:r w:rsidRPr="007461C7">
        <w:rPr>
          <w:rFonts w:eastAsia="Times New Roman" w:cs="Times New Roman"/>
          <w:b/>
          <w:bCs/>
          <w:noProof/>
          <w:sz w:val="20"/>
          <w:szCs w:val="20"/>
          <w:lang w:eastAsia="it-IT"/>
        </w:rPr>
        <w:fldChar w:fldCharType="end"/>
      </w:r>
      <w:r w:rsidRPr="007461C7">
        <w:rPr>
          <w:rFonts w:eastAsia="Times New Roman" w:cs="Times New Roman"/>
          <w:b/>
          <w:bCs/>
          <w:sz w:val="20"/>
          <w:szCs w:val="20"/>
          <w:lang w:eastAsia="it-IT"/>
        </w:rPr>
        <w:t xml:space="preserve"> - Versioni dell’art. 93 LST</w:t>
      </w:r>
    </w:p>
    <w:tbl>
      <w:tblPr>
        <w:tblStyle w:val="Grigliatabella"/>
        <w:tblW w:w="0" w:type="auto"/>
        <w:tblLook w:val="04A0" w:firstRow="1" w:lastRow="0" w:firstColumn="1" w:lastColumn="0" w:noHBand="0" w:noVBand="1"/>
      </w:tblPr>
      <w:tblGrid>
        <w:gridCol w:w="2835"/>
        <w:gridCol w:w="6804"/>
      </w:tblGrid>
      <w:tr w:rsidR="005C3B98" w:rsidRPr="007461C7" w:rsidTr="00C64A61">
        <w:trPr>
          <w:tblHeader/>
        </w:trPr>
        <w:tc>
          <w:tcPr>
            <w:tcW w:w="2835"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Versione</w:t>
            </w:r>
          </w:p>
        </w:tc>
        <w:tc>
          <w:tcPr>
            <w:tcW w:w="6804" w:type="dxa"/>
          </w:tcPr>
          <w:p w:rsidR="005C3B98" w:rsidRPr="007461C7" w:rsidRDefault="005C3B98" w:rsidP="00C64A61">
            <w:pPr>
              <w:spacing w:before="120"/>
              <w:rPr>
                <w:rFonts w:eastAsia="Times New Roman" w:cs="Arial"/>
                <w:b/>
                <w:sz w:val="20"/>
                <w:szCs w:val="20"/>
                <w:lang w:eastAsia="it-IT"/>
              </w:rPr>
            </w:pPr>
            <w:r w:rsidRPr="007461C7">
              <w:rPr>
                <w:rFonts w:eastAsia="Times New Roman" w:cs="Arial"/>
                <w:b/>
                <w:sz w:val="20"/>
                <w:szCs w:val="20"/>
                <w:lang w:eastAsia="it-IT"/>
              </w:rPr>
              <w:t>Art. 93 LST – Compensazione di vantaggi e svantaggi</w:t>
            </w:r>
          </w:p>
        </w:tc>
      </w:tr>
      <w:tr w:rsidR="005C3B98" w:rsidRPr="007461C7" w:rsidTr="00C64A61">
        <w:trPr>
          <w:tblHeader/>
        </w:trPr>
        <w:tc>
          <w:tcPr>
            <w:tcW w:w="2835"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Rapporto 6728R del 13 novembre 2014</w:t>
            </w:r>
          </w:p>
        </w:tc>
        <w:tc>
          <w:tcPr>
            <w:tcW w:w="6804" w:type="dxa"/>
          </w:tcPr>
          <w:p w:rsidR="005C3B98" w:rsidRPr="005C3B98" w:rsidRDefault="005C3B98" w:rsidP="00C64A61">
            <w:pPr>
              <w:spacing w:before="120"/>
              <w:rPr>
                <w:rFonts w:eastAsia="Times New Roman" w:cs="Arial"/>
                <w:sz w:val="20"/>
                <w:szCs w:val="20"/>
                <w:lang w:eastAsia="it-IT"/>
              </w:rPr>
            </w:pPr>
            <w:r w:rsidRPr="005C3B98">
              <w:rPr>
                <w:rFonts w:eastAsia="Times New Roman" w:cs="Arial"/>
                <w:sz w:val="20"/>
                <w:szCs w:val="20"/>
                <w:vertAlign w:val="superscript"/>
                <w:lang w:eastAsia="it-IT"/>
              </w:rPr>
              <w:t xml:space="preserve">1 </w:t>
            </w:r>
            <w:r w:rsidRPr="005C3B98">
              <w:rPr>
                <w:rFonts w:eastAsia="Times New Roman" w:cs="Arial"/>
                <w:sz w:val="20"/>
                <w:szCs w:val="20"/>
                <w:lang w:eastAsia="it-IT"/>
              </w:rPr>
              <w:t xml:space="preserve">È considerato vantaggio rilevante soggetto a contributo l’aumento di valore di un terreno superiore a </w:t>
            </w:r>
            <w:proofErr w:type="spellStart"/>
            <w:r w:rsidRPr="005C3B98">
              <w:rPr>
                <w:rFonts w:eastAsia="Times New Roman" w:cs="Arial"/>
                <w:sz w:val="20"/>
                <w:szCs w:val="20"/>
                <w:lang w:eastAsia="it-IT"/>
              </w:rPr>
              <w:t>fr</w:t>
            </w:r>
            <w:proofErr w:type="spellEnd"/>
            <w:r w:rsidRPr="005C3B98">
              <w:rPr>
                <w:rFonts w:eastAsia="Times New Roman" w:cs="Arial"/>
                <w:sz w:val="20"/>
                <w:szCs w:val="20"/>
                <w:lang w:eastAsia="it-IT"/>
              </w:rPr>
              <w:t>. 100'000.- che deriva</w:t>
            </w:r>
          </w:p>
          <w:p w:rsidR="005C3B98" w:rsidRPr="005C3B98" w:rsidRDefault="005C3B98" w:rsidP="00C64A61">
            <w:pPr>
              <w:spacing w:before="60"/>
              <w:ind w:left="284" w:hanging="284"/>
              <w:rPr>
                <w:rFonts w:eastAsia="Times New Roman" w:cs="Arial"/>
                <w:sz w:val="20"/>
                <w:szCs w:val="20"/>
                <w:lang w:eastAsia="it-IT"/>
              </w:rPr>
            </w:pPr>
            <w:r w:rsidRPr="005C3B98">
              <w:rPr>
                <w:rFonts w:eastAsia="Times New Roman" w:cs="Arial"/>
                <w:sz w:val="20"/>
                <w:szCs w:val="20"/>
                <w:lang w:eastAsia="it-IT"/>
              </w:rPr>
              <w:t>a)</w:t>
            </w:r>
            <w:r w:rsidRPr="005C3B98">
              <w:rPr>
                <w:rFonts w:eastAsia="Times New Roman" w:cs="Arial"/>
                <w:sz w:val="20"/>
                <w:szCs w:val="20"/>
                <w:lang w:eastAsia="it-IT"/>
              </w:rPr>
              <w:tab/>
              <w:t>dalla sua assegnazione alla zona edificabile,</w:t>
            </w:r>
          </w:p>
          <w:p w:rsidR="005C3B98" w:rsidRPr="005C3B98" w:rsidRDefault="005C3B98" w:rsidP="00C64A61">
            <w:pPr>
              <w:spacing w:before="60"/>
              <w:ind w:left="284" w:hanging="284"/>
              <w:rPr>
                <w:rFonts w:eastAsia="Times New Roman" w:cs="Arial"/>
                <w:sz w:val="20"/>
                <w:szCs w:val="20"/>
                <w:lang w:eastAsia="it-IT"/>
              </w:rPr>
            </w:pPr>
            <w:r w:rsidRPr="005C3B98">
              <w:rPr>
                <w:rFonts w:eastAsia="Times New Roman" w:cs="Arial"/>
                <w:sz w:val="20"/>
                <w:szCs w:val="20"/>
                <w:lang w:eastAsia="it-IT"/>
              </w:rPr>
              <w:t>b)</w:t>
            </w:r>
            <w:r w:rsidRPr="005C3B98">
              <w:rPr>
                <w:rFonts w:eastAsia="Times New Roman" w:cs="Arial"/>
                <w:sz w:val="20"/>
                <w:szCs w:val="20"/>
                <w:lang w:eastAsia="it-IT"/>
              </w:rPr>
              <w:tab/>
              <w:t>da una modifica di un piano d’utilizzazione che comporta un aumento di almeno 0,2 punti dell’indice di sfruttamento o di almeno 1,5 punti dell’indice di edificabilità,</w:t>
            </w:r>
          </w:p>
          <w:p w:rsidR="005C3B98" w:rsidRPr="005C3B98" w:rsidRDefault="005C3B98" w:rsidP="00C64A61">
            <w:pPr>
              <w:spacing w:before="60"/>
              <w:ind w:left="284" w:hanging="284"/>
              <w:rPr>
                <w:rFonts w:eastAsia="Times New Roman" w:cs="Arial"/>
                <w:sz w:val="20"/>
                <w:szCs w:val="20"/>
                <w:lang w:eastAsia="it-IT"/>
              </w:rPr>
            </w:pPr>
            <w:r w:rsidRPr="005C3B98">
              <w:rPr>
                <w:rFonts w:eastAsia="Times New Roman" w:cs="Arial"/>
                <w:sz w:val="20"/>
                <w:szCs w:val="20"/>
                <w:lang w:eastAsia="it-IT"/>
              </w:rPr>
              <w:t>c)</w:t>
            </w:r>
            <w:r w:rsidRPr="005C3B98">
              <w:rPr>
                <w:rFonts w:eastAsia="Times New Roman" w:cs="Arial"/>
                <w:sz w:val="20"/>
                <w:szCs w:val="20"/>
                <w:lang w:eastAsia="it-IT"/>
              </w:rPr>
              <w:tab/>
              <w:t>da un cambiamento di destinazione che ingenera un plusvalore importante.</w:t>
            </w:r>
          </w:p>
          <w:p w:rsidR="005C3B98" w:rsidRPr="005C3B98" w:rsidRDefault="005C3B98" w:rsidP="00C64A61">
            <w:pPr>
              <w:spacing w:before="120"/>
              <w:rPr>
                <w:rFonts w:eastAsia="Times New Roman" w:cs="Arial"/>
                <w:sz w:val="20"/>
                <w:szCs w:val="20"/>
                <w:lang w:eastAsia="it-IT"/>
              </w:rPr>
            </w:pPr>
            <w:r w:rsidRPr="005C3B98">
              <w:rPr>
                <w:rFonts w:eastAsia="Times New Roman" w:cs="Arial"/>
                <w:sz w:val="20"/>
                <w:szCs w:val="20"/>
                <w:vertAlign w:val="superscript"/>
                <w:lang w:eastAsia="it-IT"/>
              </w:rPr>
              <w:t xml:space="preserve">2 </w:t>
            </w:r>
            <w:r w:rsidRPr="005C3B98">
              <w:rPr>
                <w:rFonts w:eastAsia="Times New Roman" w:cs="Arial"/>
                <w:sz w:val="20"/>
                <w:szCs w:val="20"/>
                <w:lang w:eastAsia="it-IT"/>
              </w:rPr>
              <w:t xml:space="preserve">L’aumento di valore di un terreno sino a </w:t>
            </w:r>
            <w:proofErr w:type="spellStart"/>
            <w:r w:rsidRPr="005C3B98">
              <w:rPr>
                <w:rFonts w:eastAsia="Times New Roman" w:cs="Arial"/>
                <w:sz w:val="20"/>
                <w:szCs w:val="20"/>
                <w:lang w:eastAsia="it-IT"/>
              </w:rPr>
              <w:t>fr</w:t>
            </w:r>
            <w:proofErr w:type="spellEnd"/>
            <w:r w:rsidRPr="005C3B98">
              <w:rPr>
                <w:rFonts w:eastAsia="Times New Roman" w:cs="Arial"/>
                <w:sz w:val="20"/>
                <w:szCs w:val="20"/>
                <w:lang w:eastAsia="it-IT"/>
              </w:rPr>
              <w:t>. 100'000.- è esente da contributo.</w:t>
            </w:r>
          </w:p>
        </w:tc>
      </w:tr>
      <w:tr w:rsidR="005C3B98" w:rsidRPr="007461C7" w:rsidTr="00C64A61">
        <w:trPr>
          <w:tblHeader/>
        </w:trPr>
        <w:tc>
          <w:tcPr>
            <w:tcW w:w="2835"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Decisione del Tribunale federale del 16 agosto 2017</w:t>
            </w:r>
          </w:p>
        </w:tc>
        <w:tc>
          <w:tcPr>
            <w:tcW w:w="6804" w:type="dxa"/>
          </w:tcPr>
          <w:p w:rsidR="005C3B98" w:rsidRPr="005C3B98" w:rsidRDefault="005C3B98" w:rsidP="00C64A61">
            <w:pPr>
              <w:spacing w:before="120"/>
              <w:rPr>
                <w:rFonts w:eastAsia="Times New Roman" w:cs="Arial"/>
                <w:sz w:val="20"/>
                <w:szCs w:val="20"/>
                <w:lang w:eastAsia="it-IT"/>
              </w:rPr>
            </w:pPr>
            <w:r w:rsidRPr="005C3B98">
              <w:rPr>
                <w:rFonts w:eastAsia="Times New Roman" w:cs="Arial"/>
                <w:sz w:val="20"/>
                <w:szCs w:val="20"/>
                <w:vertAlign w:val="superscript"/>
                <w:lang w:eastAsia="it-IT"/>
              </w:rPr>
              <w:t xml:space="preserve">1 </w:t>
            </w:r>
            <w:r w:rsidRPr="005C3B98">
              <w:rPr>
                <w:rFonts w:eastAsia="Times New Roman" w:cs="Arial"/>
                <w:sz w:val="20"/>
                <w:szCs w:val="20"/>
                <w:lang w:eastAsia="it-IT"/>
              </w:rPr>
              <w:t xml:space="preserve">È considerato vantaggio rilevante soggetto a contributo l’aumento di valore di un terreno </w:t>
            </w:r>
            <w:r w:rsidRPr="005C3B98">
              <w:rPr>
                <w:rFonts w:eastAsia="Times New Roman" w:cs="Arial"/>
                <w:b/>
                <w:strike/>
                <w:sz w:val="20"/>
                <w:szCs w:val="20"/>
                <w:lang w:eastAsia="it-IT"/>
              </w:rPr>
              <w:t xml:space="preserve">superiore a </w:t>
            </w:r>
            <w:proofErr w:type="spellStart"/>
            <w:r w:rsidRPr="005C3B98">
              <w:rPr>
                <w:rFonts w:eastAsia="Times New Roman" w:cs="Arial"/>
                <w:b/>
                <w:strike/>
                <w:sz w:val="20"/>
                <w:szCs w:val="20"/>
                <w:lang w:eastAsia="it-IT"/>
              </w:rPr>
              <w:t>fr</w:t>
            </w:r>
            <w:proofErr w:type="spellEnd"/>
            <w:r w:rsidRPr="005C3B98">
              <w:rPr>
                <w:rFonts w:eastAsia="Times New Roman" w:cs="Arial"/>
                <w:b/>
                <w:strike/>
                <w:sz w:val="20"/>
                <w:szCs w:val="20"/>
                <w:lang w:eastAsia="it-IT"/>
              </w:rPr>
              <w:t xml:space="preserve">. 100'000.- </w:t>
            </w:r>
            <w:r w:rsidRPr="005C3B98">
              <w:rPr>
                <w:rFonts w:eastAsia="Times New Roman" w:cs="Arial"/>
                <w:sz w:val="20"/>
                <w:szCs w:val="20"/>
                <w:lang w:eastAsia="it-IT"/>
              </w:rPr>
              <w:t>che deriva</w:t>
            </w:r>
          </w:p>
          <w:p w:rsidR="005C3B98" w:rsidRPr="005C3B98" w:rsidRDefault="005C3B98" w:rsidP="00C64A61">
            <w:pPr>
              <w:spacing w:before="60"/>
              <w:ind w:left="284" w:hanging="284"/>
              <w:rPr>
                <w:rFonts w:eastAsia="Times New Roman" w:cs="Arial"/>
                <w:sz w:val="20"/>
                <w:szCs w:val="20"/>
                <w:lang w:eastAsia="it-IT"/>
              </w:rPr>
            </w:pPr>
            <w:r w:rsidRPr="005C3B98">
              <w:rPr>
                <w:rFonts w:eastAsia="Times New Roman" w:cs="Arial"/>
                <w:sz w:val="20"/>
                <w:szCs w:val="20"/>
                <w:lang w:eastAsia="it-IT"/>
              </w:rPr>
              <w:t>a)</w:t>
            </w:r>
            <w:r w:rsidRPr="005C3B98">
              <w:rPr>
                <w:rFonts w:eastAsia="Times New Roman" w:cs="Arial"/>
                <w:sz w:val="20"/>
                <w:szCs w:val="20"/>
                <w:lang w:eastAsia="it-IT"/>
              </w:rPr>
              <w:tab/>
              <w:t>dalla sua assegnazione alla zona edificabile,</w:t>
            </w:r>
          </w:p>
          <w:p w:rsidR="005C3B98" w:rsidRPr="005C3B98" w:rsidRDefault="005C3B98" w:rsidP="00C64A61">
            <w:pPr>
              <w:spacing w:before="60"/>
              <w:ind w:left="284" w:hanging="284"/>
              <w:rPr>
                <w:rFonts w:eastAsia="Times New Roman" w:cs="Arial"/>
                <w:sz w:val="20"/>
                <w:szCs w:val="20"/>
                <w:lang w:eastAsia="it-IT"/>
              </w:rPr>
            </w:pPr>
            <w:r w:rsidRPr="005C3B98">
              <w:rPr>
                <w:rFonts w:eastAsia="Times New Roman" w:cs="Arial"/>
                <w:sz w:val="20"/>
                <w:szCs w:val="20"/>
                <w:lang w:eastAsia="it-IT"/>
              </w:rPr>
              <w:t>b)</w:t>
            </w:r>
            <w:r w:rsidRPr="005C3B98">
              <w:rPr>
                <w:rFonts w:eastAsia="Times New Roman" w:cs="Arial"/>
                <w:sz w:val="20"/>
                <w:szCs w:val="20"/>
                <w:lang w:eastAsia="it-IT"/>
              </w:rPr>
              <w:tab/>
              <w:t>da una modifica di un piano d’utilizzazione che comporta un aumento di almeno 0,2 punti dell’indice di sfruttamento o di almeno 1,5 punti dell’indice di edificabilità,</w:t>
            </w:r>
          </w:p>
          <w:p w:rsidR="005C3B98" w:rsidRPr="005C3B98" w:rsidRDefault="005C3B98" w:rsidP="00C64A61">
            <w:pPr>
              <w:spacing w:before="60"/>
              <w:ind w:left="284" w:hanging="284"/>
              <w:rPr>
                <w:rFonts w:eastAsia="Times New Roman" w:cs="Arial"/>
                <w:sz w:val="20"/>
                <w:szCs w:val="20"/>
                <w:lang w:eastAsia="it-IT"/>
              </w:rPr>
            </w:pPr>
            <w:r w:rsidRPr="005C3B98">
              <w:rPr>
                <w:rFonts w:eastAsia="Times New Roman" w:cs="Arial"/>
                <w:sz w:val="20"/>
                <w:szCs w:val="20"/>
                <w:lang w:eastAsia="it-IT"/>
              </w:rPr>
              <w:t>c)</w:t>
            </w:r>
            <w:r w:rsidRPr="005C3B98">
              <w:rPr>
                <w:rFonts w:eastAsia="Times New Roman" w:cs="Arial"/>
                <w:sz w:val="20"/>
                <w:szCs w:val="20"/>
                <w:lang w:eastAsia="it-IT"/>
              </w:rPr>
              <w:tab/>
              <w:t>da un cambiamento di destinazione che ingenera un plusvalore importante.</w:t>
            </w:r>
          </w:p>
          <w:p w:rsidR="005C3B98" w:rsidRPr="005C3B98" w:rsidRDefault="005C3B98" w:rsidP="00C64A61">
            <w:pPr>
              <w:spacing w:before="120"/>
              <w:rPr>
                <w:rFonts w:eastAsia="Times New Roman" w:cs="Arial"/>
                <w:b/>
                <w:strike/>
                <w:sz w:val="20"/>
                <w:szCs w:val="20"/>
                <w:lang w:eastAsia="it-IT"/>
              </w:rPr>
            </w:pPr>
            <w:r w:rsidRPr="005C3B98">
              <w:rPr>
                <w:rFonts w:eastAsia="Times New Roman" w:cs="Arial"/>
                <w:b/>
                <w:strike/>
                <w:sz w:val="20"/>
                <w:szCs w:val="20"/>
                <w:vertAlign w:val="superscript"/>
                <w:lang w:eastAsia="it-IT"/>
              </w:rPr>
              <w:t xml:space="preserve">2 </w:t>
            </w:r>
            <w:r w:rsidRPr="005C3B98">
              <w:rPr>
                <w:rFonts w:eastAsia="Times New Roman" w:cs="Arial"/>
                <w:b/>
                <w:strike/>
                <w:sz w:val="20"/>
                <w:szCs w:val="20"/>
                <w:lang w:eastAsia="it-IT"/>
              </w:rPr>
              <w:t xml:space="preserve">L’aumento di valore di un terreno sino a </w:t>
            </w:r>
            <w:proofErr w:type="spellStart"/>
            <w:r w:rsidRPr="005C3B98">
              <w:rPr>
                <w:rFonts w:eastAsia="Times New Roman" w:cs="Arial"/>
                <w:b/>
                <w:strike/>
                <w:sz w:val="20"/>
                <w:szCs w:val="20"/>
                <w:lang w:eastAsia="it-IT"/>
              </w:rPr>
              <w:t>fr</w:t>
            </w:r>
            <w:proofErr w:type="spellEnd"/>
            <w:r w:rsidRPr="005C3B98">
              <w:rPr>
                <w:rFonts w:eastAsia="Times New Roman" w:cs="Arial"/>
                <w:b/>
                <w:strike/>
                <w:sz w:val="20"/>
                <w:szCs w:val="20"/>
                <w:lang w:eastAsia="it-IT"/>
              </w:rPr>
              <w:t>. 100'000.- è esente da contributo.</w:t>
            </w:r>
          </w:p>
        </w:tc>
      </w:tr>
      <w:tr w:rsidR="005C3B98" w:rsidRPr="007461C7" w:rsidTr="00C64A61">
        <w:trPr>
          <w:tblHeader/>
        </w:trPr>
        <w:tc>
          <w:tcPr>
            <w:tcW w:w="2835"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lastRenderedPageBreak/>
              <w:t>Messaggio 7469 del 13 dicembre 2017</w:t>
            </w:r>
          </w:p>
        </w:tc>
        <w:tc>
          <w:tcPr>
            <w:tcW w:w="6804" w:type="dxa"/>
          </w:tcPr>
          <w:p w:rsidR="005C3B98" w:rsidRPr="005C3B98" w:rsidRDefault="005C3B98" w:rsidP="00C64A61">
            <w:pPr>
              <w:spacing w:before="120"/>
              <w:rPr>
                <w:rFonts w:eastAsia="Times New Roman" w:cs="Arial"/>
                <w:sz w:val="20"/>
                <w:szCs w:val="20"/>
                <w:lang w:eastAsia="it-IT"/>
              </w:rPr>
            </w:pPr>
            <w:r w:rsidRPr="005C3B98">
              <w:rPr>
                <w:rFonts w:eastAsia="Times New Roman" w:cs="Arial"/>
                <w:sz w:val="20"/>
                <w:szCs w:val="20"/>
                <w:vertAlign w:val="superscript"/>
                <w:lang w:eastAsia="it-IT"/>
              </w:rPr>
              <w:t xml:space="preserve">1 </w:t>
            </w:r>
            <w:r w:rsidRPr="005C3B98">
              <w:rPr>
                <w:rFonts w:eastAsia="Times New Roman" w:cs="Arial"/>
                <w:sz w:val="20"/>
                <w:szCs w:val="20"/>
                <w:lang w:eastAsia="it-IT"/>
              </w:rPr>
              <w:t>È considerato vantaggio rilevante soggetto a contributo l’aumento di valore di un terreno che deriva</w:t>
            </w:r>
          </w:p>
          <w:p w:rsidR="005C3B98" w:rsidRPr="005C3B98" w:rsidRDefault="005C3B98" w:rsidP="00C64A61">
            <w:pPr>
              <w:spacing w:before="60"/>
              <w:ind w:left="284" w:hanging="284"/>
              <w:rPr>
                <w:rFonts w:eastAsia="Times New Roman" w:cs="Arial"/>
                <w:sz w:val="20"/>
                <w:szCs w:val="20"/>
                <w:lang w:eastAsia="it-IT"/>
              </w:rPr>
            </w:pPr>
            <w:r w:rsidRPr="005C3B98">
              <w:rPr>
                <w:rFonts w:eastAsia="Times New Roman" w:cs="Arial"/>
                <w:sz w:val="20"/>
                <w:szCs w:val="20"/>
                <w:lang w:eastAsia="it-IT"/>
              </w:rPr>
              <w:t>a)</w:t>
            </w:r>
            <w:r w:rsidRPr="005C3B98">
              <w:rPr>
                <w:rFonts w:eastAsia="Times New Roman" w:cs="Arial"/>
                <w:sz w:val="20"/>
                <w:szCs w:val="20"/>
                <w:lang w:eastAsia="it-IT"/>
              </w:rPr>
              <w:tab/>
              <w:t>dalla sua assegnazione alla zona edificabile,</w:t>
            </w:r>
          </w:p>
          <w:p w:rsidR="005C3B98" w:rsidRPr="005C3B98" w:rsidRDefault="005C3B98" w:rsidP="00C64A61">
            <w:pPr>
              <w:spacing w:before="60"/>
              <w:ind w:left="284" w:hanging="284"/>
              <w:rPr>
                <w:rFonts w:eastAsia="Times New Roman" w:cs="Arial"/>
                <w:sz w:val="20"/>
                <w:szCs w:val="20"/>
                <w:lang w:eastAsia="it-IT"/>
              </w:rPr>
            </w:pPr>
            <w:r w:rsidRPr="005C3B98">
              <w:rPr>
                <w:rFonts w:eastAsia="Times New Roman" w:cs="Arial"/>
                <w:sz w:val="20"/>
                <w:szCs w:val="20"/>
                <w:lang w:eastAsia="it-IT"/>
              </w:rPr>
              <w:t>b)</w:t>
            </w:r>
            <w:r w:rsidRPr="005C3B98">
              <w:rPr>
                <w:rFonts w:eastAsia="Times New Roman" w:cs="Arial"/>
                <w:sz w:val="20"/>
                <w:szCs w:val="20"/>
                <w:lang w:eastAsia="it-IT"/>
              </w:rPr>
              <w:tab/>
              <w:t>da una modifica di un piano d’utilizzazione che comporta un aumento di almeno 0,2 punti dell’indice di sfruttamento o di almeno 1,5 punti dell’indice di edificabilità,</w:t>
            </w:r>
          </w:p>
          <w:p w:rsidR="005C3B98" w:rsidRPr="005C3B98" w:rsidRDefault="005C3B98" w:rsidP="00C64A61">
            <w:pPr>
              <w:spacing w:before="60"/>
              <w:ind w:left="284" w:hanging="284"/>
              <w:rPr>
                <w:rFonts w:eastAsia="Times New Roman" w:cs="Arial"/>
                <w:sz w:val="20"/>
                <w:szCs w:val="20"/>
                <w:lang w:eastAsia="it-IT"/>
              </w:rPr>
            </w:pPr>
            <w:r w:rsidRPr="005C3B98">
              <w:rPr>
                <w:rFonts w:eastAsia="Times New Roman" w:cs="Arial"/>
                <w:sz w:val="20"/>
                <w:szCs w:val="20"/>
                <w:lang w:eastAsia="it-IT"/>
              </w:rPr>
              <w:t>c)</w:t>
            </w:r>
            <w:r w:rsidRPr="005C3B98">
              <w:rPr>
                <w:rFonts w:eastAsia="Times New Roman" w:cs="Arial"/>
                <w:sz w:val="20"/>
                <w:szCs w:val="20"/>
                <w:lang w:eastAsia="it-IT"/>
              </w:rPr>
              <w:tab/>
              <w:t>da un cambiamento di destinazione che ingenera un plusvalore importante.</w:t>
            </w:r>
          </w:p>
          <w:p w:rsidR="005C3B98" w:rsidRPr="005C3B98" w:rsidRDefault="005C3B98" w:rsidP="00C64A61">
            <w:pPr>
              <w:spacing w:before="120"/>
              <w:rPr>
                <w:rFonts w:eastAsia="Times New Roman" w:cs="Arial"/>
                <w:b/>
                <w:sz w:val="20"/>
                <w:szCs w:val="20"/>
                <w:vertAlign w:val="superscript"/>
                <w:lang w:eastAsia="it-IT"/>
              </w:rPr>
            </w:pPr>
            <w:r w:rsidRPr="005C3B98">
              <w:rPr>
                <w:rFonts w:eastAsia="Times New Roman" w:cs="Arial"/>
                <w:b/>
                <w:sz w:val="20"/>
                <w:szCs w:val="20"/>
                <w:vertAlign w:val="superscript"/>
                <w:lang w:eastAsia="it-IT"/>
              </w:rPr>
              <w:t xml:space="preserve">2 </w:t>
            </w:r>
            <w:r w:rsidRPr="005C3B98">
              <w:rPr>
                <w:rFonts w:eastAsia="Times New Roman" w:cs="Arial"/>
                <w:b/>
                <w:sz w:val="20"/>
                <w:szCs w:val="20"/>
                <w:lang w:eastAsia="it-IT"/>
              </w:rPr>
              <w:t xml:space="preserve">Il contributo non è dovuto nei casi in cui l’aumento di valore non raggiunge la soglia di </w:t>
            </w:r>
            <w:proofErr w:type="spellStart"/>
            <w:r w:rsidRPr="005C3B98">
              <w:rPr>
                <w:rFonts w:eastAsia="Times New Roman" w:cs="Arial"/>
                <w:b/>
                <w:sz w:val="20"/>
                <w:szCs w:val="20"/>
                <w:lang w:eastAsia="it-IT"/>
              </w:rPr>
              <w:t>fr</w:t>
            </w:r>
            <w:proofErr w:type="spellEnd"/>
            <w:r w:rsidRPr="005C3B98">
              <w:rPr>
                <w:rFonts w:eastAsia="Times New Roman" w:cs="Arial"/>
                <w:b/>
                <w:sz w:val="20"/>
                <w:szCs w:val="20"/>
                <w:lang w:eastAsia="it-IT"/>
              </w:rPr>
              <w:t>. 30'000.--.</w:t>
            </w:r>
          </w:p>
        </w:tc>
      </w:tr>
    </w:tbl>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A titolo di complemento, occorre ev</w:t>
      </w:r>
      <w:r>
        <w:rPr>
          <w:rFonts w:cs="Arial"/>
          <w:szCs w:val="24"/>
        </w:rPr>
        <w:t>idenziare che in risposta ad un’</w:t>
      </w:r>
      <w:r w:rsidRPr="007461C7">
        <w:rPr>
          <w:rFonts w:cs="Arial"/>
          <w:szCs w:val="24"/>
        </w:rPr>
        <w:t>interrogazione presentata dal deputato Carlo Lepori in seguito alla resa della nota sentenza del Tribunale federale</w:t>
      </w:r>
      <w:r w:rsidRPr="007461C7">
        <w:rPr>
          <w:rFonts w:cs="Arial"/>
          <w:szCs w:val="24"/>
          <w:vertAlign w:val="superscript"/>
        </w:rPr>
        <w:footnoteReference w:id="3"/>
      </w:r>
      <w:r w:rsidRPr="007461C7">
        <w:rPr>
          <w:rFonts w:cs="Arial"/>
          <w:szCs w:val="24"/>
        </w:rPr>
        <w:t xml:space="preserve">, il Consiglio di Stato il 29 novembre 2017, indicava che considerando che </w:t>
      </w:r>
      <w:r>
        <w:rPr>
          <w:rFonts w:cs="Arial"/>
          <w:szCs w:val="24"/>
        </w:rPr>
        <w:t>le disposizioni della LST si applicano</w:t>
      </w:r>
      <w:r w:rsidRPr="007461C7">
        <w:rPr>
          <w:rFonts w:cs="Arial"/>
          <w:szCs w:val="24"/>
        </w:rPr>
        <w:t xml:space="preserve"> esclusivamente alle misure </w:t>
      </w:r>
      <w:proofErr w:type="spellStart"/>
      <w:r w:rsidRPr="007461C7">
        <w:rPr>
          <w:rFonts w:cs="Arial"/>
          <w:szCs w:val="24"/>
        </w:rPr>
        <w:t>pianificatorie</w:t>
      </w:r>
      <w:proofErr w:type="spellEnd"/>
      <w:r w:rsidRPr="007461C7">
        <w:rPr>
          <w:rFonts w:cs="Arial"/>
          <w:szCs w:val="24"/>
        </w:rPr>
        <w:t xml:space="preserve"> adottate dal Legislativo comunale a decorrere </w:t>
      </w:r>
      <w:r>
        <w:rPr>
          <w:rFonts w:cs="Arial"/>
          <w:szCs w:val="24"/>
        </w:rPr>
        <w:t>dalla loro entrata in vigore</w:t>
      </w:r>
      <w:r w:rsidRPr="007461C7">
        <w:rPr>
          <w:rFonts w:cs="Arial"/>
          <w:szCs w:val="24"/>
        </w:rPr>
        <w:t xml:space="preserve"> (art. 122 LST</w:t>
      </w:r>
      <w:r>
        <w:rPr>
          <w:rFonts w:cs="Arial"/>
          <w:szCs w:val="24"/>
        </w:rPr>
        <w:t>) e che</w:t>
      </w:r>
      <w:r w:rsidRPr="007461C7">
        <w:rPr>
          <w:rFonts w:cs="Arial"/>
          <w:szCs w:val="24"/>
        </w:rPr>
        <w:t xml:space="preserve"> prima di avviare la procedura di determinazione effettiva del vantaggio e d</w:t>
      </w:r>
      <w:r>
        <w:rPr>
          <w:rFonts w:cs="Arial"/>
          <w:szCs w:val="24"/>
        </w:rPr>
        <w:t>ecidere dell’importo da versare</w:t>
      </w:r>
      <w:r w:rsidRPr="007461C7">
        <w:rPr>
          <w:rFonts w:cs="Arial"/>
          <w:szCs w:val="24"/>
        </w:rPr>
        <w:t xml:space="preserve"> occorre che la misura </w:t>
      </w:r>
      <w:proofErr w:type="spellStart"/>
      <w:r w:rsidRPr="007461C7">
        <w:rPr>
          <w:rFonts w:cs="Arial"/>
          <w:szCs w:val="24"/>
        </w:rPr>
        <w:t>pianificatoria</w:t>
      </w:r>
      <w:proofErr w:type="spellEnd"/>
      <w:r w:rsidRPr="007461C7">
        <w:rPr>
          <w:rFonts w:cs="Arial"/>
          <w:szCs w:val="24"/>
        </w:rPr>
        <w:t xml:space="preserve"> sia entrata in vigore e sia cresciuta in giudicato (art 98 d </w:t>
      </w:r>
      <w:proofErr w:type="spellStart"/>
      <w:r w:rsidRPr="007461C7">
        <w:rPr>
          <w:rFonts w:cs="Arial"/>
          <w:szCs w:val="24"/>
        </w:rPr>
        <w:t>RLst</w:t>
      </w:r>
      <w:proofErr w:type="spellEnd"/>
      <w:r w:rsidRPr="007461C7">
        <w:rPr>
          <w:rFonts w:cs="Arial"/>
          <w:szCs w:val="24"/>
        </w:rPr>
        <w:t xml:space="preserve">). Inoltre, prima che gli importi confluiscano nelle casse comunali e cantonali, occorre che pure la decisione municipale sul prelievo sia cresciuta in giudicato (art 98e </w:t>
      </w:r>
      <w:proofErr w:type="spellStart"/>
      <w:r w:rsidRPr="007461C7">
        <w:rPr>
          <w:rFonts w:cs="Arial"/>
          <w:szCs w:val="24"/>
        </w:rPr>
        <w:t>RLst</w:t>
      </w:r>
      <w:proofErr w:type="spellEnd"/>
      <w:r w:rsidRPr="007461C7">
        <w:rPr>
          <w:rFonts w:cs="Arial"/>
          <w:szCs w:val="24"/>
        </w:rPr>
        <w:t xml:space="preserve">) e che il proprietario del fondo abbia realizzato quanto permette la nuova misura </w:t>
      </w:r>
      <w:proofErr w:type="spellStart"/>
      <w:r w:rsidRPr="007461C7">
        <w:rPr>
          <w:rFonts w:cs="Arial"/>
          <w:szCs w:val="24"/>
        </w:rPr>
        <w:t>pianificatoria</w:t>
      </w:r>
      <w:proofErr w:type="spellEnd"/>
      <w:r w:rsidRPr="007461C7">
        <w:rPr>
          <w:rFonts w:cs="Arial"/>
          <w:szCs w:val="24"/>
        </w:rPr>
        <w:t xml:space="preserve"> o abbia venduto il fondo interessato da un vantaggio rilevante (art. 97 LST e art. 98g </w:t>
      </w:r>
      <w:proofErr w:type="spellStart"/>
      <w:r w:rsidRPr="007461C7">
        <w:rPr>
          <w:rFonts w:cs="Arial"/>
          <w:szCs w:val="24"/>
        </w:rPr>
        <w:t>RLst</w:t>
      </w:r>
      <w:proofErr w:type="spellEnd"/>
      <w:r w:rsidRPr="007461C7">
        <w:rPr>
          <w:rFonts w:cs="Arial"/>
          <w:szCs w:val="24"/>
        </w:rPr>
        <w:t xml:space="preserve">). Quindi, in tre anni dall’entrata in vigore della revisione di legge le procedure </w:t>
      </w:r>
      <w:proofErr w:type="spellStart"/>
      <w:r w:rsidRPr="007461C7">
        <w:rPr>
          <w:rFonts w:cs="Arial"/>
          <w:szCs w:val="24"/>
        </w:rPr>
        <w:t>pianificatorie</w:t>
      </w:r>
      <w:proofErr w:type="spellEnd"/>
      <w:r w:rsidRPr="007461C7">
        <w:rPr>
          <w:rFonts w:cs="Arial"/>
          <w:szCs w:val="24"/>
        </w:rPr>
        <w:t xml:space="preserve"> soggette al prelievo dei vantaggi da esse derivanti cresciute in giudicato sono poche. Nessuna di queste ha già visto avviare e concludere la procedura di estimo da parte del Municipio. </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 xml:space="preserve">In occasione dell’audizione dei rappresentanti del Dipartimento del territorio in sede commissionale che ha avuto luogo il 24 maggio 2018, </w:t>
      </w:r>
      <w:r>
        <w:rPr>
          <w:rFonts w:cs="Arial"/>
          <w:szCs w:val="24"/>
        </w:rPr>
        <w:t>essi</w:t>
      </w:r>
      <w:r w:rsidRPr="007461C7">
        <w:rPr>
          <w:rFonts w:cs="Arial"/>
          <w:szCs w:val="24"/>
        </w:rPr>
        <w:t xml:space="preserve"> hanno avuto modo di ribadire che da quando la </w:t>
      </w:r>
      <w:r>
        <w:rPr>
          <w:rFonts w:cs="Arial"/>
          <w:szCs w:val="24"/>
        </w:rPr>
        <w:t>modifica legislativa</w:t>
      </w:r>
      <w:r w:rsidRPr="007461C7">
        <w:rPr>
          <w:rFonts w:cs="Arial"/>
          <w:szCs w:val="24"/>
        </w:rPr>
        <w:t xml:space="preserve"> è in vigore ancora non vi è stata alcuna entrata derivante da prelievi di plusvalore. Sul tavolo vi sono però modifiche </w:t>
      </w:r>
      <w:proofErr w:type="spellStart"/>
      <w:r w:rsidRPr="007461C7">
        <w:rPr>
          <w:rFonts w:cs="Arial"/>
          <w:szCs w:val="24"/>
        </w:rPr>
        <w:t>pianificatorie</w:t>
      </w:r>
      <w:proofErr w:type="spellEnd"/>
      <w:r w:rsidRPr="007461C7">
        <w:rPr>
          <w:rFonts w:cs="Arial"/>
          <w:szCs w:val="24"/>
        </w:rPr>
        <w:t xml:space="preserve"> importanti, quali ad esempio il Pian </w:t>
      </w:r>
      <w:proofErr w:type="spellStart"/>
      <w:r w:rsidRPr="007461C7">
        <w:rPr>
          <w:rFonts w:cs="Arial"/>
          <w:szCs w:val="24"/>
        </w:rPr>
        <w:t>Scairolo</w:t>
      </w:r>
      <w:proofErr w:type="spellEnd"/>
      <w:r w:rsidRPr="007461C7">
        <w:rPr>
          <w:rFonts w:cs="Arial"/>
          <w:szCs w:val="24"/>
        </w:rPr>
        <w:t>, varianti dell’NQC di Lugano e pianificazioni attorno alle stazioni di Chiasso, Locarno e Bellinzona</w:t>
      </w:r>
      <w:r>
        <w:rPr>
          <w:rFonts w:cs="Arial"/>
          <w:szCs w:val="24"/>
        </w:rPr>
        <w:t>,</w:t>
      </w:r>
      <w:r w:rsidRPr="007461C7">
        <w:rPr>
          <w:rFonts w:cs="Arial"/>
          <w:szCs w:val="24"/>
        </w:rPr>
        <w:t xml:space="preserve"> che prevedono rilevanti aumenti d’indici, </w:t>
      </w:r>
      <w:r>
        <w:rPr>
          <w:rFonts w:cs="Arial"/>
          <w:szCs w:val="24"/>
        </w:rPr>
        <w:t>atti a generare</w:t>
      </w:r>
      <w:r w:rsidRPr="007461C7">
        <w:rPr>
          <w:rFonts w:cs="Arial"/>
          <w:szCs w:val="24"/>
        </w:rPr>
        <w:t xml:space="preserve"> plusvalori. </w:t>
      </w:r>
    </w:p>
    <w:p w:rsidR="005C3B98" w:rsidRDefault="005C3B98" w:rsidP="005C3B98">
      <w:pPr>
        <w:rPr>
          <w:rFonts w:cs="Arial"/>
          <w:szCs w:val="24"/>
        </w:rPr>
      </w:pPr>
    </w:p>
    <w:p w:rsidR="005C3B98" w:rsidRDefault="005C3B98" w:rsidP="005C3B98">
      <w:pPr>
        <w:rPr>
          <w:rFonts w:cs="Arial"/>
          <w:szCs w:val="24"/>
        </w:rPr>
      </w:pPr>
    </w:p>
    <w:p w:rsidR="005C3B98" w:rsidRPr="007461C7" w:rsidRDefault="005C3B98" w:rsidP="005C3B98">
      <w:pPr>
        <w:rPr>
          <w:rFonts w:cs="Arial"/>
          <w:szCs w:val="24"/>
        </w:rPr>
      </w:pPr>
    </w:p>
    <w:p w:rsidR="005C3B98" w:rsidRPr="005C3B98" w:rsidRDefault="005C3B98" w:rsidP="005C3B98">
      <w:pPr>
        <w:pStyle w:val="Titolo1"/>
      </w:pPr>
      <w:r w:rsidRPr="005C3B98">
        <w:t>Lavori commissionali e conclusioni</w:t>
      </w:r>
    </w:p>
    <w:p w:rsidR="005C3B98" w:rsidRPr="005C3B98" w:rsidRDefault="005C3B98" w:rsidP="005C3B98">
      <w:pPr>
        <w:pStyle w:val="Titolo2"/>
      </w:pPr>
      <w:r>
        <w:t>5.1</w:t>
      </w:r>
      <w:r>
        <w:tab/>
      </w:r>
      <w:r w:rsidRPr="005C3B98">
        <w:t>Sull’aumento di valore esente da contributo</w:t>
      </w:r>
    </w:p>
    <w:p w:rsidR="005C3B98" w:rsidRPr="007461C7" w:rsidRDefault="005C3B98" w:rsidP="005C3B98">
      <w:pPr>
        <w:rPr>
          <w:rFonts w:cs="Arial"/>
          <w:szCs w:val="24"/>
        </w:rPr>
      </w:pPr>
      <w:r w:rsidRPr="007461C7">
        <w:rPr>
          <w:rFonts w:cs="Arial"/>
          <w:szCs w:val="24"/>
        </w:rPr>
        <w:t xml:space="preserve">La Commissione speciale per la pianificazione del territorio non può che prendere atto della Sentenza del </w:t>
      </w:r>
      <w:r>
        <w:rPr>
          <w:rFonts w:cs="Arial"/>
          <w:szCs w:val="24"/>
        </w:rPr>
        <w:t>T</w:t>
      </w:r>
      <w:r w:rsidRPr="007461C7">
        <w:rPr>
          <w:rFonts w:cs="Arial"/>
          <w:szCs w:val="24"/>
        </w:rPr>
        <w:t xml:space="preserve">ribunale federale del 16 agosto 2017 e optare per una modifica legislativa conforme al diritto superiore. </w:t>
      </w:r>
      <w:r>
        <w:rPr>
          <w:rFonts w:cs="Arial"/>
          <w:szCs w:val="24"/>
        </w:rPr>
        <w:t>In questo senso. c</w:t>
      </w:r>
      <w:r w:rsidRPr="007461C7">
        <w:rPr>
          <w:rFonts w:cs="Arial"/>
          <w:szCs w:val="24"/>
        </w:rPr>
        <w:t xml:space="preserve">he il limite di CHF 100'000.-- non </w:t>
      </w:r>
      <w:r>
        <w:rPr>
          <w:rFonts w:cs="Arial"/>
          <w:szCs w:val="24"/>
        </w:rPr>
        <w:t>lo sia</w:t>
      </w:r>
      <w:r w:rsidRPr="007461C7">
        <w:rPr>
          <w:rFonts w:cs="Arial"/>
          <w:szCs w:val="24"/>
        </w:rPr>
        <w:t xml:space="preserve"> è chiaro, ma nel contempo è altresì evidente che l’Alta Corte non si pronuncia con gli stessi termini a proposito di un importo esente pari CHF 50'000.--, proposto tra l’altro inizialmente dal Consiglio di Stato. Nell’ambito delle discussioni commissionali, una parte della Commissione ha pertanto rilanciato la possibilità di ristabilire il limite esente a CHF 50'000.--, ma prevedendo che una tale decisione potrebbe senz’altro essere nuovamente oggetto di ricorso e facendo un confronto con le soluzioni adottate negli altri Cantoni, si è deciso di non insistere e di adeguarsi alla proposta governativa.  </w:t>
      </w:r>
    </w:p>
    <w:p w:rsidR="005C3B98" w:rsidRPr="00102B8B" w:rsidRDefault="005C3B98" w:rsidP="005C3B98">
      <w:pPr>
        <w:rPr>
          <w:rFonts w:cs="Arial"/>
          <w:sz w:val="12"/>
          <w:szCs w:val="12"/>
        </w:rPr>
      </w:pPr>
    </w:p>
    <w:p w:rsidR="005C3B98" w:rsidRPr="005C3B98" w:rsidRDefault="005C3B98" w:rsidP="005C3B98">
      <w:pPr>
        <w:pStyle w:val="Titolo2"/>
      </w:pPr>
      <w:r>
        <w:t>5.2</w:t>
      </w:r>
      <w:r>
        <w:tab/>
      </w:r>
      <w:proofErr w:type="spellStart"/>
      <w:r w:rsidRPr="005C3B98">
        <w:t>Freigrenze</w:t>
      </w:r>
      <w:proofErr w:type="spellEnd"/>
      <w:r w:rsidRPr="005C3B98">
        <w:t xml:space="preserve"> o </w:t>
      </w:r>
      <w:proofErr w:type="spellStart"/>
      <w:r w:rsidRPr="005C3B98">
        <w:t>Freibetrag</w:t>
      </w:r>
      <w:proofErr w:type="spellEnd"/>
    </w:p>
    <w:p w:rsidR="005C3B98" w:rsidRPr="007461C7" w:rsidRDefault="005C3B98" w:rsidP="005C3B98">
      <w:pPr>
        <w:rPr>
          <w:rFonts w:cs="Arial"/>
          <w:szCs w:val="24"/>
        </w:rPr>
      </w:pPr>
      <w:r w:rsidRPr="007461C7">
        <w:rPr>
          <w:rFonts w:cs="Arial"/>
          <w:szCs w:val="24"/>
        </w:rPr>
        <w:t>Un approfondimento ulteriore merita invece la scelta del metodo di calcolo operata dal Governo cantonale</w:t>
      </w:r>
      <w:r>
        <w:rPr>
          <w:rFonts w:cs="Arial"/>
          <w:szCs w:val="24"/>
        </w:rPr>
        <w:t xml:space="preserve"> –</w:t>
      </w:r>
      <w:r w:rsidRPr="007461C7">
        <w:rPr>
          <w:rFonts w:cs="Arial"/>
          <w:szCs w:val="24"/>
        </w:rPr>
        <w:t xml:space="preserve"> </w:t>
      </w:r>
      <w:r>
        <w:rPr>
          <w:rFonts w:cs="Arial"/>
          <w:szCs w:val="24"/>
        </w:rPr>
        <w:t>lasciata aperta dal</w:t>
      </w:r>
      <w:r w:rsidRPr="007461C7">
        <w:rPr>
          <w:rFonts w:cs="Arial"/>
          <w:szCs w:val="24"/>
        </w:rPr>
        <w:t xml:space="preserve"> Tribunale federale definendola una decisione di natura politica</w:t>
      </w:r>
      <w:r>
        <w:rPr>
          <w:rFonts w:cs="Arial"/>
          <w:szCs w:val="24"/>
        </w:rPr>
        <w:t xml:space="preserve"> -</w:t>
      </w:r>
      <w:r w:rsidRPr="007461C7">
        <w:rPr>
          <w:rFonts w:cs="Arial"/>
          <w:szCs w:val="24"/>
        </w:rPr>
        <w:t xml:space="preserve"> che ha deciso di abbandonare il sistema dei </w:t>
      </w:r>
      <w:proofErr w:type="spellStart"/>
      <w:r w:rsidRPr="007461C7">
        <w:rPr>
          <w:rFonts w:cs="Arial"/>
          <w:i/>
          <w:szCs w:val="24"/>
        </w:rPr>
        <w:t>Freibetrag</w:t>
      </w:r>
      <w:proofErr w:type="spellEnd"/>
      <w:r w:rsidRPr="007461C7">
        <w:rPr>
          <w:rFonts w:cs="Arial"/>
          <w:i/>
          <w:szCs w:val="24"/>
        </w:rPr>
        <w:t>/Importo esente</w:t>
      </w:r>
      <w:r w:rsidRPr="007461C7">
        <w:rPr>
          <w:rFonts w:cs="Arial"/>
          <w:szCs w:val="24"/>
        </w:rPr>
        <w:t xml:space="preserve"> a favore di quello della </w:t>
      </w:r>
      <w:proofErr w:type="spellStart"/>
      <w:r w:rsidRPr="007461C7">
        <w:rPr>
          <w:rFonts w:cs="Arial"/>
          <w:i/>
          <w:szCs w:val="24"/>
        </w:rPr>
        <w:t>Freigrenze</w:t>
      </w:r>
      <w:proofErr w:type="spellEnd"/>
      <w:r w:rsidRPr="007461C7">
        <w:rPr>
          <w:rFonts w:cs="Arial"/>
          <w:i/>
          <w:szCs w:val="24"/>
        </w:rPr>
        <w:t>/Limite di esenzione</w:t>
      </w:r>
      <w:r w:rsidRPr="007461C7">
        <w:rPr>
          <w:rFonts w:cs="Arial"/>
          <w:szCs w:val="24"/>
        </w:rPr>
        <w:t>, per stabilire la quota esente. A proposito, il Consiglio di Stato è stato interpella</w:t>
      </w:r>
      <w:r>
        <w:rPr>
          <w:rFonts w:cs="Arial"/>
          <w:szCs w:val="24"/>
        </w:rPr>
        <w:t xml:space="preserve">to dalla scrivente Commissione e </w:t>
      </w:r>
      <w:r w:rsidRPr="007461C7">
        <w:rPr>
          <w:rFonts w:cs="Arial"/>
          <w:szCs w:val="24"/>
        </w:rPr>
        <w:t xml:space="preserve">ha fornito </w:t>
      </w:r>
      <w:r>
        <w:rPr>
          <w:rFonts w:cs="Arial"/>
          <w:szCs w:val="24"/>
        </w:rPr>
        <w:t>le proprie spiegazioni, in merito alla scelta effettuata.</w:t>
      </w:r>
      <w:r w:rsidRPr="007461C7">
        <w:rPr>
          <w:rFonts w:cs="Arial"/>
          <w:szCs w:val="24"/>
        </w:rPr>
        <w:t xml:space="preserve"> </w:t>
      </w:r>
    </w:p>
    <w:p w:rsidR="005C3B98" w:rsidRPr="007461C7" w:rsidRDefault="005C3B98" w:rsidP="005C3B98">
      <w:pPr>
        <w:rPr>
          <w:rFonts w:cs="Arial"/>
          <w:szCs w:val="24"/>
        </w:rPr>
      </w:pPr>
    </w:p>
    <w:p w:rsidR="005C3B98" w:rsidRPr="007461C7" w:rsidRDefault="005C3B98" w:rsidP="005C3B98">
      <w:pPr>
        <w:rPr>
          <w:rFonts w:cs="Arial"/>
          <w:szCs w:val="24"/>
        </w:rPr>
      </w:pPr>
      <w:r>
        <w:rPr>
          <w:rFonts w:cs="Arial"/>
          <w:szCs w:val="24"/>
        </w:rPr>
        <w:t xml:space="preserve">Il Governo, </w:t>
      </w:r>
      <w:r w:rsidRPr="007461C7">
        <w:rPr>
          <w:rFonts w:cs="Arial"/>
          <w:szCs w:val="24"/>
        </w:rPr>
        <w:t>In uno scritt</w:t>
      </w:r>
      <w:r>
        <w:rPr>
          <w:rFonts w:cs="Arial"/>
          <w:szCs w:val="24"/>
        </w:rPr>
        <w:t xml:space="preserve">o indirizzato alla scrivente Commissione, </w:t>
      </w:r>
      <w:r w:rsidRPr="007461C7">
        <w:rPr>
          <w:rFonts w:cs="Arial"/>
          <w:szCs w:val="24"/>
        </w:rPr>
        <w:t>richiamando l’art. 5 cpv. 1</w:t>
      </w:r>
      <w:r w:rsidRPr="007461C7">
        <w:rPr>
          <w:rFonts w:cs="Arial"/>
          <w:szCs w:val="24"/>
          <w:vertAlign w:val="superscript"/>
        </w:rPr>
        <w:t>quinquies</w:t>
      </w:r>
      <w:r w:rsidRPr="007461C7">
        <w:rPr>
          <w:rFonts w:cs="Arial"/>
          <w:szCs w:val="24"/>
        </w:rPr>
        <w:t xml:space="preserve"> </w:t>
      </w:r>
      <w:proofErr w:type="spellStart"/>
      <w:r w:rsidRPr="007461C7">
        <w:rPr>
          <w:rFonts w:cs="Arial"/>
          <w:szCs w:val="24"/>
        </w:rPr>
        <w:t>lett</w:t>
      </w:r>
      <w:proofErr w:type="spellEnd"/>
      <w:r w:rsidRPr="007461C7">
        <w:rPr>
          <w:rFonts w:cs="Arial"/>
          <w:szCs w:val="24"/>
        </w:rPr>
        <w:t xml:space="preserve">. LPT e il considerando 8.4 della Sentenza del Tribunale federale, che sottolinea l’importanza per il Cantone di orientarsi sulla base delle spese di riscossione nello stabilire determinati importi soglia o esenti per il singolo prelievo, in modo che siano giustificate rispetto al prodotto della tassa, conclude con un esempio: applicando il metodo del </w:t>
      </w:r>
      <w:proofErr w:type="spellStart"/>
      <w:r w:rsidRPr="007461C7">
        <w:rPr>
          <w:rFonts w:cs="Arial"/>
          <w:i/>
          <w:szCs w:val="24"/>
        </w:rPr>
        <w:t>Freibetrag</w:t>
      </w:r>
      <w:proofErr w:type="spellEnd"/>
      <w:r w:rsidRPr="007461C7">
        <w:rPr>
          <w:rFonts w:cs="Arial"/>
          <w:szCs w:val="24"/>
        </w:rPr>
        <w:t xml:space="preserve"> per una somma ad esempio di CHF 31'000.-- a un tasso del 20% ai sensi dell’art. 94 </w:t>
      </w:r>
      <w:proofErr w:type="spellStart"/>
      <w:r w:rsidRPr="007461C7">
        <w:rPr>
          <w:rFonts w:cs="Arial"/>
          <w:szCs w:val="24"/>
        </w:rPr>
        <w:t>cpv</w:t>
      </w:r>
      <w:proofErr w:type="spellEnd"/>
      <w:r w:rsidRPr="007461C7">
        <w:rPr>
          <w:rFonts w:cs="Arial"/>
          <w:szCs w:val="24"/>
        </w:rPr>
        <w:t xml:space="preserve"> 1 </w:t>
      </w:r>
      <w:proofErr w:type="spellStart"/>
      <w:r w:rsidRPr="007461C7">
        <w:rPr>
          <w:rFonts w:cs="Arial"/>
          <w:szCs w:val="24"/>
        </w:rPr>
        <w:t>lett</w:t>
      </w:r>
      <w:proofErr w:type="spellEnd"/>
      <w:r w:rsidRPr="007461C7">
        <w:rPr>
          <w:rFonts w:cs="Arial"/>
          <w:szCs w:val="24"/>
        </w:rPr>
        <w:t>. b LST, il contributo dovuto dal proprie</w:t>
      </w:r>
      <w:r>
        <w:rPr>
          <w:rFonts w:cs="Arial"/>
          <w:szCs w:val="24"/>
        </w:rPr>
        <w:t>tario sarebbe di soli CHF 200.-</w:t>
      </w:r>
      <w:r w:rsidRPr="007461C7">
        <w:rPr>
          <w:rFonts w:cs="Arial"/>
          <w:szCs w:val="24"/>
        </w:rPr>
        <w:t>. Invece, utilizzando il metodo della</w:t>
      </w:r>
      <w:r w:rsidRPr="007461C7">
        <w:rPr>
          <w:rFonts w:cs="Arial"/>
          <w:i/>
          <w:szCs w:val="24"/>
        </w:rPr>
        <w:t xml:space="preserve"> </w:t>
      </w:r>
      <w:proofErr w:type="spellStart"/>
      <w:r w:rsidRPr="007461C7">
        <w:rPr>
          <w:rFonts w:cs="Arial"/>
          <w:i/>
          <w:szCs w:val="24"/>
        </w:rPr>
        <w:t>Freigrenze</w:t>
      </w:r>
      <w:proofErr w:type="spellEnd"/>
      <w:r w:rsidRPr="007461C7">
        <w:rPr>
          <w:rFonts w:cs="Arial"/>
          <w:szCs w:val="24"/>
        </w:rPr>
        <w:t xml:space="preserve"> sarebbe pari a CHF 6'200.--. Nel primo caso, le spese di estimo risulterebbero scoperte e provocherebbero un aggravio del lavoro amministrativo presso le istituzioni coinvolte, generando una sproporzione tra i costi di recupero del contributo rispetto al contributo effettivamente incassato. Di conseguenza, secondo il Governo il metodo scelto permetterebbe quindi l’incasso di contributi minimi superiori a CHF 6'000.-- (art. 94 cpv. 1 </w:t>
      </w:r>
      <w:proofErr w:type="spellStart"/>
      <w:r w:rsidRPr="007461C7">
        <w:rPr>
          <w:rFonts w:cs="Arial"/>
          <w:szCs w:val="24"/>
        </w:rPr>
        <w:t>lett</w:t>
      </w:r>
      <w:proofErr w:type="spellEnd"/>
      <w:r w:rsidRPr="007461C7">
        <w:rPr>
          <w:rFonts w:cs="Arial"/>
          <w:szCs w:val="24"/>
        </w:rPr>
        <w:t xml:space="preserve">. b LST) e a CHF 9'000.-- (art. 94 cpv. 1 </w:t>
      </w:r>
      <w:proofErr w:type="spellStart"/>
      <w:r w:rsidRPr="007461C7">
        <w:rPr>
          <w:rFonts w:cs="Arial"/>
          <w:szCs w:val="24"/>
        </w:rPr>
        <w:t>lett</w:t>
      </w:r>
      <w:proofErr w:type="spellEnd"/>
      <w:r w:rsidRPr="007461C7">
        <w:rPr>
          <w:rFonts w:cs="Arial"/>
          <w:szCs w:val="24"/>
        </w:rPr>
        <w:t>. a LST), sufficienti per coprire le spese di riscossione.</w:t>
      </w:r>
    </w:p>
    <w:p w:rsidR="005C3B98" w:rsidRPr="007461C7" w:rsidRDefault="005C3B98" w:rsidP="005C3B98">
      <w:pPr>
        <w:rPr>
          <w:rFonts w:cs="Arial"/>
          <w:szCs w:val="24"/>
        </w:rPr>
      </w:pPr>
    </w:p>
    <w:p w:rsidR="005C3B98" w:rsidRPr="007461C7" w:rsidRDefault="005C3B98" w:rsidP="005C3B98">
      <w:pPr>
        <w:rPr>
          <w:rFonts w:cs="Arial"/>
          <w:szCs w:val="24"/>
        </w:rPr>
      </w:pPr>
      <w:r w:rsidRPr="007461C7">
        <w:rPr>
          <w:rFonts w:cs="Arial"/>
          <w:szCs w:val="24"/>
        </w:rPr>
        <w:t xml:space="preserve">In seguito i rappresentanti del Dipartimento del territorio incaricati dell’allestimento del Messaggio che qui ci occupa sono stati sentiti il 24 maggio 2018 e hanno avuto modo di esplicitare ulteriormente la scelta governativa. </w:t>
      </w:r>
    </w:p>
    <w:p w:rsidR="005C3B98" w:rsidRPr="007461C7" w:rsidRDefault="005C3B98" w:rsidP="005C3B98">
      <w:pPr>
        <w:rPr>
          <w:rFonts w:cs="Arial"/>
          <w:szCs w:val="24"/>
        </w:rPr>
      </w:pPr>
    </w:p>
    <w:p w:rsidR="005C3B98" w:rsidRDefault="005C3B98" w:rsidP="005C3B98">
      <w:pPr>
        <w:rPr>
          <w:rFonts w:cs="Arial"/>
          <w:szCs w:val="24"/>
        </w:rPr>
      </w:pPr>
      <w:r w:rsidRPr="007461C7">
        <w:rPr>
          <w:rFonts w:cs="Arial"/>
          <w:szCs w:val="24"/>
        </w:rPr>
        <w:t>La seguente tabella, allestita dalla Commissione per la pianificazione del territorio, mette alla luce ulteriori esempi che permettono di evidenziare quello che sarebbe l’importo dovuto in determinati casi di plusvalore applicando i due metodi differenti, in caso di nuovo azzonamento e in caso di aumento degli indici:</w:t>
      </w:r>
    </w:p>
    <w:p w:rsidR="005C3B98" w:rsidRDefault="005C3B98" w:rsidP="005C3B98">
      <w:pPr>
        <w:rPr>
          <w:rFonts w:cs="Arial"/>
          <w:szCs w:val="24"/>
        </w:rPr>
      </w:pPr>
    </w:p>
    <w:p w:rsidR="005C3B98" w:rsidRDefault="005C3B98">
      <w:pPr>
        <w:rPr>
          <w:rFonts w:eastAsia="Times New Roman" w:cs="Times New Roman"/>
          <w:b/>
          <w:bCs/>
          <w:sz w:val="20"/>
          <w:szCs w:val="20"/>
          <w:lang w:eastAsia="it-IT"/>
        </w:rPr>
      </w:pPr>
    </w:p>
    <w:p w:rsidR="005C3B98" w:rsidRPr="005C3B98" w:rsidRDefault="005C3B98" w:rsidP="005C3B98">
      <w:pPr>
        <w:keepNext/>
        <w:spacing w:after="120"/>
        <w:rPr>
          <w:rFonts w:eastAsia="Times New Roman" w:cs="Times New Roman"/>
          <w:b/>
          <w:bCs/>
          <w:sz w:val="20"/>
          <w:szCs w:val="20"/>
          <w:lang w:eastAsia="it-IT"/>
        </w:rPr>
      </w:pPr>
      <w:r w:rsidRPr="007461C7">
        <w:rPr>
          <w:rFonts w:eastAsia="Times New Roman" w:cs="Times New Roman"/>
          <w:b/>
          <w:bCs/>
          <w:sz w:val="20"/>
          <w:szCs w:val="20"/>
          <w:lang w:eastAsia="it-IT"/>
        </w:rPr>
        <w:t xml:space="preserve">Tabella </w:t>
      </w:r>
      <w:r w:rsidRPr="007461C7">
        <w:rPr>
          <w:rFonts w:eastAsia="Times New Roman" w:cs="Times New Roman"/>
          <w:b/>
          <w:bCs/>
          <w:sz w:val="20"/>
          <w:szCs w:val="20"/>
          <w:lang w:eastAsia="it-IT"/>
        </w:rPr>
        <w:fldChar w:fldCharType="begin"/>
      </w:r>
      <w:r w:rsidRPr="007461C7">
        <w:rPr>
          <w:rFonts w:eastAsia="Times New Roman" w:cs="Times New Roman"/>
          <w:b/>
          <w:bCs/>
          <w:sz w:val="20"/>
          <w:szCs w:val="20"/>
          <w:lang w:eastAsia="it-IT"/>
        </w:rPr>
        <w:instrText xml:space="preserve"> SEQ Tabella \* ARABIC </w:instrText>
      </w:r>
      <w:r w:rsidRPr="007461C7">
        <w:rPr>
          <w:rFonts w:eastAsia="Times New Roman" w:cs="Times New Roman"/>
          <w:b/>
          <w:bCs/>
          <w:sz w:val="20"/>
          <w:szCs w:val="20"/>
          <w:lang w:eastAsia="it-IT"/>
        </w:rPr>
        <w:fldChar w:fldCharType="separate"/>
      </w:r>
      <w:r w:rsidR="00102B8B">
        <w:rPr>
          <w:rFonts w:eastAsia="Times New Roman" w:cs="Times New Roman"/>
          <w:b/>
          <w:bCs/>
          <w:noProof/>
          <w:sz w:val="20"/>
          <w:szCs w:val="20"/>
          <w:lang w:eastAsia="it-IT"/>
        </w:rPr>
        <w:t>2</w:t>
      </w:r>
      <w:r w:rsidRPr="007461C7">
        <w:rPr>
          <w:rFonts w:eastAsia="Times New Roman" w:cs="Times New Roman"/>
          <w:b/>
          <w:bCs/>
          <w:sz w:val="20"/>
          <w:szCs w:val="20"/>
          <w:lang w:eastAsia="it-IT"/>
        </w:rPr>
        <w:fldChar w:fldCharType="end"/>
      </w:r>
      <w:r w:rsidRPr="007461C7">
        <w:rPr>
          <w:rFonts w:eastAsia="Times New Roman" w:cs="Times New Roman"/>
          <w:b/>
          <w:bCs/>
          <w:sz w:val="20"/>
          <w:szCs w:val="20"/>
          <w:lang w:eastAsia="it-IT"/>
        </w:rPr>
        <w:t xml:space="preserve"> - Importo dovuto con il limite esente rispettivamente l’importo esente</w:t>
      </w:r>
    </w:p>
    <w:tbl>
      <w:tblPr>
        <w:tblStyle w:val="Grigliatabella1"/>
        <w:tblW w:w="0" w:type="auto"/>
        <w:tblLook w:val="04A0" w:firstRow="1" w:lastRow="0" w:firstColumn="1" w:lastColumn="0" w:noHBand="0" w:noVBand="1"/>
      </w:tblPr>
      <w:tblGrid>
        <w:gridCol w:w="3068"/>
        <w:gridCol w:w="3068"/>
        <w:gridCol w:w="3069"/>
      </w:tblGrid>
      <w:tr w:rsidR="005C3B98" w:rsidRPr="007461C7" w:rsidTr="00C64A61">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Plusvalore</w:t>
            </w:r>
          </w:p>
        </w:tc>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Importo dovuto con limite esente (</w:t>
            </w:r>
            <w:proofErr w:type="spellStart"/>
            <w:r w:rsidRPr="007461C7">
              <w:rPr>
                <w:rFonts w:cs="Arial"/>
                <w:sz w:val="20"/>
                <w:lang w:eastAsia="it-IT"/>
              </w:rPr>
              <w:t>Freigrenze</w:t>
            </w:r>
            <w:proofErr w:type="spellEnd"/>
            <w:r w:rsidRPr="007461C7">
              <w:rPr>
                <w:rFonts w:cs="Arial"/>
                <w:sz w:val="20"/>
                <w:lang w:eastAsia="it-IT"/>
              </w:rPr>
              <w:t>) di CHF 30'000.-</w:t>
            </w:r>
            <w:r w:rsidRPr="007461C7">
              <w:rPr>
                <w:rFonts w:cs="Arial"/>
                <w:sz w:val="20"/>
                <w:lang w:eastAsia="it-IT"/>
              </w:rPr>
              <w:br/>
              <w:t>nuovo azzonamento (30%) [</w:t>
            </w:r>
            <w:r w:rsidRPr="007461C7">
              <w:rPr>
                <w:rFonts w:cs="Arial"/>
                <w:i/>
                <w:sz w:val="20"/>
                <w:lang w:eastAsia="it-IT"/>
              </w:rPr>
              <w:t>aumento degli indici (20%)</w:t>
            </w:r>
            <w:r w:rsidRPr="007461C7">
              <w:rPr>
                <w:rFonts w:cs="Arial"/>
                <w:sz w:val="20"/>
                <w:lang w:eastAsia="it-IT"/>
              </w:rPr>
              <w:t>]</w:t>
            </w:r>
          </w:p>
        </w:tc>
        <w:tc>
          <w:tcPr>
            <w:tcW w:w="3069"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Importo dovuto con importo esente (</w:t>
            </w:r>
            <w:proofErr w:type="spellStart"/>
            <w:r w:rsidRPr="007461C7">
              <w:rPr>
                <w:rFonts w:cs="Arial"/>
                <w:sz w:val="20"/>
                <w:lang w:eastAsia="it-IT"/>
              </w:rPr>
              <w:t>Freibetrag</w:t>
            </w:r>
            <w:proofErr w:type="spellEnd"/>
            <w:r w:rsidRPr="007461C7">
              <w:rPr>
                <w:rFonts w:cs="Arial"/>
                <w:sz w:val="20"/>
                <w:lang w:eastAsia="it-IT"/>
              </w:rPr>
              <w:t xml:space="preserve">) di CHF 30'000.-, </w:t>
            </w:r>
            <w:r w:rsidRPr="007461C7">
              <w:rPr>
                <w:rFonts w:cs="Arial"/>
                <w:sz w:val="20"/>
                <w:lang w:eastAsia="it-IT"/>
              </w:rPr>
              <w:br/>
              <w:t>nuovo azzonamento (30%) [</w:t>
            </w:r>
            <w:r w:rsidRPr="007461C7">
              <w:rPr>
                <w:rFonts w:cs="Arial"/>
                <w:i/>
                <w:sz w:val="20"/>
                <w:lang w:eastAsia="it-IT"/>
              </w:rPr>
              <w:t>aumento degli indici (20%)</w:t>
            </w:r>
            <w:r w:rsidRPr="007461C7">
              <w:rPr>
                <w:rFonts w:cs="Arial"/>
                <w:sz w:val="20"/>
                <w:lang w:eastAsia="it-IT"/>
              </w:rPr>
              <w:t>]</w:t>
            </w:r>
          </w:p>
        </w:tc>
      </w:tr>
      <w:tr w:rsidR="005C3B98" w:rsidRPr="007461C7" w:rsidTr="00C64A61">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Fino a CHF 30'000.-</w:t>
            </w:r>
          </w:p>
        </w:tc>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w:t>
            </w:r>
          </w:p>
        </w:tc>
        <w:tc>
          <w:tcPr>
            <w:tcW w:w="3069"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w:t>
            </w:r>
          </w:p>
        </w:tc>
      </w:tr>
      <w:tr w:rsidR="005C3B98" w:rsidRPr="007461C7" w:rsidTr="00C64A61">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31'000.-</w:t>
            </w:r>
          </w:p>
        </w:tc>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9'300.- [</w:t>
            </w:r>
            <w:r w:rsidRPr="007461C7">
              <w:rPr>
                <w:rFonts w:cs="Arial"/>
                <w:i/>
                <w:sz w:val="20"/>
                <w:lang w:eastAsia="it-IT"/>
              </w:rPr>
              <w:t>6'200</w:t>
            </w:r>
            <w:r w:rsidRPr="007461C7">
              <w:rPr>
                <w:rFonts w:cs="Arial"/>
                <w:sz w:val="20"/>
                <w:lang w:eastAsia="it-IT"/>
              </w:rPr>
              <w:t>.-]</w:t>
            </w:r>
          </w:p>
        </w:tc>
        <w:tc>
          <w:tcPr>
            <w:tcW w:w="3069"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300.- [</w:t>
            </w:r>
            <w:r w:rsidRPr="007461C7">
              <w:rPr>
                <w:rFonts w:cs="Arial"/>
                <w:i/>
                <w:sz w:val="20"/>
                <w:lang w:eastAsia="it-IT"/>
              </w:rPr>
              <w:t>200</w:t>
            </w:r>
            <w:r w:rsidRPr="007461C7">
              <w:rPr>
                <w:rFonts w:cs="Arial"/>
                <w:sz w:val="20"/>
                <w:lang w:eastAsia="it-IT"/>
              </w:rPr>
              <w:t>.-]</w:t>
            </w:r>
          </w:p>
        </w:tc>
      </w:tr>
      <w:tr w:rsidR="005C3B98" w:rsidRPr="007461C7" w:rsidTr="00C64A61">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35'000.-</w:t>
            </w:r>
          </w:p>
        </w:tc>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10'500.- [</w:t>
            </w:r>
            <w:r w:rsidRPr="007461C7">
              <w:rPr>
                <w:rFonts w:cs="Arial"/>
                <w:i/>
                <w:sz w:val="20"/>
                <w:lang w:eastAsia="it-IT"/>
              </w:rPr>
              <w:t>7'000</w:t>
            </w:r>
            <w:r w:rsidRPr="007461C7">
              <w:rPr>
                <w:rFonts w:cs="Arial"/>
                <w:sz w:val="20"/>
                <w:lang w:eastAsia="it-IT"/>
              </w:rPr>
              <w:t>.-]</w:t>
            </w:r>
          </w:p>
        </w:tc>
        <w:tc>
          <w:tcPr>
            <w:tcW w:w="3069"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1'500.- [</w:t>
            </w:r>
            <w:r w:rsidRPr="007461C7">
              <w:rPr>
                <w:rFonts w:cs="Arial"/>
                <w:i/>
                <w:sz w:val="20"/>
                <w:lang w:eastAsia="it-IT"/>
              </w:rPr>
              <w:t>1'000</w:t>
            </w:r>
            <w:r w:rsidRPr="007461C7">
              <w:rPr>
                <w:rFonts w:cs="Arial"/>
                <w:sz w:val="20"/>
                <w:lang w:eastAsia="it-IT"/>
              </w:rPr>
              <w:t>.-]</w:t>
            </w:r>
          </w:p>
        </w:tc>
      </w:tr>
      <w:tr w:rsidR="005C3B98" w:rsidRPr="007461C7" w:rsidTr="00C64A61">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50'000.-</w:t>
            </w:r>
          </w:p>
        </w:tc>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15'000.- [</w:t>
            </w:r>
            <w:r w:rsidRPr="007461C7">
              <w:rPr>
                <w:rFonts w:cs="Arial"/>
                <w:i/>
                <w:sz w:val="20"/>
                <w:lang w:eastAsia="it-IT"/>
              </w:rPr>
              <w:t>10'000</w:t>
            </w:r>
            <w:r w:rsidRPr="007461C7">
              <w:rPr>
                <w:rFonts w:cs="Arial"/>
                <w:sz w:val="20"/>
                <w:lang w:eastAsia="it-IT"/>
              </w:rPr>
              <w:t>.-]</w:t>
            </w:r>
          </w:p>
        </w:tc>
        <w:tc>
          <w:tcPr>
            <w:tcW w:w="3069"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6'000.- [</w:t>
            </w:r>
            <w:r w:rsidRPr="007461C7">
              <w:rPr>
                <w:rFonts w:cs="Arial"/>
                <w:i/>
                <w:sz w:val="20"/>
                <w:lang w:eastAsia="it-IT"/>
              </w:rPr>
              <w:t>4'000</w:t>
            </w:r>
            <w:r w:rsidRPr="007461C7">
              <w:rPr>
                <w:rFonts w:cs="Arial"/>
                <w:sz w:val="20"/>
                <w:lang w:eastAsia="it-IT"/>
              </w:rPr>
              <w:t>.-]</w:t>
            </w:r>
          </w:p>
        </w:tc>
      </w:tr>
      <w:tr w:rsidR="005C3B98" w:rsidRPr="007461C7" w:rsidTr="00C64A61">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100'000.-</w:t>
            </w:r>
          </w:p>
        </w:tc>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30'000.- [</w:t>
            </w:r>
            <w:r w:rsidRPr="007461C7">
              <w:rPr>
                <w:rFonts w:cs="Arial"/>
                <w:i/>
                <w:sz w:val="20"/>
                <w:lang w:eastAsia="it-IT"/>
              </w:rPr>
              <w:t>20'000</w:t>
            </w:r>
            <w:r w:rsidRPr="007461C7">
              <w:rPr>
                <w:rFonts w:cs="Arial"/>
                <w:sz w:val="20"/>
                <w:lang w:eastAsia="it-IT"/>
              </w:rPr>
              <w:t>.-]</w:t>
            </w:r>
          </w:p>
        </w:tc>
        <w:tc>
          <w:tcPr>
            <w:tcW w:w="3069"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21'000.- [</w:t>
            </w:r>
            <w:r w:rsidRPr="007461C7">
              <w:rPr>
                <w:rFonts w:cs="Arial"/>
                <w:i/>
                <w:sz w:val="20"/>
                <w:lang w:eastAsia="it-IT"/>
              </w:rPr>
              <w:t>14'000</w:t>
            </w:r>
            <w:r w:rsidRPr="007461C7">
              <w:rPr>
                <w:rFonts w:cs="Arial"/>
                <w:sz w:val="20"/>
                <w:lang w:eastAsia="it-IT"/>
              </w:rPr>
              <w:t>.-]</w:t>
            </w:r>
          </w:p>
        </w:tc>
      </w:tr>
      <w:tr w:rsidR="005C3B98" w:rsidRPr="007461C7" w:rsidTr="00C64A61">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500'000.-</w:t>
            </w:r>
          </w:p>
        </w:tc>
        <w:tc>
          <w:tcPr>
            <w:tcW w:w="3068"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150'000.- [</w:t>
            </w:r>
            <w:r w:rsidRPr="007461C7">
              <w:rPr>
                <w:rFonts w:cs="Arial"/>
                <w:i/>
                <w:sz w:val="20"/>
                <w:lang w:eastAsia="it-IT"/>
              </w:rPr>
              <w:t>100'000.-</w:t>
            </w:r>
            <w:r w:rsidRPr="007461C7">
              <w:rPr>
                <w:rFonts w:cs="Arial"/>
                <w:sz w:val="20"/>
                <w:lang w:eastAsia="it-IT"/>
              </w:rPr>
              <w:t>]</w:t>
            </w:r>
          </w:p>
        </w:tc>
        <w:tc>
          <w:tcPr>
            <w:tcW w:w="3069" w:type="dxa"/>
          </w:tcPr>
          <w:p w:rsidR="005C3B98" w:rsidRPr="007461C7" w:rsidRDefault="005C3B98" w:rsidP="00C64A61">
            <w:pPr>
              <w:spacing w:before="120" w:line="240" w:lineRule="atLeast"/>
              <w:jc w:val="center"/>
              <w:rPr>
                <w:rFonts w:cs="Arial"/>
                <w:sz w:val="20"/>
                <w:lang w:eastAsia="it-IT"/>
              </w:rPr>
            </w:pPr>
            <w:r w:rsidRPr="007461C7">
              <w:rPr>
                <w:rFonts w:cs="Arial"/>
                <w:sz w:val="20"/>
                <w:lang w:eastAsia="it-IT"/>
              </w:rPr>
              <w:t>CHF 141'000.- [</w:t>
            </w:r>
            <w:r w:rsidRPr="007461C7">
              <w:rPr>
                <w:rFonts w:cs="Arial"/>
                <w:i/>
                <w:sz w:val="20"/>
                <w:lang w:eastAsia="it-IT"/>
              </w:rPr>
              <w:t>94'000.-</w:t>
            </w:r>
            <w:r w:rsidRPr="007461C7">
              <w:rPr>
                <w:rFonts w:cs="Arial"/>
                <w:sz w:val="20"/>
                <w:lang w:eastAsia="it-IT"/>
              </w:rPr>
              <w:t>]</w:t>
            </w:r>
          </w:p>
        </w:tc>
      </w:tr>
    </w:tbl>
    <w:p w:rsidR="005C3B98" w:rsidRPr="007461C7" w:rsidRDefault="005C3B98" w:rsidP="005C3B98">
      <w:pPr>
        <w:rPr>
          <w:rFonts w:cs="Arial"/>
          <w:szCs w:val="24"/>
        </w:rPr>
      </w:pPr>
    </w:p>
    <w:p w:rsidR="005C3B98" w:rsidRPr="007461C7" w:rsidRDefault="005C3B98" w:rsidP="005C3B98">
      <w:pPr>
        <w:rPr>
          <w:rFonts w:cs="Arial"/>
          <w:szCs w:val="24"/>
        </w:rPr>
      </w:pPr>
    </w:p>
    <w:p w:rsidR="00102B8B" w:rsidRDefault="00102B8B">
      <w:pPr>
        <w:rPr>
          <w:rFonts w:cs="Arial"/>
          <w:szCs w:val="24"/>
        </w:rPr>
      </w:pPr>
      <w:r>
        <w:rPr>
          <w:rFonts w:cs="Arial"/>
          <w:szCs w:val="24"/>
        </w:rPr>
        <w:br w:type="page"/>
      </w:r>
    </w:p>
    <w:p w:rsidR="005C3B98" w:rsidRPr="007461C7" w:rsidRDefault="005C3B98" w:rsidP="005C3B98">
      <w:pPr>
        <w:rPr>
          <w:rFonts w:cs="Arial"/>
          <w:szCs w:val="24"/>
        </w:rPr>
      </w:pPr>
      <w:r w:rsidRPr="007461C7">
        <w:rPr>
          <w:rFonts w:cs="Arial"/>
          <w:szCs w:val="24"/>
        </w:rPr>
        <w:lastRenderedPageBreak/>
        <w:t>Non vi è chi non veda come il sistema del limite esente (</w:t>
      </w:r>
      <w:proofErr w:type="spellStart"/>
      <w:r w:rsidRPr="007461C7">
        <w:rPr>
          <w:rFonts w:cs="Arial"/>
          <w:i/>
          <w:szCs w:val="24"/>
        </w:rPr>
        <w:t>Freigrenze</w:t>
      </w:r>
      <w:proofErr w:type="spellEnd"/>
      <w:r w:rsidRPr="007461C7">
        <w:rPr>
          <w:rFonts w:cs="Arial"/>
          <w:szCs w:val="24"/>
        </w:rPr>
        <w:t>) permette di incassare importi ben maggiori rispetto a quello dell’importo esente (</w:t>
      </w:r>
      <w:proofErr w:type="spellStart"/>
      <w:r w:rsidRPr="007461C7">
        <w:rPr>
          <w:rFonts w:cs="Arial"/>
          <w:i/>
          <w:szCs w:val="24"/>
        </w:rPr>
        <w:t>Freibetrag</w:t>
      </w:r>
      <w:proofErr w:type="spellEnd"/>
      <w:r w:rsidRPr="007461C7">
        <w:rPr>
          <w:rFonts w:cs="Arial"/>
          <w:szCs w:val="24"/>
        </w:rPr>
        <w:t>). Come evidenziato anche dal Tribunale federale, quest’ultimo è senz’altro più rispettoso della parità di trattamento, ma non permette necessariamente di riscuotere una tassa sufficiente per coprire le spese di riscossione</w:t>
      </w:r>
      <w:r>
        <w:rPr>
          <w:rFonts w:cs="Arial"/>
          <w:szCs w:val="24"/>
        </w:rPr>
        <w:t>.</w:t>
      </w:r>
      <w:r w:rsidRPr="007461C7">
        <w:rPr>
          <w:rFonts w:cs="Arial"/>
          <w:szCs w:val="24"/>
        </w:rPr>
        <w:t xml:space="preserve"> </w:t>
      </w:r>
    </w:p>
    <w:p w:rsidR="005C3B98" w:rsidRPr="007461C7" w:rsidRDefault="005C3B98" w:rsidP="005C3B98">
      <w:pPr>
        <w:rPr>
          <w:rFonts w:cs="Arial"/>
          <w:szCs w:val="24"/>
        </w:rPr>
      </w:pPr>
    </w:p>
    <w:p w:rsidR="005C3B98" w:rsidRDefault="005C3B98" w:rsidP="005C3B98">
      <w:pPr>
        <w:rPr>
          <w:rFonts w:cs="Arial"/>
          <w:szCs w:val="24"/>
        </w:rPr>
      </w:pPr>
      <w:r w:rsidRPr="007461C7">
        <w:rPr>
          <w:rFonts w:cs="Arial"/>
          <w:szCs w:val="24"/>
        </w:rPr>
        <w:t>Dalla tabella 3 emerge che la maggior parte degli altri Cantoni ha scelto un limite d’esenzione (</w:t>
      </w:r>
      <w:proofErr w:type="spellStart"/>
      <w:r w:rsidRPr="007461C7">
        <w:rPr>
          <w:rFonts w:cs="Arial"/>
          <w:i/>
          <w:szCs w:val="24"/>
        </w:rPr>
        <w:t>Freigrenze</w:t>
      </w:r>
      <w:proofErr w:type="spellEnd"/>
      <w:r w:rsidRPr="007461C7">
        <w:rPr>
          <w:rFonts w:cs="Arial"/>
          <w:szCs w:val="24"/>
        </w:rPr>
        <w:t>) di CHF 20'000.-- / 30'000.-- e alcuni addirittura di 10'000.--, mentre altri delegano il compito di fissare un limite all’esecutivo. Solo il Canton Svitto ha introdotto il sistema dell’importo esente, mentre il Cantone Basilea-Città lo prevede ma la dispos</w:t>
      </w:r>
      <w:r>
        <w:rPr>
          <w:rFonts w:cs="Arial"/>
          <w:szCs w:val="24"/>
        </w:rPr>
        <w:t>izione non è ancora in vigore.</w:t>
      </w:r>
    </w:p>
    <w:p w:rsidR="005C3B98" w:rsidRPr="007461C7" w:rsidRDefault="005C3B98" w:rsidP="005C3B98">
      <w:pPr>
        <w:rPr>
          <w:rFonts w:cs="Arial"/>
          <w:szCs w:val="24"/>
        </w:rPr>
      </w:pPr>
    </w:p>
    <w:p w:rsidR="005C3B98" w:rsidRPr="007461C7" w:rsidRDefault="005C3B98" w:rsidP="005C3B98">
      <w:pPr>
        <w:keepNext/>
        <w:spacing w:after="120"/>
        <w:rPr>
          <w:rFonts w:eastAsia="Times New Roman" w:cs="Times New Roman"/>
          <w:b/>
          <w:bCs/>
          <w:sz w:val="20"/>
          <w:szCs w:val="20"/>
          <w:lang w:eastAsia="it-IT"/>
        </w:rPr>
      </w:pPr>
      <w:r w:rsidRPr="007461C7">
        <w:rPr>
          <w:rFonts w:eastAsia="Times New Roman" w:cs="Times New Roman"/>
          <w:b/>
          <w:bCs/>
          <w:sz w:val="20"/>
          <w:szCs w:val="20"/>
          <w:lang w:eastAsia="it-IT"/>
        </w:rPr>
        <w:t xml:space="preserve">Tabella </w:t>
      </w:r>
      <w:r w:rsidRPr="007461C7">
        <w:rPr>
          <w:rFonts w:eastAsia="Times New Roman" w:cs="Times New Roman"/>
          <w:b/>
          <w:bCs/>
          <w:sz w:val="20"/>
          <w:szCs w:val="20"/>
          <w:lang w:eastAsia="it-IT"/>
        </w:rPr>
        <w:fldChar w:fldCharType="begin"/>
      </w:r>
      <w:r w:rsidRPr="007461C7">
        <w:rPr>
          <w:rFonts w:eastAsia="Times New Roman" w:cs="Times New Roman"/>
          <w:b/>
          <w:bCs/>
          <w:sz w:val="20"/>
          <w:szCs w:val="20"/>
          <w:lang w:eastAsia="it-IT"/>
        </w:rPr>
        <w:instrText xml:space="preserve"> SEQ Tabella \* ARABIC </w:instrText>
      </w:r>
      <w:r w:rsidRPr="007461C7">
        <w:rPr>
          <w:rFonts w:eastAsia="Times New Roman" w:cs="Times New Roman"/>
          <w:b/>
          <w:bCs/>
          <w:sz w:val="20"/>
          <w:szCs w:val="20"/>
          <w:lang w:eastAsia="it-IT"/>
        </w:rPr>
        <w:fldChar w:fldCharType="separate"/>
      </w:r>
      <w:r w:rsidR="00102B8B">
        <w:rPr>
          <w:rFonts w:eastAsia="Times New Roman" w:cs="Times New Roman"/>
          <w:b/>
          <w:bCs/>
          <w:noProof/>
          <w:sz w:val="20"/>
          <w:szCs w:val="20"/>
          <w:lang w:eastAsia="it-IT"/>
        </w:rPr>
        <w:t>3</w:t>
      </w:r>
      <w:r w:rsidRPr="007461C7">
        <w:rPr>
          <w:rFonts w:eastAsia="Times New Roman" w:cs="Times New Roman"/>
          <w:b/>
          <w:bCs/>
          <w:noProof/>
          <w:sz w:val="20"/>
          <w:szCs w:val="20"/>
          <w:lang w:eastAsia="it-IT"/>
        </w:rPr>
        <w:fldChar w:fldCharType="end"/>
      </w:r>
      <w:r w:rsidRPr="007461C7">
        <w:rPr>
          <w:rFonts w:eastAsia="Times New Roman" w:cs="Times New Roman"/>
          <w:b/>
          <w:bCs/>
          <w:sz w:val="20"/>
          <w:szCs w:val="20"/>
          <w:lang w:eastAsia="it-IT"/>
        </w:rPr>
        <w:t xml:space="preserve"> - Limite esente </w:t>
      </w:r>
      <w:proofErr w:type="spellStart"/>
      <w:r w:rsidRPr="007461C7">
        <w:rPr>
          <w:rFonts w:eastAsia="Times New Roman" w:cs="Times New Roman"/>
          <w:b/>
          <w:bCs/>
          <w:sz w:val="20"/>
          <w:szCs w:val="20"/>
          <w:lang w:eastAsia="it-IT"/>
        </w:rPr>
        <w:t>rispettivameste</w:t>
      </w:r>
      <w:proofErr w:type="spellEnd"/>
      <w:r w:rsidRPr="007461C7">
        <w:rPr>
          <w:rFonts w:eastAsia="Times New Roman" w:cs="Times New Roman"/>
          <w:b/>
          <w:bCs/>
          <w:sz w:val="20"/>
          <w:szCs w:val="20"/>
          <w:lang w:eastAsia="it-IT"/>
        </w:rPr>
        <w:t xml:space="preserve"> importo esente, confronto delle soluzioni dei Cantoni (fonte </w:t>
      </w:r>
      <w:proofErr w:type="spellStart"/>
      <w:r w:rsidRPr="007461C7">
        <w:rPr>
          <w:rFonts w:eastAsia="Times New Roman" w:cs="Times New Roman"/>
          <w:b/>
          <w:bCs/>
          <w:sz w:val="20"/>
          <w:szCs w:val="20"/>
          <w:lang w:eastAsia="it-IT"/>
        </w:rPr>
        <w:t>EspaceSuisse</w:t>
      </w:r>
      <w:proofErr w:type="spellEnd"/>
      <w:r w:rsidRPr="007461C7">
        <w:rPr>
          <w:rFonts w:eastAsia="Times New Roman" w:cs="Times New Roman"/>
          <w:b/>
          <w:bCs/>
          <w:sz w:val="20"/>
          <w:szCs w:val="20"/>
          <w:lang w:eastAsia="it-IT"/>
        </w:rPr>
        <w:t>)</w:t>
      </w:r>
    </w:p>
    <w:tbl>
      <w:tblPr>
        <w:tblStyle w:val="Grigliatabella"/>
        <w:tblW w:w="0" w:type="auto"/>
        <w:tblLook w:val="04A0" w:firstRow="1" w:lastRow="0" w:firstColumn="1" w:lastColumn="0" w:noHBand="0" w:noVBand="1"/>
      </w:tblPr>
      <w:tblGrid>
        <w:gridCol w:w="1206"/>
        <w:gridCol w:w="1912"/>
        <w:gridCol w:w="3508"/>
        <w:gridCol w:w="3228"/>
      </w:tblGrid>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Cantone</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Percentuale del compenso</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Limite esente</w:t>
            </w:r>
            <w:r w:rsidRPr="007461C7">
              <w:rPr>
                <w:rFonts w:eastAsia="Times New Roman" w:cs="Arial"/>
                <w:sz w:val="20"/>
                <w:szCs w:val="20"/>
                <w:lang w:eastAsia="it-IT"/>
              </w:rPr>
              <w:br/>
              <w:t>(</w:t>
            </w:r>
            <w:proofErr w:type="spellStart"/>
            <w:r w:rsidRPr="007461C7">
              <w:rPr>
                <w:rFonts w:eastAsia="Times New Roman" w:cs="Arial"/>
                <w:sz w:val="20"/>
                <w:szCs w:val="20"/>
                <w:lang w:eastAsia="it-IT"/>
              </w:rPr>
              <w:t>Freigrenze</w:t>
            </w:r>
            <w:proofErr w:type="spellEnd"/>
            <w:r w:rsidRPr="007461C7">
              <w:rPr>
                <w:rFonts w:eastAsia="Times New Roman" w:cs="Arial"/>
                <w:sz w:val="20"/>
                <w:szCs w:val="20"/>
                <w:lang w:eastAsia="it-IT"/>
              </w:rPr>
              <w:t>)</w:t>
            </w:r>
          </w:p>
        </w:tc>
        <w:tc>
          <w:tcPr>
            <w:tcW w:w="322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Importo esente</w:t>
            </w:r>
            <w:r w:rsidRPr="007461C7">
              <w:rPr>
                <w:rFonts w:eastAsia="Times New Roman" w:cs="Arial"/>
                <w:sz w:val="20"/>
                <w:szCs w:val="20"/>
                <w:lang w:eastAsia="it-IT"/>
              </w:rPr>
              <w:br/>
              <w:t>(</w:t>
            </w:r>
            <w:proofErr w:type="spellStart"/>
            <w:r w:rsidRPr="007461C7">
              <w:rPr>
                <w:rFonts w:eastAsia="Times New Roman" w:cs="Arial"/>
                <w:sz w:val="20"/>
                <w:szCs w:val="20"/>
                <w:lang w:eastAsia="it-IT"/>
              </w:rPr>
              <w:t>Freibetrag</w:t>
            </w:r>
            <w:proofErr w:type="spellEnd"/>
            <w:r w:rsidRPr="007461C7">
              <w:rPr>
                <w:rFonts w:eastAsia="Times New Roman" w:cs="Arial"/>
                <w:sz w:val="20"/>
                <w:szCs w:val="20"/>
                <w:lang w:eastAsia="it-IT"/>
              </w:rPr>
              <w:t>)</w:t>
            </w:r>
          </w:p>
        </w:tc>
      </w:tr>
      <w:tr w:rsidR="005C3B98" w:rsidRPr="007461C7" w:rsidTr="00C64A61">
        <w:trPr>
          <w:tblHeader/>
        </w:trPr>
        <w:tc>
          <w:tcPr>
            <w:tcW w:w="1206" w:type="dxa"/>
          </w:tcPr>
          <w:p w:rsidR="005C3B98" w:rsidRPr="007461C7" w:rsidDel="00EF5E7F" w:rsidRDefault="005C3B98" w:rsidP="00C64A61">
            <w:pPr>
              <w:spacing w:before="120"/>
              <w:rPr>
                <w:rFonts w:eastAsia="Times New Roman" w:cs="Arial"/>
                <w:sz w:val="20"/>
                <w:szCs w:val="20"/>
                <w:lang w:eastAsia="it-IT"/>
              </w:rPr>
            </w:pPr>
            <w:proofErr w:type="spellStart"/>
            <w:r w:rsidRPr="007461C7">
              <w:rPr>
                <w:rFonts w:eastAsia="Times New Roman" w:cs="Arial"/>
                <w:sz w:val="20"/>
                <w:szCs w:val="20"/>
                <w:lang w:eastAsia="it-IT"/>
              </w:rPr>
              <w:t>Argovia</w:t>
            </w:r>
            <w:proofErr w:type="spellEnd"/>
          </w:p>
        </w:tc>
        <w:tc>
          <w:tcPr>
            <w:tcW w:w="1912" w:type="dxa"/>
          </w:tcPr>
          <w:p w:rsidR="005C3B98" w:rsidRPr="007461C7" w:rsidDel="00EF5E7F"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 (30%)</w:t>
            </w:r>
          </w:p>
        </w:tc>
        <w:tc>
          <w:tcPr>
            <w:tcW w:w="3508" w:type="dxa"/>
          </w:tcPr>
          <w:p w:rsidR="005C3B98" w:rsidRPr="007461C7" w:rsidDel="00EF5E7F"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5'000.-</w:t>
            </w:r>
          </w:p>
        </w:tc>
        <w:tc>
          <w:tcPr>
            <w:tcW w:w="3228" w:type="dxa"/>
          </w:tcPr>
          <w:p w:rsidR="005C3B98" w:rsidRPr="007461C7" w:rsidDel="00EF5E7F"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Appenzello Esterno</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 (40%)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30'000.-</w:t>
            </w:r>
          </w:p>
        </w:tc>
        <w:tc>
          <w:tcPr>
            <w:tcW w:w="3228" w:type="dxa"/>
          </w:tcPr>
          <w:p w:rsidR="005C3B98" w:rsidRPr="007461C7" w:rsidDel="00EF5E7F"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Appenzello Interno</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20'000.-</w:t>
            </w:r>
          </w:p>
        </w:tc>
        <w:tc>
          <w:tcPr>
            <w:tcW w:w="3228" w:type="dxa"/>
          </w:tcPr>
          <w:p w:rsidR="005C3B98" w:rsidRPr="007461C7" w:rsidDel="00EF5E7F"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Basilea Campagna</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 (30%)</w:t>
            </w:r>
          </w:p>
        </w:tc>
        <w:tc>
          <w:tcPr>
            <w:tcW w:w="3508" w:type="dxa"/>
          </w:tcPr>
          <w:p w:rsidR="005C3B98" w:rsidRPr="007461C7" w:rsidRDefault="005C3B98" w:rsidP="00C64A61">
            <w:pPr>
              <w:spacing w:before="120"/>
              <w:jc w:val="center"/>
              <w:rPr>
                <w:rFonts w:eastAsia="Times New Roman" w:cs="Arial"/>
                <w:sz w:val="20"/>
                <w:szCs w:val="20"/>
                <w:lang w:eastAsia="it-IT"/>
              </w:rPr>
            </w:pPr>
          </w:p>
        </w:tc>
        <w:tc>
          <w:tcPr>
            <w:tcW w:w="3228" w:type="dxa"/>
          </w:tcPr>
          <w:p w:rsidR="005C3B98" w:rsidRPr="007461C7" w:rsidDel="00EF5E7F"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30'000.- [progetto]</w:t>
            </w: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Basilea Città</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50%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10'000.- [progetto]</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Berna</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 (50%)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20'000.-</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proofErr w:type="spellStart"/>
            <w:r w:rsidRPr="007461C7">
              <w:rPr>
                <w:rFonts w:eastAsia="Times New Roman" w:cs="Arial"/>
                <w:sz w:val="20"/>
                <w:szCs w:val="20"/>
                <w:lang w:eastAsia="it-IT"/>
              </w:rPr>
              <w:t>Friborgo</w:t>
            </w:r>
            <w:proofErr w:type="spellEnd"/>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20'000.-</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Ginevra</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100'000.-</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Glarona</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min. 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50'000.-</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Grigioni</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30%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20'000.- [progetto]</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 xml:space="preserve">Giura </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30% (20%)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10'000.-</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 xml:space="preserve">Lucerna </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100'000.-</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Neuchâtel</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 (30%)</w:t>
            </w:r>
          </w:p>
        </w:tc>
        <w:tc>
          <w:tcPr>
            <w:tcW w:w="3508" w:type="dxa"/>
          </w:tcPr>
          <w:p w:rsidR="005C3B98" w:rsidRPr="007461C7" w:rsidRDefault="005C3B98" w:rsidP="005C3B98">
            <w:pPr>
              <w:numPr>
                <w:ilvl w:val="0"/>
                <w:numId w:val="6"/>
              </w:numPr>
              <w:spacing w:before="120"/>
              <w:contextualSpacing/>
              <w:jc w:val="center"/>
              <w:rPr>
                <w:rFonts w:eastAsia="Times New Roman" w:cs="Arial"/>
                <w:sz w:val="20"/>
                <w:szCs w:val="20"/>
                <w:lang w:eastAsia="it-IT"/>
              </w:rPr>
            </w:pPr>
            <w:r w:rsidRPr="007461C7">
              <w:rPr>
                <w:rFonts w:eastAsia="Times New Roman" w:cs="Arial"/>
                <w:sz w:val="20"/>
                <w:szCs w:val="20"/>
                <w:lang w:eastAsia="it-IT"/>
              </w:rPr>
              <w:t>[progetto]</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proofErr w:type="spellStart"/>
            <w:r w:rsidRPr="007461C7">
              <w:rPr>
                <w:rFonts w:eastAsia="Times New Roman" w:cs="Arial"/>
                <w:sz w:val="20"/>
                <w:szCs w:val="20"/>
                <w:lang w:eastAsia="it-IT"/>
              </w:rPr>
              <w:t>Nidwalden</w:t>
            </w:r>
            <w:proofErr w:type="spellEnd"/>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superfici &lt; 50 m</w:t>
            </w:r>
            <w:r w:rsidRPr="007461C7">
              <w:rPr>
                <w:rFonts w:eastAsia="Times New Roman" w:cs="Arial"/>
                <w:sz w:val="20"/>
                <w:szCs w:val="20"/>
                <w:vertAlign w:val="superscript"/>
                <w:lang w:eastAsia="it-IT"/>
              </w:rPr>
              <w:t>2</w:t>
            </w:r>
            <w:r w:rsidRPr="007461C7">
              <w:rPr>
                <w:rFonts w:eastAsia="Times New Roman" w:cs="Arial"/>
                <w:sz w:val="20"/>
                <w:szCs w:val="20"/>
                <w:lang w:eastAsia="it-IT"/>
              </w:rPr>
              <w:t xml:space="preserve"> esenti</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proofErr w:type="spellStart"/>
            <w:r w:rsidRPr="007461C7">
              <w:rPr>
                <w:rFonts w:eastAsia="Times New Roman" w:cs="Arial"/>
                <w:sz w:val="20"/>
                <w:szCs w:val="20"/>
                <w:lang w:eastAsia="it-IT"/>
              </w:rPr>
              <w:t>Obwalden</w:t>
            </w:r>
            <w:proofErr w:type="spellEnd"/>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30'000.-</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 xml:space="preserve">Sciaffusa </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30% (20%)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10'000.- [progetto]</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Svitto</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p>
        </w:tc>
        <w:tc>
          <w:tcPr>
            <w:tcW w:w="322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10'000.- (30'000.-)</w:t>
            </w: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Soletta</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 (40%)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 xml:space="preserve">S. Gallo </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30'000.-</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proofErr w:type="spellStart"/>
            <w:r w:rsidRPr="007461C7">
              <w:rPr>
                <w:rFonts w:eastAsia="Times New Roman" w:cs="Arial"/>
                <w:sz w:val="20"/>
                <w:szCs w:val="20"/>
                <w:lang w:eastAsia="it-IT"/>
              </w:rPr>
              <w:t>Turgovia</w:t>
            </w:r>
            <w:proofErr w:type="spellEnd"/>
            <w:r w:rsidRPr="007461C7">
              <w:rPr>
                <w:rFonts w:eastAsia="Times New Roman" w:cs="Arial"/>
                <w:sz w:val="20"/>
                <w:szCs w:val="20"/>
                <w:lang w:eastAsia="it-IT"/>
              </w:rPr>
              <w:t xml:space="preserve"> </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Uri</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superfici &lt; 50 m</w:t>
            </w:r>
            <w:r w:rsidRPr="007461C7">
              <w:rPr>
                <w:rFonts w:eastAsia="Times New Roman" w:cs="Arial"/>
                <w:sz w:val="20"/>
                <w:szCs w:val="20"/>
                <w:vertAlign w:val="superscript"/>
                <w:lang w:eastAsia="it-IT"/>
              </w:rPr>
              <w:t>2</w:t>
            </w:r>
            <w:r w:rsidRPr="007461C7">
              <w:rPr>
                <w:rFonts w:eastAsia="Times New Roman" w:cs="Arial"/>
                <w:sz w:val="20"/>
                <w:szCs w:val="20"/>
                <w:lang w:eastAsia="it-IT"/>
              </w:rPr>
              <w:t xml:space="preserve"> esenti</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proofErr w:type="spellStart"/>
            <w:r w:rsidRPr="007461C7">
              <w:rPr>
                <w:rFonts w:eastAsia="Times New Roman" w:cs="Arial"/>
                <w:sz w:val="20"/>
                <w:szCs w:val="20"/>
                <w:lang w:eastAsia="it-IT"/>
              </w:rPr>
              <w:t>Vaud</w:t>
            </w:r>
            <w:proofErr w:type="spellEnd"/>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20'000.-</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Vallese</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40% (30%)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delegato all’esecutivo</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Zugo</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superfici &lt; 100 m</w:t>
            </w:r>
            <w:r w:rsidRPr="007461C7">
              <w:rPr>
                <w:rFonts w:eastAsia="Times New Roman" w:cs="Arial"/>
                <w:sz w:val="20"/>
                <w:szCs w:val="20"/>
                <w:vertAlign w:val="superscript"/>
                <w:lang w:eastAsia="it-IT"/>
              </w:rPr>
              <w:t>2</w:t>
            </w:r>
            <w:r w:rsidRPr="007461C7">
              <w:rPr>
                <w:rFonts w:eastAsia="Times New Roman" w:cs="Arial"/>
                <w:sz w:val="20"/>
                <w:szCs w:val="20"/>
                <w:lang w:eastAsia="it-IT"/>
              </w:rPr>
              <w:t xml:space="preserve"> esenti [progetto]</w:t>
            </w:r>
          </w:p>
        </w:tc>
        <w:tc>
          <w:tcPr>
            <w:tcW w:w="3228" w:type="dxa"/>
          </w:tcPr>
          <w:p w:rsidR="005C3B98" w:rsidRPr="007461C7" w:rsidRDefault="005C3B98" w:rsidP="00C64A61">
            <w:pPr>
              <w:spacing w:before="120"/>
              <w:jc w:val="center"/>
              <w:rPr>
                <w:rFonts w:eastAsia="Times New Roman" w:cs="Arial"/>
                <w:sz w:val="20"/>
                <w:szCs w:val="20"/>
                <w:lang w:eastAsia="it-IT"/>
              </w:rPr>
            </w:pPr>
          </w:p>
        </w:tc>
      </w:tr>
      <w:tr w:rsidR="005C3B98" w:rsidRPr="007461C7" w:rsidTr="00C64A61">
        <w:trPr>
          <w:tblHeader/>
        </w:trPr>
        <w:tc>
          <w:tcPr>
            <w:tcW w:w="1206" w:type="dxa"/>
          </w:tcPr>
          <w:p w:rsidR="005C3B98" w:rsidRPr="007461C7" w:rsidRDefault="005C3B98" w:rsidP="00C64A61">
            <w:pPr>
              <w:spacing w:before="120"/>
              <w:rPr>
                <w:rFonts w:eastAsia="Times New Roman" w:cs="Arial"/>
                <w:sz w:val="20"/>
                <w:szCs w:val="20"/>
                <w:lang w:eastAsia="it-IT"/>
              </w:rPr>
            </w:pPr>
            <w:r w:rsidRPr="007461C7">
              <w:rPr>
                <w:rFonts w:eastAsia="Times New Roman" w:cs="Arial"/>
                <w:sz w:val="20"/>
                <w:szCs w:val="20"/>
                <w:lang w:eastAsia="it-IT"/>
              </w:rPr>
              <w:t>Zurigo</w:t>
            </w:r>
          </w:p>
        </w:tc>
        <w:tc>
          <w:tcPr>
            <w:tcW w:w="1912"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20%</w:t>
            </w:r>
          </w:p>
        </w:tc>
        <w:tc>
          <w:tcPr>
            <w:tcW w:w="3508" w:type="dxa"/>
          </w:tcPr>
          <w:p w:rsidR="005C3B98" w:rsidRPr="007461C7" w:rsidRDefault="005C3B98" w:rsidP="00C64A61">
            <w:pPr>
              <w:spacing w:before="120"/>
              <w:jc w:val="center"/>
              <w:rPr>
                <w:rFonts w:eastAsia="Times New Roman" w:cs="Arial"/>
                <w:sz w:val="20"/>
                <w:szCs w:val="20"/>
                <w:lang w:eastAsia="it-IT"/>
              </w:rPr>
            </w:pPr>
            <w:r w:rsidRPr="007461C7">
              <w:rPr>
                <w:rFonts w:eastAsia="Times New Roman" w:cs="Arial"/>
                <w:sz w:val="20"/>
                <w:szCs w:val="20"/>
                <w:lang w:eastAsia="it-IT"/>
              </w:rPr>
              <w:t>30'000.- [progetto]</w:t>
            </w:r>
          </w:p>
        </w:tc>
        <w:tc>
          <w:tcPr>
            <w:tcW w:w="3228" w:type="dxa"/>
          </w:tcPr>
          <w:p w:rsidR="005C3B98" w:rsidRPr="007461C7" w:rsidRDefault="005C3B98" w:rsidP="00C64A61">
            <w:pPr>
              <w:spacing w:before="120"/>
              <w:jc w:val="center"/>
              <w:rPr>
                <w:rFonts w:eastAsia="Times New Roman" w:cs="Arial"/>
                <w:sz w:val="20"/>
                <w:szCs w:val="20"/>
                <w:lang w:eastAsia="it-IT"/>
              </w:rPr>
            </w:pPr>
          </w:p>
        </w:tc>
      </w:tr>
    </w:tbl>
    <w:p w:rsidR="005C3B98" w:rsidRPr="007461C7" w:rsidRDefault="005C3B98" w:rsidP="005C3B98">
      <w:pPr>
        <w:rPr>
          <w:rFonts w:cs="Arial"/>
          <w:szCs w:val="24"/>
        </w:rPr>
      </w:pPr>
    </w:p>
    <w:p w:rsidR="005C3B98" w:rsidRDefault="005C3B98" w:rsidP="005C3B98">
      <w:pPr>
        <w:rPr>
          <w:rFonts w:cs="Arial"/>
          <w:szCs w:val="24"/>
        </w:rPr>
      </w:pPr>
      <w:r w:rsidRPr="007461C7">
        <w:rPr>
          <w:rFonts w:cs="Arial"/>
          <w:szCs w:val="24"/>
        </w:rPr>
        <w:t xml:space="preserve">La tabella originale di </w:t>
      </w:r>
      <w:proofErr w:type="spellStart"/>
      <w:r w:rsidRPr="007461C7">
        <w:rPr>
          <w:rFonts w:cs="Arial"/>
          <w:szCs w:val="24"/>
        </w:rPr>
        <w:t>EspaceSuisse</w:t>
      </w:r>
      <w:proofErr w:type="spellEnd"/>
      <w:r w:rsidRPr="007461C7">
        <w:rPr>
          <w:rFonts w:cs="Arial"/>
          <w:szCs w:val="24"/>
          <w:vertAlign w:val="superscript"/>
        </w:rPr>
        <w:footnoteReference w:id="4"/>
      </w:r>
      <w:r w:rsidRPr="007461C7">
        <w:rPr>
          <w:rFonts w:cs="Arial"/>
          <w:szCs w:val="24"/>
        </w:rPr>
        <w:t xml:space="preserve"> è aggiornata al 5 giugno 2018 ed è indicativa; per i dettagli è necessario consultare i siti dei vari Cantoni. </w:t>
      </w:r>
    </w:p>
    <w:p w:rsidR="005C3B98" w:rsidRDefault="005C3B98" w:rsidP="005C3B98">
      <w:pPr>
        <w:rPr>
          <w:rFonts w:cs="Arial"/>
          <w:szCs w:val="24"/>
        </w:rPr>
      </w:pPr>
    </w:p>
    <w:p w:rsidR="005C3B98" w:rsidRDefault="005C3B98" w:rsidP="005C3B98">
      <w:pPr>
        <w:rPr>
          <w:rFonts w:cs="Arial"/>
          <w:szCs w:val="24"/>
        </w:rPr>
      </w:pPr>
    </w:p>
    <w:p w:rsidR="005C3B98" w:rsidRPr="00E765A9" w:rsidRDefault="005C3B98" w:rsidP="005C3B98">
      <w:pPr>
        <w:jc w:val="center"/>
        <w:rPr>
          <w:rFonts w:cs="Arial"/>
          <w:sz w:val="28"/>
          <w:szCs w:val="28"/>
        </w:rPr>
      </w:pP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r w:rsidRPr="00E765A9">
        <w:rPr>
          <w:rFonts w:cs="Arial"/>
          <w:sz w:val="28"/>
          <w:szCs w:val="28"/>
        </w:rPr>
        <w:t xml:space="preserve"> </w:t>
      </w:r>
      <w:r w:rsidRPr="00E765A9">
        <w:rPr>
          <w:rFonts w:cs="Arial"/>
          <w:sz w:val="28"/>
          <w:szCs w:val="28"/>
        </w:rPr>
        <w:sym w:font="Wingdings" w:char="F0AF"/>
      </w:r>
    </w:p>
    <w:p w:rsidR="005C3B98" w:rsidRPr="00076E70" w:rsidRDefault="005C3B98" w:rsidP="005C3B98">
      <w:pPr>
        <w:autoSpaceDE w:val="0"/>
        <w:autoSpaceDN w:val="0"/>
        <w:adjustRightInd w:val="0"/>
        <w:rPr>
          <w:rFonts w:cs="Arial"/>
          <w:szCs w:val="24"/>
        </w:rPr>
      </w:pPr>
    </w:p>
    <w:p w:rsidR="005C3B98" w:rsidRDefault="005C3B98" w:rsidP="005C3B98">
      <w:pPr>
        <w:rPr>
          <w:rFonts w:cs="Arial"/>
          <w:szCs w:val="24"/>
        </w:rPr>
      </w:pPr>
    </w:p>
    <w:p w:rsidR="005C3B98" w:rsidRPr="007461C7" w:rsidRDefault="005C3B98" w:rsidP="005C3B98">
      <w:pPr>
        <w:rPr>
          <w:rFonts w:cs="Arial"/>
          <w:szCs w:val="24"/>
        </w:rPr>
      </w:pPr>
      <w:r>
        <w:rPr>
          <w:rFonts w:cs="Arial"/>
          <w:szCs w:val="24"/>
        </w:rPr>
        <w:t>Dopo discussione e approfondita valutazione sulle possibili scelte, la scrivente Commissione propone di non dar seguito alla proposta governativa, bensì di adottare il sistema dell’importo esente (</w:t>
      </w:r>
      <w:proofErr w:type="spellStart"/>
      <w:r>
        <w:rPr>
          <w:rFonts w:cs="Arial"/>
          <w:szCs w:val="24"/>
        </w:rPr>
        <w:t>Freibetrag</w:t>
      </w:r>
      <w:proofErr w:type="spellEnd"/>
      <w:r>
        <w:rPr>
          <w:rFonts w:cs="Arial"/>
          <w:szCs w:val="24"/>
        </w:rPr>
        <w:t>). Come giudicato dal Tribunale federale</w:t>
      </w:r>
      <w:r w:rsidR="00811D53">
        <w:rPr>
          <w:rFonts w:cs="Arial"/>
          <w:szCs w:val="24"/>
        </w:rPr>
        <w:t>,</w:t>
      </w:r>
      <w:r>
        <w:rPr>
          <w:rFonts w:cs="Arial"/>
          <w:szCs w:val="24"/>
        </w:rPr>
        <w:t xml:space="preserve"> si tratta di una scelta politica, in cui però questa risulta essere più equa dal profilo della parità di trattamento. Si evidenzia poi che più è alto il plusvalore, più comunque gli importi dovuti tendono a equipararsi, mentre sui plusvalori di minor entità, la disparità di trattamento è evidente. </w:t>
      </w:r>
    </w:p>
    <w:p w:rsidR="005C3B98" w:rsidRPr="007461C7" w:rsidRDefault="005C3B98" w:rsidP="005C3B98">
      <w:pPr>
        <w:rPr>
          <w:rFonts w:cs="Arial"/>
          <w:szCs w:val="24"/>
        </w:rPr>
      </w:pPr>
    </w:p>
    <w:p w:rsidR="005C3B98" w:rsidRPr="007461C7" w:rsidRDefault="005C3B98" w:rsidP="005C3B98">
      <w:pPr>
        <w:rPr>
          <w:rFonts w:cs="Arial"/>
          <w:szCs w:val="24"/>
        </w:rPr>
      </w:pPr>
    </w:p>
    <w:p w:rsidR="005C3B98" w:rsidRPr="00076E70" w:rsidRDefault="005C3B98" w:rsidP="005C3B98">
      <w:pPr>
        <w:rPr>
          <w:rFonts w:cs="Arial"/>
          <w:szCs w:val="24"/>
        </w:rPr>
      </w:pPr>
    </w:p>
    <w:p w:rsidR="005C3B98" w:rsidRPr="00076E70" w:rsidRDefault="005C3B98" w:rsidP="005C3B98">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Pr>
          <w:rFonts w:cs="Arial"/>
          <w:szCs w:val="24"/>
        </w:rPr>
        <w:t>speciale pianificazione del territorio</w:t>
      </w:r>
      <w:r w:rsidRPr="00076E70">
        <w:rPr>
          <w:rFonts w:cs="Arial"/>
          <w:szCs w:val="24"/>
        </w:rPr>
        <w:t>:</w:t>
      </w:r>
    </w:p>
    <w:p w:rsidR="005C3B98" w:rsidRPr="00076E70" w:rsidRDefault="005C3B98" w:rsidP="005C3B98">
      <w:pPr>
        <w:rPr>
          <w:rFonts w:cs="Arial"/>
          <w:szCs w:val="24"/>
        </w:rPr>
      </w:pPr>
      <w:r>
        <w:rPr>
          <w:rFonts w:cs="Arial"/>
          <w:szCs w:val="24"/>
        </w:rPr>
        <w:t>Amanda Rückert, relat</w:t>
      </w:r>
      <w:r w:rsidRPr="00076E70">
        <w:rPr>
          <w:rFonts w:cs="Arial"/>
          <w:szCs w:val="24"/>
        </w:rPr>
        <w:t>r</w:t>
      </w:r>
      <w:r>
        <w:rPr>
          <w:rFonts w:cs="Arial"/>
          <w:szCs w:val="24"/>
        </w:rPr>
        <w:t>ic</w:t>
      </w:r>
      <w:r w:rsidRPr="00076E70">
        <w:rPr>
          <w:rFonts w:cs="Arial"/>
          <w:szCs w:val="24"/>
        </w:rPr>
        <w:t>e</w:t>
      </w:r>
    </w:p>
    <w:p w:rsidR="00F532B5" w:rsidRDefault="00F532B5" w:rsidP="00F532B5">
      <w:r>
        <w:t xml:space="preserve">Battaglioni - Canepa - Censi - Durisch - </w:t>
      </w:r>
    </w:p>
    <w:p w:rsidR="00F532B5" w:rsidRDefault="00F532B5" w:rsidP="00F532B5">
      <w:r>
        <w:t xml:space="preserve">Gaffuri - Maggi - Pagnamenta - Pamini - </w:t>
      </w:r>
    </w:p>
    <w:p w:rsidR="00F532B5" w:rsidRDefault="00F532B5" w:rsidP="00F532B5">
      <w:r>
        <w:t xml:space="preserve">Pugno Ghirlanda - Seitz - Storni - </w:t>
      </w:r>
    </w:p>
    <w:p w:rsidR="00F532B5" w:rsidRDefault="00F532B5" w:rsidP="00F532B5">
      <w:r>
        <w:t>Terraneo - Zanini</w:t>
      </w:r>
    </w:p>
    <w:p w:rsidR="005C3B98" w:rsidRPr="00076E70" w:rsidRDefault="005C3B98" w:rsidP="005C3B98">
      <w:pPr>
        <w:rPr>
          <w:rFonts w:cs="Arial"/>
          <w:szCs w:val="24"/>
        </w:rPr>
      </w:pPr>
    </w:p>
    <w:p w:rsidR="005C3B98" w:rsidRDefault="005C3B98" w:rsidP="005C3B98">
      <w:r>
        <w:br w:type="page"/>
      </w:r>
    </w:p>
    <w:p w:rsidR="005C3B98" w:rsidRDefault="005C3B98" w:rsidP="005C3B98">
      <w:pPr>
        <w:rPr>
          <w:rFonts w:eastAsia="Times New Roman" w:cs="Times New Roman"/>
          <w:szCs w:val="20"/>
          <w:lang w:eastAsia="it-IT"/>
        </w:rPr>
      </w:pPr>
      <w:r w:rsidRPr="003B063A">
        <w:rPr>
          <w:rFonts w:eastAsia="Times New Roman" w:cs="Times New Roman"/>
          <w:szCs w:val="20"/>
          <w:lang w:eastAsia="it-IT"/>
        </w:rPr>
        <w:lastRenderedPageBreak/>
        <w:t>Disegno di</w:t>
      </w:r>
    </w:p>
    <w:p w:rsidR="005C3B98" w:rsidRPr="003B063A" w:rsidRDefault="005C3B98" w:rsidP="005C3B98">
      <w:pPr>
        <w:rPr>
          <w:rFonts w:eastAsia="Times New Roman" w:cs="Times New Roman"/>
          <w:szCs w:val="20"/>
          <w:lang w:eastAsia="it-IT"/>
        </w:rPr>
      </w:pPr>
    </w:p>
    <w:p w:rsidR="005C3B98" w:rsidRPr="003B063A" w:rsidRDefault="005C3B98" w:rsidP="005C3B98">
      <w:pPr>
        <w:spacing w:before="120"/>
        <w:rPr>
          <w:rFonts w:eastAsia="Times New Roman" w:cs="Times New Roman"/>
          <w:b/>
          <w:szCs w:val="20"/>
          <w:lang w:eastAsia="it-IT"/>
        </w:rPr>
      </w:pPr>
      <w:r w:rsidRPr="003B063A">
        <w:rPr>
          <w:rFonts w:eastAsia="Times New Roman" w:cs="Times New Roman"/>
          <w:b/>
          <w:szCs w:val="20"/>
          <w:lang w:eastAsia="it-IT"/>
        </w:rPr>
        <w:t>LEGGE</w:t>
      </w:r>
    </w:p>
    <w:p w:rsidR="005C3B98" w:rsidRDefault="005C3B98" w:rsidP="005C3B98">
      <w:pPr>
        <w:spacing w:before="120"/>
        <w:rPr>
          <w:rFonts w:eastAsia="Times New Roman" w:cs="Times New Roman"/>
          <w:b/>
          <w:szCs w:val="20"/>
          <w:lang w:eastAsia="it-IT"/>
        </w:rPr>
      </w:pPr>
      <w:r w:rsidRPr="003B063A">
        <w:rPr>
          <w:rFonts w:eastAsia="Times New Roman" w:cs="Times New Roman"/>
          <w:b/>
          <w:szCs w:val="20"/>
          <w:lang w:eastAsia="it-IT"/>
        </w:rPr>
        <w:t>sullo sviluppo territoriale del 21 giugno 2011 (LST); modifica</w:t>
      </w:r>
    </w:p>
    <w:p w:rsidR="005C3B98" w:rsidRPr="005C3B98" w:rsidRDefault="005C3B98" w:rsidP="005C3B98">
      <w:pPr>
        <w:rPr>
          <w:rFonts w:eastAsia="Times New Roman" w:cs="Times New Roman"/>
          <w:szCs w:val="20"/>
          <w:lang w:eastAsia="it-IT"/>
        </w:rPr>
      </w:pPr>
    </w:p>
    <w:p w:rsidR="005C3B98" w:rsidRPr="005C3B98" w:rsidRDefault="005C3B98" w:rsidP="005C3B98">
      <w:pPr>
        <w:rPr>
          <w:rFonts w:eastAsia="Times New Roman" w:cs="Times New Roman"/>
          <w:szCs w:val="20"/>
          <w:lang w:eastAsia="it-IT"/>
        </w:rPr>
      </w:pPr>
    </w:p>
    <w:p w:rsidR="005C3B98" w:rsidRPr="005C3B98" w:rsidRDefault="005C3B98" w:rsidP="005C3B98">
      <w:pPr>
        <w:rPr>
          <w:rFonts w:eastAsia="Times New Roman" w:cs="Times New Roman"/>
          <w:szCs w:val="20"/>
          <w:lang w:eastAsia="it-IT"/>
        </w:rPr>
      </w:pPr>
      <w:r w:rsidRPr="005C3B98">
        <w:rPr>
          <w:rFonts w:eastAsia="Times New Roman" w:cs="Times New Roman"/>
          <w:szCs w:val="20"/>
          <w:lang w:eastAsia="it-IT"/>
        </w:rPr>
        <w:t>Il Gran Consiglio</w:t>
      </w:r>
    </w:p>
    <w:p w:rsidR="005C3B98" w:rsidRPr="005C3B98" w:rsidRDefault="005C3B98" w:rsidP="005C3B98">
      <w:pPr>
        <w:rPr>
          <w:rFonts w:eastAsia="Times New Roman" w:cs="Times New Roman"/>
          <w:szCs w:val="20"/>
          <w:lang w:eastAsia="it-IT"/>
        </w:rPr>
      </w:pPr>
      <w:r w:rsidRPr="005C3B98">
        <w:rPr>
          <w:rFonts w:eastAsia="Times New Roman" w:cs="Times New Roman"/>
          <w:szCs w:val="20"/>
          <w:lang w:eastAsia="it-IT"/>
        </w:rPr>
        <w:t>della Repubblica e Cantone Ticino</w:t>
      </w:r>
    </w:p>
    <w:p w:rsidR="005C3B98" w:rsidRPr="005C3B98" w:rsidRDefault="005C3B98" w:rsidP="005C3B98">
      <w:pPr>
        <w:rPr>
          <w:rFonts w:eastAsia="Times New Roman" w:cs="Times New Roman"/>
          <w:szCs w:val="20"/>
          <w:lang w:eastAsia="it-IT"/>
        </w:rPr>
      </w:pPr>
    </w:p>
    <w:p w:rsidR="005C3B98" w:rsidRDefault="005C3B98" w:rsidP="0072334B">
      <w:pPr>
        <w:pStyle w:val="Paragrafoelenco"/>
        <w:numPr>
          <w:ilvl w:val="0"/>
          <w:numId w:val="6"/>
        </w:numPr>
        <w:ind w:left="284" w:hanging="284"/>
        <w:rPr>
          <w:rFonts w:eastAsia="Times New Roman" w:cs="Times New Roman"/>
          <w:szCs w:val="20"/>
          <w:lang w:eastAsia="it-IT"/>
        </w:rPr>
      </w:pPr>
      <w:r w:rsidRPr="0072334B">
        <w:rPr>
          <w:rFonts w:eastAsia="Times New Roman" w:cs="Times New Roman"/>
          <w:szCs w:val="20"/>
          <w:lang w:eastAsia="it-IT"/>
        </w:rPr>
        <w:t>visto il messaggio 13 dicembre 2017</w:t>
      </w:r>
      <w:r w:rsidR="0072334B">
        <w:rPr>
          <w:rFonts w:eastAsia="Times New Roman" w:cs="Times New Roman"/>
          <w:szCs w:val="20"/>
          <w:lang w:eastAsia="it-IT"/>
        </w:rPr>
        <w:t xml:space="preserve"> n. 7469 del Consiglio di Stato;</w:t>
      </w:r>
    </w:p>
    <w:p w:rsidR="0072334B" w:rsidRPr="0072334B" w:rsidRDefault="0072334B" w:rsidP="0072334B">
      <w:pPr>
        <w:pStyle w:val="Paragrafoelenco"/>
        <w:numPr>
          <w:ilvl w:val="0"/>
          <w:numId w:val="6"/>
        </w:numPr>
        <w:spacing w:before="120"/>
        <w:ind w:left="284" w:hanging="284"/>
        <w:rPr>
          <w:rFonts w:eastAsia="Times New Roman" w:cs="Times New Roman"/>
          <w:szCs w:val="20"/>
          <w:lang w:eastAsia="it-IT"/>
        </w:rPr>
      </w:pPr>
      <w:r>
        <w:rPr>
          <w:rFonts w:eastAsia="Times New Roman" w:cs="Times New Roman"/>
          <w:szCs w:val="20"/>
          <w:lang w:eastAsia="it-IT"/>
        </w:rPr>
        <w:t>visto il rapporto 6 dicembre 2018 n. 7469R della Commissione speciale pianificazione del territorio,</w:t>
      </w:r>
    </w:p>
    <w:p w:rsidR="005C3B98" w:rsidRDefault="005C3B98" w:rsidP="005C3B98">
      <w:pPr>
        <w:rPr>
          <w:rFonts w:eastAsia="Times New Roman" w:cs="Times New Roman"/>
          <w:szCs w:val="20"/>
          <w:lang w:eastAsia="it-IT"/>
        </w:rPr>
      </w:pPr>
    </w:p>
    <w:p w:rsidR="005C3B98" w:rsidRPr="003B063A" w:rsidRDefault="005C3B98" w:rsidP="005C3B98">
      <w:pPr>
        <w:rPr>
          <w:rFonts w:eastAsia="Times New Roman" w:cs="Times New Roman"/>
          <w:szCs w:val="20"/>
          <w:lang w:eastAsia="it-IT"/>
        </w:rPr>
      </w:pPr>
    </w:p>
    <w:p w:rsidR="005C3B98" w:rsidRPr="005C3B98" w:rsidRDefault="005C3B98" w:rsidP="005C3B98">
      <w:pPr>
        <w:rPr>
          <w:rFonts w:eastAsia="Times New Roman" w:cs="Times New Roman"/>
          <w:b/>
          <w:spacing w:val="20"/>
          <w:szCs w:val="20"/>
          <w:lang w:eastAsia="it-IT"/>
        </w:rPr>
      </w:pPr>
      <w:r w:rsidRPr="005C3B98">
        <w:rPr>
          <w:rFonts w:eastAsia="Times New Roman" w:cs="Times New Roman"/>
          <w:b/>
          <w:spacing w:val="20"/>
          <w:szCs w:val="20"/>
          <w:lang w:eastAsia="it-IT"/>
        </w:rPr>
        <w:t>decreta:</w:t>
      </w:r>
    </w:p>
    <w:p w:rsidR="005C3B98" w:rsidRDefault="005C3B98" w:rsidP="005C3B98">
      <w:pPr>
        <w:rPr>
          <w:rFonts w:eastAsia="Times New Roman" w:cs="Times New Roman"/>
          <w:spacing w:val="20"/>
          <w:szCs w:val="20"/>
          <w:lang w:eastAsia="it-IT"/>
        </w:rPr>
      </w:pPr>
    </w:p>
    <w:p w:rsidR="005C3B98" w:rsidRPr="003B063A" w:rsidRDefault="005C3B98" w:rsidP="005C3B98">
      <w:pPr>
        <w:rPr>
          <w:rFonts w:eastAsia="Times New Roman" w:cs="Times New Roman"/>
          <w:spacing w:val="20"/>
          <w:szCs w:val="20"/>
          <w:lang w:eastAsia="it-IT"/>
        </w:rPr>
      </w:pPr>
    </w:p>
    <w:p w:rsidR="005C3B98" w:rsidRPr="005C3B98" w:rsidRDefault="005C3B98" w:rsidP="005C3B98">
      <w:pPr>
        <w:rPr>
          <w:b/>
          <w:lang w:eastAsia="it-IT"/>
        </w:rPr>
      </w:pPr>
      <w:r w:rsidRPr="005C3B98">
        <w:rPr>
          <w:b/>
          <w:lang w:eastAsia="it-IT"/>
        </w:rPr>
        <w:t>I.</w:t>
      </w:r>
    </w:p>
    <w:p w:rsidR="005C3B98" w:rsidRDefault="005C3B98" w:rsidP="005C3B98">
      <w:pPr>
        <w:spacing w:before="120"/>
        <w:rPr>
          <w:rFonts w:eastAsia="Times New Roman" w:cs="Times New Roman"/>
          <w:szCs w:val="20"/>
          <w:lang w:eastAsia="it-IT"/>
        </w:rPr>
      </w:pPr>
      <w:r w:rsidRPr="003B063A">
        <w:rPr>
          <w:rFonts w:eastAsia="Times New Roman" w:cs="Times New Roman"/>
          <w:szCs w:val="20"/>
          <w:lang w:eastAsia="it-IT"/>
        </w:rPr>
        <w:t>La legge sullo sviluppo territoriale del 21 giugno 2011 (LST) è così modificata</w:t>
      </w:r>
      <w:r>
        <w:rPr>
          <w:rFonts w:eastAsia="Times New Roman" w:cs="Times New Roman"/>
          <w:szCs w:val="20"/>
          <w:lang w:eastAsia="it-IT"/>
        </w:rPr>
        <w:t xml:space="preserve"> (in grassetto)</w:t>
      </w:r>
      <w:r w:rsidRPr="003B063A">
        <w:rPr>
          <w:rFonts w:eastAsia="Times New Roman" w:cs="Times New Roman"/>
          <w:szCs w:val="20"/>
          <w:lang w:eastAsia="it-IT"/>
        </w:rPr>
        <w:t>:</w:t>
      </w:r>
    </w:p>
    <w:p w:rsidR="005C3B98" w:rsidRDefault="005C3B98" w:rsidP="005C3B98">
      <w:pPr>
        <w:spacing w:before="120"/>
        <w:rPr>
          <w:rFonts w:eastAsia="Times New Roman" w:cs="Times New Roman"/>
          <w:szCs w:val="20"/>
          <w:lang w:eastAsia="it-IT"/>
        </w:rPr>
      </w:pPr>
    </w:p>
    <w:p w:rsidR="005C3B98" w:rsidRPr="005C3B98" w:rsidRDefault="005C3B98" w:rsidP="005C3B98">
      <w:pPr>
        <w:ind w:left="1134"/>
        <w:rPr>
          <w:b/>
          <w:sz w:val="22"/>
          <w:lang w:eastAsia="it-IT"/>
        </w:rPr>
      </w:pPr>
      <w:r w:rsidRPr="005C3B98">
        <w:rPr>
          <w:b/>
          <w:sz w:val="22"/>
          <w:lang w:eastAsia="it-IT"/>
        </w:rPr>
        <w:t>Art. 93 cpv. 1 e 2</w:t>
      </w:r>
    </w:p>
    <w:p w:rsidR="005C3B98" w:rsidRPr="005C3B98" w:rsidRDefault="005C3B98" w:rsidP="005C3B98">
      <w:pPr>
        <w:ind w:left="1134"/>
        <w:rPr>
          <w:sz w:val="22"/>
          <w:lang w:eastAsia="it-IT"/>
        </w:rPr>
      </w:pPr>
    </w:p>
    <w:p w:rsidR="005C3B98" w:rsidRPr="005C3B98" w:rsidRDefault="005C3B98" w:rsidP="005C3B98">
      <w:pPr>
        <w:ind w:left="1134"/>
        <w:rPr>
          <w:sz w:val="22"/>
          <w:lang w:eastAsia="it-IT"/>
        </w:rPr>
      </w:pPr>
      <w:r>
        <w:rPr>
          <w:sz w:val="22"/>
          <w:vertAlign w:val="superscript"/>
          <w:lang w:eastAsia="it-IT"/>
        </w:rPr>
        <w:t>1</w:t>
      </w:r>
      <w:r w:rsidRPr="005C3B98">
        <w:rPr>
          <w:sz w:val="22"/>
          <w:lang w:eastAsia="it-IT"/>
        </w:rPr>
        <w:t xml:space="preserve">È considerato vantaggio rilevante soggetto a contributo l’aumento di valore di un terreno </w:t>
      </w:r>
      <w:r w:rsidRPr="0072334B">
        <w:rPr>
          <w:b/>
          <w:sz w:val="22"/>
          <w:lang w:eastAsia="it-IT"/>
        </w:rPr>
        <w:t xml:space="preserve">superiore a </w:t>
      </w:r>
      <w:proofErr w:type="spellStart"/>
      <w:r w:rsidRPr="0072334B">
        <w:rPr>
          <w:b/>
          <w:sz w:val="22"/>
          <w:lang w:eastAsia="it-IT"/>
        </w:rPr>
        <w:t>fr</w:t>
      </w:r>
      <w:proofErr w:type="spellEnd"/>
      <w:r w:rsidRPr="0072334B">
        <w:rPr>
          <w:b/>
          <w:sz w:val="22"/>
          <w:lang w:eastAsia="it-IT"/>
        </w:rPr>
        <w:t>. 30'000.-</w:t>
      </w:r>
      <w:r w:rsidRPr="005C3B98">
        <w:rPr>
          <w:sz w:val="22"/>
          <w:lang w:eastAsia="it-IT"/>
        </w:rPr>
        <w:t xml:space="preserve"> che deriva</w:t>
      </w:r>
    </w:p>
    <w:p w:rsidR="005C3B98" w:rsidRPr="005C3B98" w:rsidRDefault="005C3B98" w:rsidP="005C3B98">
      <w:pPr>
        <w:spacing w:before="60"/>
        <w:ind w:left="1418" w:hanging="284"/>
        <w:rPr>
          <w:sz w:val="22"/>
          <w:lang w:eastAsia="it-IT"/>
        </w:rPr>
      </w:pPr>
      <w:r w:rsidRPr="005C3B98">
        <w:rPr>
          <w:sz w:val="22"/>
          <w:lang w:eastAsia="it-IT"/>
        </w:rPr>
        <w:t>a)</w:t>
      </w:r>
      <w:r w:rsidRPr="005C3B98">
        <w:rPr>
          <w:sz w:val="22"/>
          <w:lang w:eastAsia="it-IT"/>
        </w:rPr>
        <w:tab/>
        <w:t>dalla sua assegnazione alla zona edificabile,</w:t>
      </w:r>
    </w:p>
    <w:p w:rsidR="005C3B98" w:rsidRPr="005C3B98" w:rsidRDefault="005C3B98" w:rsidP="005C3B98">
      <w:pPr>
        <w:spacing w:before="60"/>
        <w:ind w:left="1418" w:hanging="284"/>
        <w:rPr>
          <w:sz w:val="22"/>
          <w:lang w:eastAsia="it-IT"/>
        </w:rPr>
      </w:pPr>
      <w:r w:rsidRPr="005C3B98">
        <w:rPr>
          <w:sz w:val="22"/>
          <w:lang w:eastAsia="it-IT"/>
        </w:rPr>
        <w:t>b)</w:t>
      </w:r>
      <w:r w:rsidRPr="005C3B98">
        <w:rPr>
          <w:sz w:val="22"/>
          <w:lang w:eastAsia="it-IT"/>
        </w:rPr>
        <w:tab/>
        <w:t>da una modifica di un piano d’utilizzazione che comporta un aumento di almeno 0,2 punti dell’indice di sfruttamento o di almeno 1,5 punti dell’indice di edificabilità,</w:t>
      </w:r>
    </w:p>
    <w:p w:rsidR="005C3B98" w:rsidRDefault="005C3B98" w:rsidP="005C3B98">
      <w:pPr>
        <w:spacing w:before="60"/>
        <w:ind w:left="1418" w:hanging="284"/>
        <w:rPr>
          <w:sz w:val="22"/>
          <w:lang w:eastAsia="it-IT"/>
        </w:rPr>
      </w:pPr>
      <w:r w:rsidRPr="005C3B98">
        <w:rPr>
          <w:sz w:val="22"/>
          <w:lang w:eastAsia="it-IT"/>
        </w:rPr>
        <w:t>c)</w:t>
      </w:r>
      <w:r w:rsidRPr="005C3B98">
        <w:rPr>
          <w:sz w:val="22"/>
          <w:lang w:eastAsia="it-IT"/>
        </w:rPr>
        <w:tab/>
        <w:t>da un cambiamento di destinazione che ingenera un plusvalore importante.</w:t>
      </w:r>
    </w:p>
    <w:p w:rsidR="005C3B98" w:rsidRPr="005C3B98" w:rsidRDefault="005C3B98" w:rsidP="005C3B98">
      <w:pPr>
        <w:ind w:left="1134"/>
        <w:rPr>
          <w:sz w:val="22"/>
          <w:lang w:eastAsia="it-IT"/>
        </w:rPr>
      </w:pPr>
    </w:p>
    <w:p w:rsidR="005C3B98" w:rsidRPr="0072334B" w:rsidRDefault="005C3B98" w:rsidP="005C3B98">
      <w:pPr>
        <w:ind w:left="1134"/>
        <w:rPr>
          <w:b/>
          <w:sz w:val="22"/>
          <w:lang w:eastAsia="it-IT"/>
        </w:rPr>
      </w:pPr>
      <w:r w:rsidRPr="0072334B">
        <w:rPr>
          <w:b/>
          <w:sz w:val="22"/>
          <w:vertAlign w:val="superscript"/>
          <w:lang w:eastAsia="it-IT"/>
        </w:rPr>
        <w:t>2</w:t>
      </w:r>
      <w:r w:rsidRPr="0072334B">
        <w:rPr>
          <w:b/>
          <w:sz w:val="22"/>
          <w:lang w:eastAsia="it-IT"/>
        </w:rPr>
        <w:t xml:space="preserve">L’aumento di valore di un terreno sino a </w:t>
      </w:r>
      <w:proofErr w:type="spellStart"/>
      <w:r w:rsidRPr="0072334B">
        <w:rPr>
          <w:b/>
          <w:sz w:val="22"/>
          <w:lang w:eastAsia="it-IT"/>
        </w:rPr>
        <w:t>fr</w:t>
      </w:r>
      <w:proofErr w:type="spellEnd"/>
      <w:r w:rsidRPr="0072334B">
        <w:rPr>
          <w:b/>
          <w:sz w:val="22"/>
          <w:lang w:eastAsia="it-IT"/>
        </w:rPr>
        <w:t>. 30'000.- è esente da contributo.</w:t>
      </w:r>
    </w:p>
    <w:p w:rsidR="005C3B98" w:rsidRDefault="005C3B98" w:rsidP="005C3B98">
      <w:pPr>
        <w:rPr>
          <w:lang w:eastAsia="it-IT"/>
        </w:rPr>
      </w:pPr>
    </w:p>
    <w:p w:rsidR="005C3B98" w:rsidRPr="005C3B98" w:rsidRDefault="005C3B98" w:rsidP="005C3B98">
      <w:pPr>
        <w:rPr>
          <w:u w:val="single"/>
          <w:lang w:eastAsia="it-IT"/>
        </w:rPr>
      </w:pPr>
    </w:p>
    <w:p w:rsidR="005C3B98" w:rsidRPr="005C3B98" w:rsidRDefault="005C3B98" w:rsidP="005C3B98">
      <w:pPr>
        <w:rPr>
          <w:b/>
          <w:lang w:eastAsia="it-IT"/>
        </w:rPr>
      </w:pPr>
      <w:r w:rsidRPr="005C3B98">
        <w:rPr>
          <w:b/>
          <w:lang w:eastAsia="it-IT"/>
        </w:rPr>
        <w:t>II.</w:t>
      </w:r>
    </w:p>
    <w:p w:rsidR="005C3B98" w:rsidRPr="003B063A" w:rsidRDefault="005C3B98" w:rsidP="005C3B98">
      <w:pPr>
        <w:spacing w:before="120"/>
        <w:rPr>
          <w:rFonts w:eastAsia="Times New Roman" w:cs="Times New Roman"/>
          <w:szCs w:val="20"/>
          <w:lang w:eastAsia="it-IT"/>
        </w:rPr>
      </w:pPr>
      <w:r w:rsidRPr="003B063A">
        <w:rPr>
          <w:rFonts w:eastAsia="Times New Roman" w:cs="Times New Roman"/>
          <w:szCs w:val="20"/>
          <w:lang w:eastAsia="it-IT"/>
        </w:rPr>
        <w:t>Trascorsi i termini per l'esercizio del diritto di referendum, la presente modifica di legge è pubblicata nel Bollettino ufficiale delle leggi.</w:t>
      </w:r>
    </w:p>
    <w:p w:rsidR="005C3B98" w:rsidRPr="00CC0D3A" w:rsidRDefault="005C3B98" w:rsidP="005C3B98">
      <w:pPr>
        <w:spacing w:before="120"/>
        <w:rPr>
          <w:rFonts w:eastAsia="Times New Roman" w:cs="Times New Roman"/>
          <w:szCs w:val="20"/>
          <w:lang w:eastAsia="it-IT"/>
        </w:rPr>
      </w:pPr>
      <w:r w:rsidRPr="003B063A">
        <w:rPr>
          <w:rFonts w:eastAsia="Times New Roman" w:cs="Times New Roman"/>
          <w:szCs w:val="20"/>
          <w:lang w:eastAsia="it-IT"/>
        </w:rPr>
        <w:t>Il Consiglio di Stato ne fissa la data di entrata in vigore.</w:t>
      </w:r>
    </w:p>
    <w:p w:rsidR="00076E70" w:rsidRDefault="00076E70" w:rsidP="00076E70">
      <w:pPr>
        <w:rPr>
          <w:rFonts w:cs="Arial"/>
          <w:szCs w:val="24"/>
        </w:rPr>
      </w:pPr>
    </w:p>
    <w:sectPr w:rsidR="00076E70" w:rsidSect="00102B8B">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EA5" w:rsidRDefault="00D60EA5" w:rsidP="008E77C6">
      <w:r>
        <w:separator/>
      </w:r>
    </w:p>
  </w:endnote>
  <w:endnote w:type="continuationSeparator" w:id="0">
    <w:p w:rsidR="00D60EA5" w:rsidRDefault="00D60EA5"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5E7D2D" w:rsidRPr="005E7D2D">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EA5" w:rsidRDefault="00D60EA5" w:rsidP="008E77C6">
      <w:r>
        <w:separator/>
      </w:r>
    </w:p>
  </w:footnote>
  <w:footnote w:type="continuationSeparator" w:id="0">
    <w:p w:rsidR="00D60EA5" w:rsidRDefault="00D60EA5" w:rsidP="008E77C6">
      <w:r>
        <w:continuationSeparator/>
      </w:r>
    </w:p>
  </w:footnote>
  <w:footnote w:id="1">
    <w:p w:rsidR="005C3B98" w:rsidRPr="005C3B98" w:rsidRDefault="005C3B98" w:rsidP="005C3B98">
      <w:pPr>
        <w:pStyle w:val="Testonotaapidipagina"/>
        <w:rPr>
          <w:rFonts w:ascii="Arial" w:hAnsi="Arial" w:cs="Arial"/>
          <w:sz w:val="18"/>
          <w:szCs w:val="18"/>
        </w:rPr>
      </w:pPr>
      <w:r w:rsidRPr="005C3B98">
        <w:rPr>
          <w:rStyle w:val="Rimandonotaapidipagina"/>
          <w:rFonts w:cs="Arial"/>
          <w:sz w:val="18"/>
          <w:szCs w:val="18"/>
        </w:rPr>
        <w:footnoteRef/>
      </w:r>
      <w:r w:rsidRPr="005C3B98">
        <w:rPr>
          <w:rFonts w:ascii="Arial" w:hAnsi="Arial" w:cs="Arial"/>
          <w:sz w:val="18"/>
          <w:szCs w:val="18"/>
        </w:rPr>
        <w:t xml:space="preserve"> L’attuale versione dell’art. 5 LPT è entrata in vigore il 1. Maggio 2014 (RU 2014 899; FF 2010 931). </w:t>
      </w:r>
    </w:p>
  </w:footnote>
  <w:footnote w:id="2">
    <w:p w:rsidR="005C3B98" w:rsidRPr="005C3B98" w:rsidRDefault="005C3B98" w:rsidP="005C3B98">
      <w:pPr>
        <w:pStyle w:val="Testonotaapidipagina"/>
        <w:rPr>
          <w:rFonts w:ascii="Arial" w:hAnsi="Arial" w:cs="Arial"/>
          <w:sz w:val="18"/>
          <w:szCs w:val="18"/>
        </w:rPr>
      </w:pPr>
      <w:r w:rsidRPr="005C3B98">
        <w:rPr>
          <w:rStyle w:val="Rimandonotaapidipagina"/>
          <w:rFonts w:cs="Arial"/>
          <w:sz w:val="18"/>
          <w:szCs w:val="18"/>
        </w:rPr>
        <w:footnoteRef/>
      </w:r>
      <w:r w:rsidRPr="005C3B98">
        <w:rPr>
          <w:rFonts w:ascii="Arial" w:hAnsi="Arial" w:cs="Arial"/>
          <w:sz w:val="18"/>
          <w:szCs w:val="18"/>
        </w:rPr>
        <w:t xml:space="preserve"> Cfr. DTF 1C_132/2015 del 16/08/2017, c. 8.4.</w:t>
      </w:r>
    </w:p>
  </w:footnote>
  <w:footnote w:id="3">
    <w:p w:rsidR="005C3B98" w:rsidRDefault="005C3B98" w:rsidP="005C3B98">
      <w:pPr>
        <w:pStyle w:val="Testonotaapidipagina"/>
      </w:pPr>
      <w:r w:rsidRPr="00C00876">
        <w:rPr>
          <w:rStyle w:val="Rimandonotaapidipagina"/>
          <w:rFonts w:cs="Arial"/>
        </w:rPr>
        <w:footnoteRef/>
      </w:r>
      <w:r w:rsidRPr="00C00876">
        <w:rPr>
          <w:rFonts w:ascii="Arial" w:hAnsi="Arial" w:cs="Arial"/>
        </w:rPr>
        <w:t xml:space="preserve"> Interrogazione 1° settembre 2017 n. 165.17 presentata da Carlo Lepori “</w:t>
      </w:r>
      <w:r w:rsidRPr="00C00876">
        <w:rPr>
          <w:rFonts w:ascii="Arial" w:hAnsi="Arial" w:cs="Arial"/>
          <w:i/>
        </w:rPr>
        <w:t>Risultati della modifica della Legge sullo sviluppo territoriale, per quanto riguarda i vantaggi derivanti dalla pianificazione</w:t>
      </w:r>
      <w:r w:rsidRPr="00C00876">
        <w:rPr>
          <w:rFonts w:ascii="Arial" w:hAnsi="Arial" w:cs="Arial"/>
        </w:rPr>
        <w:t>”.</w:t>
      </w:r>
    </w:p>
  </w:footnote>
  <w:footnote w:id="4">
    <w:p w:rsidR="005C3B98" w:rsidRPr="005C3B98" w:rsidRDefault="005C3B98" w:rsidP="005C3B98">
      <w:pPr>
        <w:pStyle w:val="Testonotaapidipagina"/>
        <w:rPr>
          <w:rFonts w:ascii="Arial" w:hAnsi="Arial" w:cs="Arial"/>
          <w:sz w:val="18"/>
          <w:szCs w:val="18"/>
        </w:rPr>
      </w:pPr>
      <w:r w:rsidRPr="005C3B98">
        <w:rPr>
          <w:rStyle w:val="Rimandonotaapidipagina"/>
          <w:rFonts w:ascii="Arial" w:hAnsi="Arial" w:cs="Arial"/>
          <w:sz w:val="18"/>
          <w:szCs w:val="18"/>
        </w:rPr>
        <w:footnoteRef/>
      </w:r>
      <w:r w:rsidRPr="005C3B98">
        <w:rPr>
          <w:rFonts w:ascii="Arial" w:hAnsi="Arial" w:cs="Arial"/>
          <w:sz w:val="18"/>
          <w:szCs w:val="18"/>
        </w:rPr>
        <w:t xml:space="preserve"> La tabella è disponibile </w:t>
      </w:r>
      <w:r w:rsidRPr="005C3B98">
        <w:rPr>
          <w:rFonts w:ascii="Arial" w:hAnsi="Arial" w:cs="Arial"/>
          <w:sz w:val="18"/>
          <w:szCs w:val="18"/>
          <w:u w:val="single"/>
        </w:rPr>
        <w:t xml:space="preserve">in tedesco </w:t>
      </w:r>
      <w:r w:rsidRPr="005C3B98">
        <w:rPr>
          <w:rFonts w:ascii="Arial" w:hAnsi="Arial" w:cs="Arial"/>
          <w:i/>
          <w:sz w:val="18"/>
          <w:szCs w:val="18"/>
        </w:rPr>
        <w:t>https://www.espacesuisse.ch/sites/default/files/documents/Mehrwertausgleich_Kantone_Materialabbau_180605_0.pdf</w:t>
      </w:r>
      <w:r w:rsidRPr="005C3B98">
        <w:rPr>
          <w:rFonts w:ascii="Arial" w:hAnsi="Arial" w:cs="Arial"/>
          <w:sz w:val="18"/>
          <w:szCs w:val="18"/>
        </w:rPr>
        <w:t xml:space="preserve"> e </w:t>
      </w:r>
      <w:r w:rsidRPr="005C3B98">
        <w:rPr>
          <w:rFonts w:ascii="Arial" w:hAnsi="Arial" w:cs="Arial"/>
          <w:sz w:val="18"/>
          <w:szCs w:val="18"/>
          <w:u w:val="single"/>
        </w:rPr>
        <w:t xml:space="preserve">in francese </w:t>
      </w:r>
      <w:r w:rsidRPr="005C3B98">
        <w:rPr>
          <w:rFonts w:ascii="Arial" w:hAnsi="Arial" w:cs="Arial"/>
          <w:i/>
          <w:sz w:val="18"/>
          <w:szCs w:val="18"/>
        </w:rPr>
        <w:t>https://www.espacesuisse.ch/sites/default/files/documents/EspaceSuisse_Comparaison_reglement_cantonales_A3_180710_2.pdf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6BD"/>
    <w:multiLevelType w:val="hybridMultilevel"/>
    <w:tmpl w:val="FACC2956"/>
    <w:lvl w:ilvl="0" w:tplc="2696C948">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2">
    <w:nsid w:val="2B522398"/>
    <w:multiLevelType w:val="hybridMultilevel"/>
    <w:tmpl w:val="72DA8EA4"/>
    <w:lvl w:ilvl="0" w:tplc="867CA6E6">
      <w:start w:val="19"/>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35DF7BF8"/>
    <w:multiLevelType w:val="multilevel"/>
    <w:tmpl w:val="529CC4EC"/>
    <w:lvl w:ilvl="0">
      <w:start w:val="1"/>
      <w:numFmt w:val="decimal"/>
      <w:pStyle w:val="Tito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4F5C42E7"/>
    <w:multiLevelType w:val="hybridMultilevel"/>
    <w:tmpl w:val="844A929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nsid w:val="78D26D13"/>
    <w:multiLevelType w:val="hybridMultilevel"/>
    <w:tmpl w:val="CCAC707A"/>
    <w:lvl w:ilvl="0" w:tplc="6D40BC98">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1"/>
  </w:num>
  <w:num w:numId="5">
    <w:abstractNumId w:val="4"/>
  </w:num>
  <w:num w:numId="6">
    <w:abstractNumId w:val="2"/>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02B8B"/>
    <w:rsid w:val="001574D7"/>
    <w:rsid w:val="00260C8C"/>
    <w:rsid w:val="002E5E40"/>
    <w:rsid w:val="0052425A"/>
    <w:rsid w:val="00586A8D"/>
    <w:rsid w:val="005C3B98"/>
    <w:rsid w:val="005E7D2D"/>
    <w:rsid w:val="006D7A3B"/>
    <w:rsid w:val="0072334B"/>
    <w:rsid w:val="007352D3"/>
    <w:rsid w:val="007B5462"/>
    <w:rsid w:val="008034BD"/>
    <w:rsid w:val="00811D53"/>
    <w:rsid w:val="00876352"/>
    <w:rsid w:val="008B2655"/>
    <w:rsid w:val="008B4137"/>
    <w:rsid w:val="008C767A"/>
    <w:rsid w:val="008E77C6"/>
    <w:rsid w:val="009770BB"/>
    <w:rsid w:val="009E008D"/>
    <w:rsid w:val="00A5465F"/>
    <w:rsid w:val="00A77678"/>
    <w:rsid w:val="00BC4C95"/>
    <w:rsid w:val="00BD5944"/>
    <w:rsid w:val="00CF6858"/>
    <w:rsid w:val="00D377B5"/>
    <w:rsid w:val="00D60EA5"/>
    <w:rsid w:val="00D93B31"/>
    <w:rsid w:val="00E505DB"/>
    <w:rsid w:val="00E765A9"/>
    <w:rsid w:val="00F532B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5C3B98"/>
    <w:pPr>
      <w:keepNext/>
      <w:numPr>
        <w:numId w:val="9"/>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5C3B98"/>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5C3B98"/>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5C3B98"/>
    <w:rPr>
      <w:sz w:val="20"/>
      <w:szCs w:val="20"/>
    </w:rPr>
  </w:style>
  <w:style w:type="character" w:styleId="Rimandonotaapidipagina">
    <w:name w:val="footnote reference"/>
    <w:basedOn w:val="Carpredefinitoparagrafo"/>
    <w:uiPriority w:val="99"/>
    <w:semiHidden/>
    <w:unhideWhenUsed/>
    <w:rsid w:val="005C3B98"/>
    <w:rPr>
      <w:vertAlign w:val="superscript"/>
    </w:rPr>
  </w:style>
  <w:style w:type="table" w:customStyle="1" w:styleId="Grigliatabella1">
    <w:name w:val="Griglia tabella1"/>
    <w:basedOn w:val="Tabellanormale"/>
    <w:next w:val="Grigliatabella"/>
    <w:rsid w:val="005C3B98"/>
    <w:pPr>
      <w:jc w:val="left"/>
    </w:pPr>
    <w:rPr>
      <w:rFonts w:ascii="Arial" w:eastAsia="Times New Roman" w:hAnsi="Arial" w:cs="Times New Roman"/>
      <w:sz w:val="18"/>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5C3B98"/>
    <w:pPr>
      <w:keepNext/>
      <w:numPr>
        <w:numId w:val="9"/>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5C3B98"/>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5C3B98"/>
    <w:pPr>
      <w:jc w:val="left"/>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5C3B98"/>
    <w:rPr>
      <w:sz w:val="20"/>
      <w:szCs w:val="20"/>
    </w:rPr>
  </w:style>
  <w:style w:type="character" w:styleId="Rimandonotaapidipagina">
    <w:name w:val="footnote reference"/>
    <w:basedOn w:val="Carpredefinitoparagrafo"/>
    <w:uiPriority w:val="99"/>
    <w:semiHidden/>
    <w:unhideWhenUsed/>
    <w:rsid w:val="005C3B98"/>
    <w:rPr>
      <w:vertAlign w:val="superscript"/>
    </w:rPr>
  </w:style>
  <w:style w:type="table" w:customStyle="1" w:styleId="Grigliatabella1">
    <w:name w:val="Griglia tabella1"/>
    <w:basedOn w:val="Tabellanormale"/>
    <w:next w:val="Grigliatabella"/>
    <w:rsid w:val="005C3B98"/>
    <w:pPr>
      <w:jc w:val="left"/>
    </w:pPr>
    <w:rPr>
      <w:rFonts w:ascii="Arial" w:eastAsia="Times New Roman" w:hAnsi="Arial" w:cs="Times New Roman"/>
      <w:sz w:val="18"/>
      <w:szCs w:val="20"/>
      <w:lang w:eastAsia="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252CE-0EBA-412C-A3DF-4516591D4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3955</Words>
  <Characters>22547</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6</cp:revision>
  <cp:lastPrinted>2019-01-07T17:31:00Z</cp:lastPrinted>
  <dcterms:created xsi:type="dcterms:W3CDTF">2018-12-27T15:16:00Z</dcterms:created>
  <dcterms:modified xsi:type="dcterms:W3CDTF">2019-01-09T11:53:00Z</dcterms:modified>
</cp:coreProperties>
</file>