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9C52FC" w:rsidP="00F242E5">
      <w:pPr>
        <w:tabs>
          <w:tab w:val="left" w:pos="2495"/>
        </w:tabs>
        <w:spacing w:before="80" w:after="40"/>
        <w:rPr>
          <w:rFonts w:ascii="Gill Sans MT" w:hAnsi="Gill Sans MT"/>
          <w:b/>
          <w:sz w:val="56"/>
          <w:szCs w:val="56"/>
        </w:rPr>
      </w:pPr>
      <w:r w:rsidRPr="009C52FC">
        <w:rPr>
          <w:rFonts w:ascii="Gill Sans MT" w:hAnsi="Gill Sans MT"/>
          <w:b/>
          <w:sz w:val="56"/>
          <w:szCs w:val="56"/>
        </w:rPr>
        <w:t>Rapporto</w:t>
      </w:r>
      <w:r>
        <w:rPr>
          <w:rFonts w:ascii="Gill Sans MT" w:hAnsi="Gill Sans MT"/>
          <w:b/>
          <w:sz w:val="52"/>
          <w:szCs w:val="52"/>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bookmarkStart w:id="0" w:name="_GoBack"/>
      <w:bookmarkEnd w:id="0"/>
    </w:p>
    <w:p w:rsidR="00F242E5" w:rsidRDefault="009B26C9" w:rsidP="00F242E5">
      <w:pPr>
        <w:tabs>
          <w:tab w:val="left" w:pos="2098"/>
          <w:tab w:val="left" w:pos="4962"/>
        </w:tabs>
        <w:rPr>
          <w:position w:val="4"/>
        </w:rPr>
      </w:pPr>
      <w:r>
        <w:rPr>
          <w:b/>
          <w:position w:val="4"/>
          <w:sz w:val="32"/>
          <w:szCs w:val="32"/>
        </w:rPr>
        <w:t>7468</w:t>
      </w:r>
      <w:r w:rsidR="00F242E5" w:rsidRPr="002D7BF1">
        <w:rPr>
          <w:b/>
          <w:position w:val="4"/>
          <w:sz w:val="32"/>
          <w:szCs w:val="32"/>
        </w:rPr>
        <w:t xml:space="preserve"> R</w:t>
      </w:r>
      <w:r w:rsidR="00F242E5">
        <w:rPr>
          <w:b/>
          <w:position w:val="4"/>
          <w:sz w:val="32"/>
          <w:szCs w:val="32"/>
        </w:rPr>
        <w:t>1</w:t>
      </w:r>
      <w:r w:rsidR="00F242E5">
        <w:rPr>
          <w:position w:val="4"/>
          <w:sz w:val="28"/>
        </w:rPr>
        <w:tab/>
      </w:r>
      <w:r>
        <w:rPr>
          <w:position w:val="4"/>
          <w:sz w:val="28"/>
        </w:rPr>
        <w:t>5 dicembre 2018</w:t>
      </w:r>
      <w:r w:rsidR="00F242E5">
        <w:rPr>
          <w:position w:val="4"/>
          <w:sz w:val="28"/>
        </w:rPr>
        <w:tab/>
      </w:r>
      <w:r>
        <w:rPr>
          <w:position w:val="4"/>
          <w:sz w:val="28"/>
        </w:rPr>
        <w:t>ISTITUZIONI</w:t>
      </w:r>
    </w:p>
    <w:p w:rsidR="00F242E5" w:rsidRDefault="00F242E5" w:rsidP="00F242E5"/>
    <w:p w:rsidR="00F242E5" w:rsidRDefault="00F242E5" w:rsidP="00F242E5"/>
    <w:p w:rsidR="00F242E5" w:rsidRDefault="00F242E5" w:rsidP="00F242E5"/>
    <w:p w:rsidR="009B26C9" w:rsidRPr="00870CBA" w:rsidRDefault="009B26C9" w:rsidP="009B26C9">
      <w:pPr>
        <w:ind w:right="-1"/>
        <w:rPr>
          <w:rFonts w:cs="Arial"/>
          <w:b/>
          <w:snapToGrid w:val="0"/>
          <w:sz w:val="28"/>
          <w:szCs w:val="28"/>
        </w:rPr>
      </w:pPr>
      <w:r w:rsidRPr="00870CBA">
        <w:rPr>
          <w:rFonts w:cs="Arial"/>
          <w:b/>
          <w:snapToGrid w:val="0"/>
          <w:sz w:val="28"/>
          <w:szCs w:val="28"/>
        </w:rPr>
        <w:t>della Commissione della legislazione</w:t>
      </w:r>
    </w:p>
    <w:p w:rsidR="009B26C9" w:rsidRPr="003727CB" w:rsidRDefault="009B26C9" w:rsidP="009B26C9">
      <w:pPr>
        <w:spacing w:after="120"/>
        <w:ind w:right="-1"/>
        <w:rPr>
          <w:rFonts w:cs="Arial"/>
          <w:b/>
          <w:snapToGrid w:val="0"/>
          <w:sz w:val="28"/>
          <w:szCs w:val="28"/>
        </w:rPr>
      </w:pPr>
      <w:r w:rsidRPr="003727CB">
        <w:rPr>
          <w:rFonts w:cs="Arial"/>
          <w:b/>
          <w:snapToGrid w:val="0"/>
          <w:sz w:val="28"/>
          <w:szCs w:val="28"/>
        </w:rPr>
        <w:t>sull'iniziativa parlamentare 9 maggio 2017 presentata nella forma elaborata da Lara Filippini, Andrea Giudici e cofirmatari per una regolamentazione uniforme dell'anticipo spese</w:t>
      </w:r>
    </w:p>
    <w:p w:rsidR="009B26C9" w:rsidRPr="001B6459" w:rsidRDefault="009B26C9" w:rsidP="009B26C9">
      <w:pPr>
        <w:tabs>
          <w:tab w:val="left" w:pos="426"/>
        </w:tabs>
        <w:spacing w:after="120"/>
        <w:rPr>
          <w:rFonts w:cs="Arial"/>
          <w:b/>
          <w:lang w:val="it-IT"/>
        </w:rPr>
      </w:pPr>
      <w:r>
        <w:rPr>
          <w:rFonts w:cs="Arial"/>
          <w:b/>
        </w:rPr>
        <w:t xml:space="preserve">(v. </w:t>
      </w:r>
      <w:r w:rsidRPr="003727CB">
        <w:rPr>
          <w:rFonts w:cs="Arial"/>
          <w:b/>
          <w:sz w:val="26"/>
          <w:szCs w:val="26"/>
        </w:rPr>
        <w:t>messaggio</w:t>
      </w:r>
      <w:r>
        <w:rPr>
          <w:rFonts w:cs="Arial"/>
          <w:b/>
        </w:rPr>
        <w:t xml:space="preserve"> </w:t>
      </w:r>
      <w:r>
        <w:rPr>
          <w:rFonts w:cs="Arial"/>
          <w:b/>
          <w:lang w:val="it-IT"/>
        </w:rPr>
        <w:t>13 dicembre 2017 n. 7468)</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9B26C9" w:rsidRPr="00DB4B4C" w:rsidRDefault="009B26C9" w:rsidP="009B26C9">
      <w:pPr>
        <w:tabs>
          <w:tab w:val="left" w:pos="426"/>
        </w:tabs>
        <w:spacing w:after="160"/>
        <w:ind w:left="426" w:right="-1" w:hanging="426"/>
        <w:rPr>
          <w:rFonts w:cs="Arial"/>
          <w:b/>
          <w:lang w:val="it-IT"/>
        </w:rPr>
      </w:pPr>
      <w:r w:rsidRPr="00DB4B4C">
        <w:rPr>
          <w:rFonts w:cs="Arial"/>
          <w:b/>
          <w:lang w:val="it-IT"/>
        </w:rPr>
        <w:t>I.</w:t>
      </w:r>
      <w:r w:rsidRPr="00DB4B4C">
        <w:rPr>
          <w:rFonts w:cs="Arial"/>
          <w:b/>
          <w:lang w:val="it-IT"/>
        </w:rPr>
        <w:tab/>
        <w:t>LE RICHIESTE DELL</w:t>
      </w:r>
      <w:r>
        <w:rPr>
          <w:rFonts w:cs="Arial"/>
          <w:b/>
          <w:lang w:val="it-IT"/>
        </w:rPr>
        <w:t>'</w:t>
      </w:r>
      <w:r w:rsidRPr="00DB4B4C">
        <w:rPr>
          <w:rFonts w:cs="Arial"/>
          <w:b/>
          <w:lang w:val="it-IT"/>
        </w:rPr>
        <w:t>INIZIATIVA</w:t>
      </w:r>
    </w:p>
    <w:p w:rsidR="009B26C9" w:rsidRDefault="009B26C9" w:rsidP="009B26C9">
      <w:pPr>
        <w:widowControl w:val="0"/>
        <w:autoSpaceDE w:val="0"/>
        <w:autoSpaceDN w:val="0"/>
        <w:adjustRightInd w:val="0"/>
        <w:rPr>
          <w:rFonts w:cs="Arial"/>
          <w:lang w:val="it-IT"/>
        </w:rPr>
      </w:pPr>
      <w:r>
        <w:rPr>
          <w:rFonts w:cs="Arial"/>
          <w:lang w:val="it-IT"/>
        </w:rPr>
        <w:t xml:space="preserve">Gli </w:t>
      </w:r>
      <w:proofErr w:type="spellStart"/>
      <w:r>
        <w:rPr>
          <w:rFonts w:cs="Arial"/>
          <w:lang w:val="it-IT"/>
        </w:rPr>
        <w:t>iniziativisti</w:t>
      </w:r>
      <w:proofErr w:type="spellEnd"/>
      <w:r>
        <w:rPr>
          <w:rFonts w:cs="Arial"/>
          <w:lang w:val="it-IT"/>
        </w:rPr>
        <w:t xml:space="preserve"> </w:t>
      </w:r>
      <w:r>
        <w:rPr>
          <w:rFonts w:cs="Arial"/>
          <w:i/>
          <w:lang w:val="it-IT"/>
        </w:rPr>
        <w:t>«</w:t>
      </w:r>
      <w:r w:rsidRPr="00DB4B4C">
        <w:rPr>
          <w:rFonts w:cs="Arial"/>
          <w:i/>
          <w:lang w:val="it-IT"/>
        </w:rPr>
        <w:t>chiedono di stabilire in maniera generale che chi adisce un</w:t>
      </w:r>
      <w:r>
        <w:rPr>
          <w:rFonts w:cs="Arial"/>
          <w:i/>
          <w:lang w:val="it-IT"/>
        </w:rPr>
        <w:t>'</w:t>
      </w:r>
      <w:r w:rsidRPr="00DB4B4C">
        <w:rPr>
          <w:rFonts w:cs="Arial"/>
          <w:i/>
          <w:lang w:val="it-IT"/>
        </w:rPr>
        <w:t>autorità giudiziaria deve anticiparne le spese</w:t>
      </w:r>
      <w:r>
        <w:rPr>
          <w:rFonts w:cs="Arial"/>
          <w:i/>
          <w:lang w:val="it-IT"/>
        </w:rPr>
        <w:t>»</w:t>
      </w:r>
      <w:r w:rsidRPr="00DB4B4C">
        <w:rPr>
          <w:rFonts w:cs="Arial"/>
          <w:lang w:val="it-IT"/>
        </w:rPr>
        <w:t>.</w:t>
      </w:r>
    </w:p>
    <w:p w:rsidR="009B26C9" w:rsidRPr="00DB4B4C"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 xml:space="preserve">Gli </w:t>
      </w:r>
      <w:proofErr w:type="spellStart"/>
      <w:r>
        <w:rPr>
          <w:rFonts w:cs="Arial"/>
          <w:lang w:val="it-IT"/>
        </w:rPr>
        <w:t>iniziativisti</w:t>
      </w:r>
      <w:proofErr w:type="spellEnd"/>
      <w:r>
        <w:rPr>
          <w:rFonts w:cs="Arial"/>
          <w:lang w:val="it-IT"/>
        </w:rPr>
        <w:t>, dopo avere esaminato le diverse discipline in materia di anticipi nella procedura civile (dov'è la regola), nella procedura amministrativa (dov'è la regola davanti al Tribunale cantonale amministrativo e l'eccezione davanti alle istanze inferiori) e nella procedura penale (dov'è l'eccezione), chiedono in particolare di introdurre i</w:t>
      </w:r>
      <w:r w:rsidRPr="007235F1">
        <w:rPr>
          <w:rFonts w:cs="Arial"/>
          <w:lang w:val="it-IT"/>
        </w:rPr>
        <w:t>l principio dell</w:t>
      </w:r>
      <w:r>
        <w:rPr>
          <w:rFonts w:cs="Arial"/>
          <w:lang w:val="it-IT"/>
        </w:rPr>
        <w:t>'</w:t>
      </w:r>
      <w:r w:rsidRPr="007235F1">
        <w:rPr>
          <w:rFonts w:cs="Arial"/>
          <w:lang w:val="it-IT"/>
        </w:rPr>
        <w:t>anticipo spese</w:t>
      </w:r>
      <w:r>
        <w:rPr>
          <w:rFonts w:cs="Arial"/>
          <w:lang w:val="it-IT"/>
        </w:rPr>
        <w:t xml:space="preserve"> nelle </w:t>
      </w:r>
      <w:r w:rsidRPr="007235F1">
        <w:rPr>
          <w:rFonts w:cs="Arial"/>
          <w:lang w:val="it-IT"/>
        </w:rPr>
        <w:t>procedure fiscali</w:t>
      </w:r>
      <w:r>
        <w:rPr>
          <w:rFonts w:cs="Arial"/>
          <w:lang w:val="it-IT"/>
        </w:rPr>
        <w:t>, nelle procedure di ricorso soggette</w:t>
      </w:r>
      <w:r w:rsidRPr="007235F1">
        <w:rPr>
          <w:rFonts w:cs="Arial"/>
          <w:lang w:val="it-IT"/>
        </w:rPr>
        <w:t xml:space="preserve"> a tassa in ambito AI,</w:t>
      </w:r>
      <w:r>
        <w:rPr>
          <w:rFonts w:cs="Arial"/>
          <w:lang w:val="it-IT"/>
        </w:rPr>
        <w:t xml:space="preserve"> nelle procedure di reclamo</w:t>
      </w:r>
      <w:r w:rsidRPr="007235F1">
        <w:rPr>
          <w:rFonts w:cs="Arial"/>
          <w:lang w:val="it-IT"/>
        </w:rPr>
        <w:t xml:space="preserve"> alla Camera di protezione e </w:t>
      </w:r>
      <w:r>
        <w:rPr>
          <w:rFonts w:cs="Arial"/>
          <w:lang w:val="it-IT"/>
        </w:rPr>
        <w:t>nel</w:t>
      </w:r>
      <w:r w:rsidRPr="007235F1">
        <w:rPr>
          <w:rFonts w:cs="Arial"/>
          <w:lang w:val="it-IT"/>
        </w:rPr>
        <w:t>le procedure di esecuzione</w:t>
      </w:r>
      <w:r>
        <w:rPr>
          <w:rFonts w:cs="Arial"/>
          <w:lang w:val="it-IT"/>
        </w:rPr>
        <w:t xml:space="preserve"> </w:t>
      </w:r>
      <w:r w:rsidRPr="007235F1">
        <w:rPr>
          <w:rFonts w:cs="Arial"/>
          <w:lang w:val="it-IT"/>
        </w:rPr>
        <w:t>della pena</w:t>
      </w:r>
      <w:r>
        <w:rPr>
          <w:rFonts w:cs="Arial"/>
          <w:lang w:val="it-IT"/>
        </w:rPr>
        <w:t>.</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 xml:space="preserve">Gli </w:t>
      </w:r>
      <w:proofErr w:type="spellStart"/>
      <w:r>
        <w:rPr>
          <w:rFonts w:cs="Arial"/>
          <w:lang w:val="it-IT"/>
        </w:rPr>
        <w:t>iniziativisti</w:t>
      </w:r>
      <w:proofErr w:type="spellEnd"/>
      <w:r>
        <w:rPr>
          <w:rFonts w:cs="Arial"/>
          <w:lang w:val="it-IT"/>
        </w:rPr>
        <w:t xml:space="preserve"> propongono inoltre di uniformare le norme concernenti i termini per versare gli anticipi, di modo che </w:t>
      </w:r>
      <w:r w:rsidRPr="007235F1">
        <w:rPr>
          <w:rFonts w:cs="Arial"/>
          <w:lang w:val="it-IT"/>
        </w:rPr>
        <w:t>all</w:t>
      </w:r>
      <w:r>
        <w:rPr>
          <w:rFonts w:cs="Arial"/>
          <w:lang w:val="it-IT"/>
        </w:rPr>
        <w:t>'</w:t>
      </w:r>
      <w:r w:rsidRPr="007235F1">
        <w:rPr>
          <w:rFonts w:cs="Arial"/>
          <w:lang w:val="it-IT"/>
        </w:rPr>
        <w:t>interessato</w:t>
      </w:r>
      <w:r>
        <w:rPr>
          <w:rFonts w:cs="Arial"/>
          <w:lang w:val="it-IT"/>
        </w:rPr>
        <w:t xml:space="preserve"> siano fissati</w:t>
      </w:r>
      <w:r w:rsidRPr="007235F1">
        <w:rPr>
          <w:rFonts w:cs="Arial"/>
          <w:lang w:val="it-IT"/>
        </w:rPr>
        <w:t xml:space="preserve"> due termini per versare l</w:t>
      </w:r>
      <w:r>
        <w:rPr>
          <w:rFonts w:cs="Arial"/>
          <w:lang w:val="it-IT"/>
        </w:rPr>
        <w:t>'</w:t>
      </w:r>
      <w:r w:rsidRPr="007235F1">
        <w:rPr>
          <w:rFonts w:cs="Arial"/>
          <w:lang w:val="it-IT"/>
        </w:rPr>
        <w:t>anticipo delle spese</w:t>
      </w:r>
      <w:r>
        <w:rPr>
          <w:rFonts w:cs="Arial"/>
          <w:lang w:val="it-IT"/>
        </w:rPr>
        <w:t>.</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 xml:space="preserve">Per concretizzare quanto precede gli </w:t>
      </w:r>
      <w:proofErr w:type="spellStart"/>
      <w:r>
        <w:rPr>
          <w:rFonts w:cs="Arial"/>
          <w:lang w:val="it-IT"/>
        </w:rPr>
        <w:t>iniziativisti</w:t>
      </w:r>
      <w:proofErr w:type="spellEnd"/>
      <w:r>
        <w:rPr>
          <w:rFonts w:cs="Arial"/>
          <w:lang w:val="it-IT"/>
        </w:rPr>
        <w:t xml:space="preserve"> propongono le seguenti modifiche legislative:</w:t>
      </w:r>
    </w:p>
    <w:p w:rsidR="009B26C9" w:rsidRPr="009C0C47" w:rsidRDefault="009B26C9" w:rsidP="009B26C9">
      <w:pPr>
        <w:widowControl w:val="0"/>
        <w:autoSpaceDE w:val="0"/>
        <w:autoSpaceDN w:val="0"/>
        <w:adjustRightInd w:val="0"/>
        <w:rPr>
          <w:rFonts w:cs="Arial"/>
          <w:b/>
          <w:lang w:val="it-IT"/>
        </w:rPr>
      </w:pPr>
    </w:p>
    <w:tbl>
      <w:tblPr>
        <w:tblStyle w:val="Grigliatabella"/>
        <w:tblW w:w="0" w:type="auto"/>
        <w:tblLook w:val="04A0" w:firstRow="1" w:lastRow="0" w:firstColumn="1" w:lastColumn="0" w:noHBand="0" w:noVBand="1"/>
      </w:tblPr>
      <w:tblGrid>
        <w:gridCol w:w="4886"/>
        <w:gridCol w:w="4886"/>
      </w:tblGrid>
      <w:tr w:rsidR="009B26C9" w:rsidRPr="009C0C47" w:rsidTr="00BD0F59">
        <w:tc>
          <w:tcPr>
            <w:tcW w:w="4886" w:type="dxa"/>
          </w:tcPr>
          <w:p w:rsidR="009B26C9" w:rsidRPr="00880A41" w:rsidRDefault="009B26C9" w:rsidP="0062179D">
            <w:pPr>
              <w:widowControl w:val="0"/>
              <w:autoSpaceDE w:val="0"/>
              <w:autoSpaceDN w:val="0"/>
              <w:adjustRightInd w:val="0"/>
              <w:spacing w:before="80" w:after="80"/>
              <w:jc w:val="both"/>
              <w:rPr>
                <w:rFonts w:cs="Arial"/>
                <w:b/>
                <w:sz w:val="22"/>
                <w:lang w:val="it-IT"/>
              </w:rPr>
            </w:pPr>
            <w:r w:rsidRPr="00880A41">
              <w:rPr>
                <w:rFonts w:cs="Arial"/>
                <w:b/>
                <w:sz w:val="22"/>
                <w:lang w:val="it-IT"/>
              </w:rPr>
              <w:t>LEGGE IN VIGORE</w:t>
            </w:r>
          </w:p>
        </w:tc>
        <w:tc>
          <w:tcPr>
            <w:tcW w:w="4886" w:type="dxa"/>
          </w:tcPr>
          <w:p w:rsidR="009B26C9" w:rsidRPr="00880A41" w:rsidRDefault="009B26C9" w:rsidP="0062179D">
            <w:pPr>
              <w:widowControl w:val="0"/>
              <w:autoSpaceDE w:val="0"/>
              <w:autoSpaceDN w:val="0"/>
              <w:adjustRightInd w:val="0"/>
              <w:spacing w:before="80" w:after="80"/>
              <w:jc w:val="both"/>
              <w:rPr>
                <w:rFonts w:cs="Arial"/>
                <w:b/>
                <w:sz w:val="22"/>
                <w:lang w:val="it-IT"/>
              </w:rPr>
            </w:pPr>
            <w:r w:rsidRPr="00880A41">
              <w:rPr>
                <w:rFonts w:cs="Arial"/>
                <w:b/>
                <w:sz w:val="22"/>
                <w:lang w:val="it-IT"/>
              </w:rPr>
              <w:t>MODIFICA PROPOSTA DALL'INIZIATIVA</w:t>
            </w:r>
          </w:p>
        </w:tc>
      </w:tr>
      <w:tr w:rsidR="009B26C9" w:rsidTr="00BD0F59">
        <w:tc>
          <w:tcPr>
            <w:tcW w:w="4886" w:type="dxa"/>
          </w:tcPr>
          <w:p w:rsidR="009B26C9" w:rsidRPr="00880A41" w:rsidRDefault="009B26C9" w:rsidP="00042FB5">
            <w:pPr>
              <w:widowControl w:val="0"/>
              <w:autoSpaceDE w:val="0"/>
              <w:autoSpaceDN w:val="0"/>
              <w:adjustRightInd w:val="0"/>
              <w:spacing w:before="60" w:after="60"/>
              <w:jc w:val="both"/>
              <w:rPr>
                <w:rFonts w:cs="Arial"/>
                <w:b/>
                <w:sz w:val="22"/>
                <w:lang w:val="it-IT"/>
              </w:rPr>
            </w:pPr>
            <w:r w:rsidRPr="00880A41">
              <w:rPr>
                <w:rFonts w:cs="Arial"/>
                <w:b/>
                <w:sz w:val="22"/>
                <w:lang w:val="it-IT"/>
              </w:rPr>
              <w:t xml:space="preserve">Art. 47 cpv. 3 </w:t>
            </w:r>
            <w:proofErr w:type="spellStart"/>
            <w:r w:rsidRPr="00880A41">
              <w:rPr>
                <w:rFonts w:cs="Arial"/>
                <w:b/>
                <w:sz w:val="22"/>
                <w:lang w:val="it-IT"/>
              </w:rPr>
              <w:t>LPAmm</w:t>
            </w:r>
            <w:proofErr w:type="spellEnd"/>
          </w:p>
          <w:p w:rsidR="009B26C9" w:rsidRPr="00880A41" w:rsidRDefault="009B26C9" w:rsidP="00BD0F59">
            <w:pPr>
              <w:widowControl w:val="0"/>
              <w:autoSpaceDE w:val="0"/>
              <w:autoSpaceDN w:val="0"/>
              <w:adjustRightInd w:val="0"/>
              <w:jc w:val="both"/>
              <w:rPr>
                <w:rFonts w:cs="Arial"/>
                <w:sz w:val="22"/>
                <w:lang w:val="it-IT"/>
              </w:rPr>
            </w:pPr>
            <w:r w:rsidRPr="00880A41">
              <w:rPr>
                <w:rFonts w:cs="Arial"/>
                <w:sz w:val="22"/>
                <w:vertAlign w:val="superscript"/>
              </w:rPr>
              <w:t>3</w:t>
            </w:r>
            <w:r w:rsidRPr="00880A41">
              <w:rPr>
                <w:rFonts w:cs="Arial"/>
                <w:sz w:val="22"/>
              </w:rPr>
              <w:t>L'autorità di ricorso può esigere dal ricorrente non dimorante in Ticino o in mora con il pagamento di pubblici tributi cantonali un adeguato anticipo a titolo di garanzia per le spese processuali presunte e gli assegna un congruo termine per il pagamento, non sospeso dalle ferie, con la comminatoria dell'irricevibilità del ricorso.</w:t>
            </w:r>
          </w:p>
        </w:tc>
        <w:tc>
          <w:tcPr>
            <w:tcW w:w="4886" w:type="dxa"/>
          </w:tcPr>
          <w:p w:rsidR="009B26C9" w:rsidRPr="00880A41" w:rsidRDefault="009B26C9" w:rsidP="00042FB5">
            <w:pPr>
              <w:autoSpaceDE w:val="0"/>
              <w:autoSpaceDN w:val="0"/>
              <w:adjustRightInd w:val="0"/>
              <w:spacing w:before="60" w:after="60"/>
              <w:jc w:val="both"/>
              <w:rPr>
                <w:rFonts w:cs="Arial"/>
                <w:b/>
                <w:bCs/>
                <w:sz w:val="22"/>
              </w:rPr>
            </w:pPr>
            <w:r w:rsidRPr="00880A41">
              <w:rPr>
                <w:rFonts w:cs="Arial"/>
                <w:b/>
                <w:bCs/>
                <w:sz w:val="22"/>
              </w:rPr>
              <w:t xml:space="preserve">Art. 47 cpv. 3 </w:t>
            </w:r>
            <w:proofErr w:type="spellStart"/>
            <w:r w:rsidRPr="00880A41">
              <w:rPr>
                <w:rFonts w:cs="Arial"/>
                <w:b/>
                <w:bCs/>
                <w:sz w:val="22"/>
              </w:rPr>
              <w:t>LPAmm</w:t>
            </w:r>
            <w:proofErr w:type="spellEnd"/>
          </w:p>
          <w:p w:rsidR="009B26C9" w:rsidRPr="00880A41" w:rsidRDefault="009B26C9" w:rsidP="00BD0F59">
            <w:pPr>
              <w:autoSpaceDE w:val="0"/>
              <w:autoSpaceDN w:val="0"/>
              <w:adjustRightInd w:val="0"/>
              <w:jc w:val="both"/>
              <w:rPr>
                <w:rFonts w:cs="Arial"/>
                <w:b/>
                <w:i/>
                <w:sz w:val="22"/>
              </w:rPr>
            </w:pPr>
            <w:r w:rsidRPr="00494F7D">
              <w:rPr>
                <w:rFonts w:cs="Arial"/>
                <w:sz w:val="22"/>
                <w:vertAlign w:val="superscript"/>
              </w:rPr>
              <w:t>3</w:t>
            </w:r>
            <w:r w:rsidRPr="00880A41">
              <w:rPr>
                <w:rFonts w:cs="Arial"/>
                <w:sz w:val="22"/>
              </w:rPr>
              <w:t xml:space="preserve">L'autorità di ricorso può esigere dal ricorrente non dimorante in Ticino o in mora con il pagamento di pubblici tributi cantonali un adeguato anticipo a titolo di garanzia per le spese processuali presunte. </w:t>
            </w:r>
            <w:r w:rsidRPr="00880A41">
              <w:rPr>
                <w:rFonts w:cs="Arial"/>
                <w:b/>
                <w:i/>
                <w:sz w:val="22"/>
              </w:rPr>
              <w:t>Essa stabilisce un congruo termine per il pagamento. Se il termine scade infruttuoso, impartisce un termine suppletorio. Se l'anticipo non è versato nemmeno nel termine suppletorio, l'autorità di ricorso non entra nel merito dell'istanza.</w:t>
            </w:r>
          </w:p>
          <w:p w:rsidR="009B26C9" w:rsidRPr="00880A41" w:rsidRDefault="009B26C9" w:rsidP="00BD0F59">
            <w:pPr>
              <w:widowControl w:val="0"/>
              <w:autoSpaceDE w:val="0"/>
              <w:autoSpaceDN w:val="0"/>
              <w:adjustRightInd w:val="0"/>
              <w:jc w:val="both"/>
              <w:rPr>
                <w:rFonts w:cs="Arial"/>
                <w:sz w:val="22"/>
                <w:lang w:val="it-IT"/>
              </w:rPr>
            </w:pPr>
          </w:p>
        </w:tc>
      </w:tr>
      <w:tr w:rsidR="009B26C9" w:rsidTr="00BD0F59">
        <w:tc>
          <w:tcPr>
            <w:tcW w:w="4886" w:type="dxa"/>
          </w:tcPr>
          <w:p w:rsidR="009B26C9" w:rsidRPr="00880A41" w:rsidRDefault="009B26C9" w:rsidP="00BD0F59">
            <w:pPr>
              <w:widowControl w:val="0"/>
              <w:autoSpaceDE w:val="0"/>
              <w:autoSpaceDN w:val="0"/>
              <w:adjustRightInd w:val="0"/>
              <w:jc w:val="both"/>
              <w:rPr>
                <w:rFonts w:cs="Arial"/>
                <w:sz w:val="22"/>
                <w:lang w:val="it-IT"/>
              </w:rPr>
            </w:pPr>
          </w:p>
        </w:tc>
        <w:tc>
          <w:tcPr>
            <w:tcW w:w="4886" w:type="dxa"/>
          </w:tcPr>
          <w:p w:rsidR="009B26C9" w:rsidRPr="00880A41" w:rsidRDefault="009B26C9" w:rsidP="001C7BF9">
            <w:pPr>
              <w:autoSpaceDE w:val="0"/>
              <w:autoSpaceDN w:val="0"/>
              <w:adjustRightInd w:val="0"/>
              <w:spacing w:before="60"/>
              <w:jc w:val="both"/>
              <w:rPr>
                <w:rFonts w:cs="Arial"/>
                <w:b/>
                <w:sz w:val="22"/>
              </w:rPr>
            </w:pPr>
            <w:r w:rsidRPr="00880A41">
              <w:rPr>
                <w:rFonts w:cs="Arial"/>
                <w:b/>
                <w:sz w:val="22"/>
              </w:rPr>
              <w:t xml:space="preserve">Art. 49a </w:t>
            </w:r>
            <w:proofErr w:type="spellStart"/>
            <w:r w:rsidRPr="00880A41">
              <w:rPr>
                <w:rFonts w:cs="Arial"/>
                <w:b/>
                <w:sz w:val="22"/>
              </w:rPr>
              <w:t>LPAmm</w:t>
            </w:r>
            <w:proofErr w:type="spellEnd"/>
            <w:r w:rsidRPr="00880A41">
              <w:rPr>
                <w:rFonts w:cs="Arial"/>
                <w:b/>
                <w:sz w:val="22"/>
              </w:rPr>
              <w:t xml:space="preserve"> (nuovo)</w:t>
            </w:r>
          </w:p>
          <w:p w:rsidR="009B26C9" w:rsidRPr="00880A41" w:rsidRDefault="009B26C9" w:rsidP="001C7BF9">
            <w:pPr>
              <w:autoSpaceDE w:val="0"/>
              <w:autoSpaceDN w:val="0"/>
              <w:adjustRightInd w:val="0"/>
              <w:spacing w:before="80"/>
              <w:jc w:val="both"/>
              <w:rPr>
                <w:rFonts w:cs="Arial"/>
                <w:sz w:val="22"/>
              </w:rPr>
            </w:pPr>
            <w:r w:rsidRPr="00494F7D">
              <w:rPr>
                <w:rFonts w:cs="Arial"/>
                <w:sz w:val="22"/>
                <w:vertAlign w:val="superscript"/>
              </w:rPr>
              <w:t>1</w:t>
            </w:r>
            <w:r w:rsidRPr="00880A41">
              <w:rPr>
                <w:rFonts w:cs="Arial"/>
                <w:sz w:val="22"/>
              </w:rPr>
              <w:t>Le spese procedurali sono compensate innanzitutto con gli anticipi prestati dalle parti. L'eventuale scoperto è a carico di chi è condannato a pagare le spese.</w:t>
            </w:r>
          </w:p>
          <w:p w:rsidR="009B26C9" w:rsidRPr="00880A41" w:rsidRDefault="009B26C9" w:rsidP="001C7BF9">
            <w:pPr>
              <w:autoSpaceDE w:val="0"/>
              <w:autoSpaceDN w:val="0"/>
              <w:adjustRightInd w:val="0"/>
              <w:spacing w:before="80"/>
              <w:jc w:val="both"/>
              <w:rPr>
                <w:rFonts w:cs="Arial"/>
                <w:sz w:val="22"/>
              </w:rPr>
            </w:pPr>
            <w:r w:rsidRPr="00494F7D">
              <w:rPr>
                <w:rFonts w:cs="Arial"/>
                <w:sz w:val="22"/>
                <w:vertAlign w:val="superscript"/>
              </w:rPr>
              <w:t>2</w:t>
            </w:r>
            <w:r w:rsidRPr="00880A41">
              <w:rPr>
                <w:rFonts w:cs="Arial"/>
                <w:sz w:val="22"/>
              </w:rPr>
              <w:t>La parte condannata a pagare le spese deve rimborsare all'altra gli anticipi prestati e pagarle le ripetibili assegnate dall'autorità di ricorso.</w:t>
            </w:r>
          </w:p>
          <w:p w:rsidR="009B26C9" w:rsidRPr="00880A41" w:rsidRDefault="009B26C9" w:rsidP="001C7BF9">
            <w:pPr>
              <w:autoSpaceDE w:val="0"/>
              <w:autoSpaceDN w:val="0"/>
              <w:adjustRightInd w:val="0"/>
              <w:spacing w:before="80"/>
              <w:jc w:val="both"/>
              <w:rPr>
                <w:rFonts w:cs="Arial"/>
                <w:sz w:val="22"/>
              </w:rPr>
            </w:pPr>
            <w:r w:rsidRPr="00494F7D">
              <w:rPr>
                <w:rFonts w:cs="Arial"/>
                <w:sz w:val="22"/>
                <w:vertAlign w:val="superscript"/>
              </w:rPr>
              <w:t>3</w:t>
            </w:r>
            <w:r w:rsidRPr="00880A41">
              <w:rPr>
                <w:rFonts w:cs="Arial"/>
                <w:sz w:val="22"/>
              </w:rPr>
              <w:t>Sono fatte salve le disposizioni della legge sul patrocinio d'ufficio e sull'assistenza giudiziaria del 15 marzo 2011.</w:t>
            </w:r>
          </w:p>
          <w:p w:rsidR="009B26C9" w:rsidRPr="00F945C8" w:rsidRDefault="009B26C9" w:rsidP="00BD0F59">
            <w:pPr>
              <w:widowControl w:val="0"/>
              <w:autoSpaceDE w:val="0"/>
              <w:autoSpaceDN w:val="0"/>
              <w:adjustRightInd w:val="0"/>
              <w:jc w:val="both"/>
              <w:rPr>
                <w:rFonts w:cs="Arial"/>
                <w:sz w:val="14"/>
                <w:szCs w:val="14"/>
                <w:lang w:val="it-IT"/>
              </w:rPr>
            </w:pPr>
          </w:p>
        </w:tc>
      </w:tr>
      <w:tr w:rsidR="009B26C9" w:rsidTr="00BD0F59">
        <w:tc>
          <w:tcPr>
            <w:tcW w:w="4886" w:type="dxa"/>
          </w:tcPr>
          <w:p w:rsidR="009B26C9" w:rsidRPr="00880A41" w:rsidRDefault="009B26C9" w:rsidP="00BD0F59">
            <w:pPr>
              <w:shd w:val="clear" w:color="auto" w:fill="FFFFFF"/>
              <w:spacing w:after="75" w:line="300" w:lineRule="atLeast"/>
              <w:ind w:left="675"/>
              <w:jc w:val="both"/>
              <w:rPr>
                <w:rFonts w:cs="Arial"/>
                <w:sz w:val="22"/>
              </w:rPr>
            </w:pPr>
          </w:p>
        </w:tc>
        <w:tc>
          <w:tcPr>
            <w:tcW w:w="4886" w:type="dxa"/>
          </w:tcPr>
          <w:p w:rsidR="009B26C9" w:rsidRPr="00880A41" w:rsidRDefault="009B26C9" w:rsidP="001C7BF9">
            <w:pPr>
              <w:autoSpaceDE w:val="0"/>
              <w:autoSpaceDN w:val="0"/>
              <w:adjustRightInd w:val="0"/>
              <w:spacing w:before="60"/>
              <w:jc w:val="both"/>
              <w:rPr>
                <w:rFonts w:cs="Arial"/>
                <w:b/>
                <w:bCs/>
                <w:sz w:val="22"/>
              </w:rPr>
            </w:pPr>
            <w:r w:rsidRPr="00880A41">
              <w:rPr>
                <w:rFonts w:cs="Arial"/>
                <w:b/>
                <w:bCs/>
                <w:sz w:val="22"/>
              </w:rPr>
              <w:t xml:space="preserve">Art. 29 cpv. 2a e 5 </w:t>
            </w:r>
            <w:proofErr w:type="spellStart"/>
            <w:r w:rsidRPr="00880A41">
              <w:rPr>
                <w:rFonts w:cs="Arial"/>
                <w:b/>
                <w:bCs/>
                <w:sz w:val="22"/>
              </w:rPr>
              <w:t>Lpcta</w:t>
            </w:r>
            <w:proofErr w:type="spellEnd"/>
            <w:r w:rsidRPr="00880A41">
              <w:rPr>
                <w:rFonts w:cs="Arial"/>
                <w:b/>
                <w:bCs/>
                <w:sz w:val="22"/>
              </w:rPr>
              <w:t xml:space="preserve"> (nuovi)</w:t>
            </w:r>
          </w:p>
          <w:p w:rsidR="009B26C9" w:rsidRPr="00880A41" w:rsidRDefault="009B26C9" w:rsidP="001C7BF9">
            <w:pPr>
              <w:autoSpaceDE w:val="0"/>
              <w:autoSpaceDN w:val="0"/>
              <w:adjustRightInd w:val="0"/>
              <w:spacing w:before="80"/>
              <w:jc w:val="both"/>
              <w:rPr>
                <w:rFonts w:cs="Arial"/>
                <w:sz w:val="22"/>
              </w:rPr>
            </w:pPr>
            <w:r w:rsidRPr="00494F7D">
              <w:rPr>
                <w:rFonts w:cs="Arial"/>
                <w:sz w:val="22"/>
                <w:vertAlign w:val="superscript"/>
              </w:rPr>
              <w:t>2</w:t>
            </w:r>
            <w:r w:rsidR="001C7BF9">
              <w:rPr>
                <w:rFonts w:cs="Arial"/>
                <w:sz w:val="22"/>
                <w:vertAlign w:val="superscript"/>
              </w:rPr>
              <w:t>a</w:t>
            </w:r>
            <w:r w:rsidRPr="00880A41">
              <w:rPr>
                <w:rFonts w:cs="Arial"/>
                <w:sz w:val="22"/>
              </w:rPr>
              <w:t>Se la procedura è soggetta a tassa, il giudice delegato stabilisce un congruo termine per il pagamento di un adeguato anticipo a titolo di garanzia per le spese processuali presunte. Se il termine scade infruttuoso, impartisce un termine suppletorio. Se l'anticipo non è versato nemmeno nel termine suppletorio, il Tribunale non entra nel merito dell'istanza.</w:t>
            </w:r>
          </w:p>
          <w:p w:rsidR="009B26C9" w:rsidRPr="00880A41" w:rsidRDefault="009B26C9" w:rsidP="001C7BF9">
            <w:pPr>
              <w:autoSpaceDE w:val="0"/>
              <w:autoSpaceDN w:val="0"/>
              <w:adjustRightInd w:val="0"/>
              <w:spacing w:before="80"/>
              <w:jc w:val="both"/>
              <w:rPr>
                <w:rFonts w:cs="Arial"/>
                <w:sz w:val="22"/>
              </w:rPr>
            </w:pPr>
            <w:r w:rsidRPr="00494F7D">
              <w:rPr>
                <w:rFonts w:cs="Arial"/>
                <w:sz w:val="22"/>
                <w:vertAlign w:val="superscript"/>
              </w:rPr>
              <w:t>5</w:t>
            </w:r>
            <w:r w:rsidRPr="00880A41">
              <w:rPr>
                <w:rFonts w:cs="Arial"/>
                <w:sz w:val="22"/>
              </w:rPr>
              <w:t>Per la liquidazione delle spese è applicabile l'articolo 49a della legge sulla procedura amministrativa del 24 settembre 2013.</w:t>
            </w:r>
          </w:p>
          <w:p w:rsidR="009B26C9" w:rsidRPr="00F945C8" w:rsidRDefault="009B26C9" w:rsidP="00BD0F59">
            <w:pPr>
              <w:autoSpaceDE w:val="0"/>
              <w:autoSpaceDN w:val="0"/>
              <w:adjustRightInd w:val="0"/>
              <w:jc w:val="both"/>
              <w:rPr>
                <w:rFonts w:cs="Arial"/>
                <w:sz w:val="14"/>
                <w:szCs w:val="14"/>
                <w:lang w:val="it-IT"/>
              </w:rPr>
            </w:pPr>
          </w:p>
        </w:tc>
      </w:tr>
      <w:tr w:rsidR="009B26C9" w:rsidTr="00BD0F59">
        <w:tc>
          <w:tcPr>
            <w:tcW w:w="4886" w:type="dxa"/>
          </w:tcPr>
          <w:p w:rsidR="009B26C9" w:rsidRPr="00880A41" w:rsidRDefault="009B26C9" w:rsidP="00BD0F59">
            <w:pPr>
              <w:widowControl w:val="0"/>
              <w:autoSpaceDE w:val="0"/>
              <w:autoSpaceDN w:val="0"/>
              <w:adjustRightInd w:val="0"/>
              <w:jc w:val="both"/>
              <w:rPr>
                <w:rFonts w:cs="Arial"/>
                <w:sz w:val="22"/>
                <w:lang w:val="it-IT"/>
              </w:rPr>
            </w:pPr>
          </w:p>
        </w:tc>
        <w:tc>
          <w:tcPr>
            <w:tcW w:w="4886" w:type="dxa"/>
          </w:tcPr>
          <w:p w:rsidR="009B26C9" w:rsidRPr="00880A41" w:rsidRDefault="009B26C9" w:rsidP="001C7BF9">
            <w:pPr>
              <w:autoSpaceDE w:val="0"/>
              <w:autoSpaceDN w:val="0"/>
              <w:adjustRightInd w:val="0"/>
              <w:spacing w:before="60"/>
              <w:jc w:val="both"/>
              <w:rPr>
                <w:rFonts w:cs="Arial"/>
                <w:b/>
                <w:bCs/>
                <w:sz w:val="22"/>
              </w:rPr>
            </w:pPr>
            <w:r w:rsidRPr="00880A41">
              <w:rPr>
                <w:rFonts w:cs="Arial"/>
                <w:b/>
                <w:bCs/>
                <w:sz w:val="22"/>
              </w:rPr>
              <w:t xml:space="preserve">Art. 30 cpv. 4 </w:t>
            </w:r>
            <w:proofErr w:type="spellStart"/>
            <w:r w:rsidRPr="00880A41">
              <w:rPr>
                <w:rFonts w:cs="Arial"/>
                <w:b/>
                <w:bCs/>
                <w:sz w:val="22"/>
              </w:rPr>
              <w:t>Lpcta</w:t>
            </w:r>
            <w:proofErr w:type="spellEnd"/>
            <w:r w:rsidRPr="00880A41">
              <w:rPr>
                <w:rFonts w:cs="Arial"/>
                <w:b/>
                <w:bCs/>
                <w:sz w:val="22"/>
              </w:rPr>
              <w:t xml:space="preserve"> (nuovo)</w:t>
            </w:r>
          </w:p>
          <w:p w:rsidR="009B26C9" w:rsidRPr="00880A41" w:rsidRDefault="009B26C9" w:rsidP="001C7BF9">
            <w:pPr>
              <w:autoSpaceDE w:val="0"/>
              <w:autoSpaceDN w:val="0"/>
              <w:adjustRightInd w:val="0"/>
              <w:spacing w:before="80"/>
              <w:jc w:val="both"/>
              <w:rPr>
                <w:rFonts w:cs="Arial"/>
                <w:sz w:val="22"/>
              </w:rPr>
            </w:pPr>
            <w:r w:rsidRPr="00494F7D">
              <w:rPr>
                <w:rFonts w:cs="Arial"/>
                <w:sz w:val="22"/>
                <w:vertAlign w:val="superscript"/>
              </w:rPr>
              <w:t>4</w:t>
            </w:r>
            <w:r w:rsidRPr="00880A41">
              <w:rPr>
                <w:rFonts w:cs="Arial"/>
                <w:sz w:val="22"/>
              </w:rPr>
              <w:t>Gli enti pubblici e gli organismi incaricati di compiti di diritto pubblico che dispongono di un servizio giuridico non hanno diritto a un'indennità per ripetibili. Rimangono riservate le procedure particolarmente complesse e quelle in cui agiscono a tutela dei loro interessi pecuniari.</w:t>
            </w:r>
          </w:p>
          <w:p w:rsidR="009B26C9" w:rsidRPr="00F945C8" w:rsidRDefault="009B26C9" w:rsidP="001C7BF9">
            <w:pPr>
              <w:autoSpaceDE w:val="0"/>
              <w:autoSpaceDN w:val="0"/>
              <w:adjustRightInd w:val="0"/>
              <w:jc w:val="both"/>
              <w:rPr>
                <w:rFonts w:cs="Arial"/>
                <w:sz w:val="14"/>
                <w:szCs w:val="14"/>
                <w:lang w:val="it-IT"/>
              </w:rPr>
            </w:pPr>
          </w:p>
        </w:tc>
      </w:tr>
      <w:tr w:rsidR="009B26C9" w:rsidTr="00BD0F59">
        <w:tc>
          <w:tcPr>
            <w:tcW w:w="4886" w:type="dxa"/>
          </w:tcPr>
          <w:p w:rsidR="009B26C9" w:rsidRPr="00880A41" w:rsidRDefault="009B26C9" w:rsidP="001C7BF9">
            <w:pPr>
              <w:widowControl w:val="0"/>
              <w:autoSpaceDE w:val="0"/>
              <w:autoSpaceDN w:val="0"/>
              <w:adjustRightInd w:val="0"/>
              <w:spacing w:before="60"/>
              <w:jc w:val="both"/>
              <w:rPr>
                <w:rFonts w:cs="Arial"/>
                <w:b/>
                <w:sz w:val="22"/>
                <w:lang w:val="it-IT"/>
              </w:rPr>
            </w:pPr>
            <w:r w:rsidRPr="00880A41">
              <w:rPr>
                <w:rFonts w:cs="Arial"/>
                <w:b/>
                <w:sz w:val="22"/>
                <w:lang w:val="it-IT"/>
              </w:rPr>
              <w:t>Art. 20 LPMA</w:t>
            </w:r>
          </w:p>
          <w:p w:rsidR="009B26C9" w:rsidRPr="00880A41" w:rsidRDefault="009B26C9" w:rsidP="001C7BF9">
            <w:pPr>
              <w:widowControl w:val="0"/>
              <w:autoSpaceDE w:val="0"/>
              <w:autoSpaceDN w:val="0"/>
              <w:adjustRightInd w:val="0"/>
              <w:spacing w:before="80"/>
              <w:jc w:val="both"/>
              <w:rPr>
                <w:rFonts w:cs="Arial"/>
                <w:sz w:val="22"/>
                <w:lang w:val="it-IT"/>
              </w:rPr>
            </w:pPr>
            <w:r w:rsidRPr="00880A41">
              <w:rPr>
                <w:rFonts w:cs="Arial"/>
                <w:sz w:val="22"/>
                <w:lang w:val="it-IT"/>
              </w:rPr>
              <w:t>L'autorità regionale di protezione può chiedere l'anticipo delle spese al terzo istante, se la misura risulta essere essenzialmente nel suo interesse.</w:t>
            </w:r>
          </w:p>
        </w:tc>
        <w:tc>
          <w:tcPr>
            <w:tcW w:w="4886" w:type="dxa"/>
          </w:tcPr>
          <w:p w:rsidR="009B26C9" w:rsidRPr="00880A41" w:rsidRDefault="009B26C9" w:rsidP="001C7BF9">
            <w:pPr>
              <w:autoSpaceDE w:val="0"/>
              <w:autoSpaceDN w:val="0"/>
              <w:adjustRightInd w:val="0"/>
              <w:spacing w:before="60"/>
              <w:jc w:val="both"/>
              <w:rPr>
                <w:rFonts w:cs="Arial"/>
                <w:b/>
                <w:bCs/>
                <w:sz w:val="22"/>
              </w:rPr>
            </w:pPr>
            <w:r w:rsidRPr="00880A41">
              <w:rPr>
                <w:rFonts w:cs="Arial"/>
                <w:b/>
                <w:bCs/>
                <w:sz w:val="22"/>
              </w:rPr>
              <w:t>Art. 20 LPMA</w:t>
            </w:r>
          </w:p>
          <w:p w:rsidR="009B26C9" w:rsidRPr="00880A41" w:rsidRDefault="009B26C9" w:rsidP="001C7BF9">
            <w:pPr>
              <w:autoSpaceDE w:val="0"/>
              <w:autoSpaceDN w:val="0"/>
              <w:adjustRightInd w:val="0"/>
              <w:spacing w:before="80"/>
              <w:jc w:val="both"/>
              <w:rPr>
                <w:rFonts w:cs="Arial"/>
                <w:sz w:val="22"/>
              </w:rPr>
            </w:pPr>
            <w:r w:rsidRPr="00494F7D">
              <w:rPr>
                <w:rFonts w:cs="Arial"/>
                <w:sz w:val="22"/>
                <w:vertAlign w:val="superscript"/>
              </w:rPr>
              <w:t>1</w:t>
            </w:r>
            <w:r w:rsidRPr="00880A41">
              <w:rPr>
                <w:rFonts w:cs="Arial"/>
                <w:sz w:val="22"/>
              </w:rPr>
              <w:t>L'autorità regionale di protezione può chiedere l'anticipo delle spese al terzo istante, se la misura risulta essere essenzialmente nel suo interesse.</w:t>
            </w:r>
          </w:p>
          <w:p w:rsidR="009B26C9" w:rsidRPr="00880A41" w:rsidRDefault="009B26C9" w:rsidP="001C7BF9">
            <w:pPr>
              <w:autoSpaceDE w:val="0"/>
              <w:autoSpaceDN w:val="0"/>
              <w:adjustRightInd w:val="0"/>
              <w:spacing w:before="80"/>
              <w:jc w:val="both"/>
              <w:rPr>
                <w:rFonts w:cs="Arial"/>
                <w:b/>
                <w:sz w:val="22"/>
              </w:rPr>
            </w:pPr>
            <w:r w:rsidRPr="00494F7D">
              <w:rPr>
                <w:rFonts w:cs="Arial"/>
                <w:b/>
                <w:sz w:val="22"/>
                <w:vertAlign w:val="superscript"/>
              </w:rPr>
              <w:t>2</w:t>
            </w:r>
            <w:r w:rsidRPr="00880A41">
              <w:rPr>
                <w:rFonts w:cs="Arial"/>
                <w:b/>
                <w:sz w:val="22"/>
              </w:rPr>
              <w:t>Per l'anticipo delle spese dinanzi all'autorità di reclamo, si applica per analogia quanto previsto per i ricorsi al Tribunale cantonale amministrativo.</w:t>
            </w:r>
          </w:p>
          <w:p w:rsidR="009B26C9" w:rsidRPr="00F945C8" w:rsidRDefault="009B26C9" w:rsidP="001C7BF9">
            <w:pPr>
              <w:autoSpaceDE w:val="0"/>
              <w:autoSpaceDN w:val="0"/>
              <w:adjustRightInd w:val="0"/>
              <w:jc w:val="both"/>
              <w:rPr>
                <w:rFonts w:cs="Arial"/>
                <w:b/>
                <w:bCs/>
                <w:sz w:val="14"/>
                <w:szCs w:val="14"/>
              </w:rPr>
            </w:pPr>
          </w:p>
        </w:tc>
      </w:tr>
      <w:tr w:rsidR="009B26C9" w:rsidTr="00BD0F59">
        <w:tc>
          <w:tcPr>
            <w:tcW w:w="4886" w:type="dxa"/>
          </w:tcPr>
          <w:p w:rsidR="009B26C9" w:rsidRPr="00880A41" w:rsidRDefault="009B26C9" w:rsidP="00BD0F59">
            <w:pPr>
              <w:widowControl w:val="0"/>
              <w:autoSpaceDE w:val="0"/>
              <w:autoSpaceDN w:val="0"/>
              <w:adjustRightInd w:val="0"/>
              <w:jc w:val="both"/>
              <w:rPr>
                <w:rFonts w:cs="Arial"/>
                <w:sz w:val="22"/>
                <w:lang w:val="it-IT"/>
              </w:rPr>
            </w:pPr>
          </w:p>
        </w:tc>
        <w:tc>
          <w:tcPr>
            <w:tcW w:w="4886" w:type="dxa"/>
          </w:tcPr>
          <w:p w:rsidR="009B26C9" w:rsidRPr="00880A41" w:rsidRDefault="009B26C9" w:rsidP="001C7BF9">
            <w:pPr>
              <w:autoSpaceDE w:val="0"/>
              <w:autoSpaceDN w:val="0"/>
              <w:adjustRightInd w:val="0"/>
              <w:spacing w:before="60"/>
              <w:jc w:val="both"/>
              <w:rPr>
                <w:rFonts w:cs="Arial"/>
                <w:b/>
                <w:bCs/>
                <w:sz w:val="22"/>
              </w:rPr>
            </w:pPr>
            <w:r w:rsidRPr="00880A41">
              <w:rPr>
                <w:rFonts w:cs="Arial"/>
                <w:b/>
                <w:bCs/>
                <w:sz w:val="22"/>
              </w:rPr>
              <w:t xml:space="preserve">Art. 12 cpv. 3 </w:t>
            </w:r>
            <w:r w:rsidRPr="00880A41">
              <w:rPr>
                <w:rFonts w:cs="Arial"/>
                <w:b/>
                <w:sz w:val="22"/>
                <w:lang w:val="it-IT"/>
              </w:rPr>
              <w:t xml:space="preserve">Legge sull'esecuzione delle pene e delle misure per gli adulti </w:t>
            </w:r>
            <w:r w:rsidRPr="00880A41">
              <w:rPr>
                <w:rFonts w:cs="Arial"/>
                <w:b/>
                <w:bCs/>
                <w:sz w:val="22"/>
              </w:rPr>
              <w:t>(nuovo)</w:t>
            </w:r>
          </w:p>
          <w:p w:rsidR="009B26C9" w:rsidRDefault="009B26C9" w:rsidP="001C7BF9">
            <w:pPr>
              <w:autoSpaceDE w:val="0"/>
              <w:autoSpaceDN w:val="0"/>
              <w:adjustRightInd w:val="0"/>
              <w:spacing w:before="80"/>
              <w:jc w:val="both"/>
              <w:rPr>
                <w:rFonts w:cs="Arial"/>
                <w:sz w:val="22"/>
              </w:rPr>
            </w:pPr>
            <w:r w:rsidRPr="00494F7D">
              <w:rPr>
                <w:rFonts w:cs="Arial"/>
                <w:sz w:val="22"/>
                <w:vertAlign w:val="superscript"/>
              </w:rPr>
              <w:t>3</w:t>
            </w:r>
            <w:r w:rsidRPr="00880A41">
              <w:rPr>
                <w:rFonts w:cs="Arial"/>
                <w:sz w:val="22"/>
              </w:rPr>
              <w:t>La direzione del procedimento dell'autorità di reclamo stabilisce un congruo termine per il pagamento di un adeguato anticipo a titolo di garanzia per le spese processuali presunte. Se il termine scade infruttuoso, impartisce un termine suppletorio. Se l'anticipo non è versato nemmeno nel termine suppletorio, l'autorità di reclamo non entra nel merito dell'istanza.</w:t>
            </w:r>
          </w:p>
          <w:p w:rsidR="00042FB5" w:rsidRPr="00F945C8" w:rsidRDefault="00042FB5" w:rsidP="001C7BF9">
            <w:pPr>
              <w:autoSpaceDE w:val="0"/>
              <w:autoSpaceDN w:val="0"/>
              <w:adjustRightInd w:val="0"/>
              <w:jc w:val="both"/>
              <w:rPr>
                <w:rFonts w:cs="Arial"/>
                <w:b/>
                <w:bCs/>
                <w:sz w:val="14"/>
                <w:szCs w:val="14"/>
              </w:rPr>
            </w:pPr>
          </w:p>
        </w:tc>
      </w:tr>
      <w:tr w:rsidR="009B26C9" w:rsidTr="00BD0F59">
        <w:tc>
          <w:tcPr>
            <w:tcW w:w="4886" w:type="dxa"/>
          </w:tcPr>
          <w:p w:rsidR="009B26C9" w:rsidRPr="00880A41" w:rsidRDefault="009B26C9" w:rsidP="00F945C8">
            <w:pPr>
              <w:autoSpaceDE w:val="0"/>
              <w:autoSpaceDN w:val="0"/>
              <w:adjustRightInd w:val="0"/>
              <w:spacing w:before="60"/>
              <w:jc w:val="both"/>
              <w:rPr>
                <w:rFonts w:cs="Arial"/>
                <w:b/>
                <w:bCs/>
                <w:sz w:val="22"/>
              </w:rPr>
            </w:pPr>
            <w:r w:rsidRPr="00880A41">
              <w:rPr>
                <w:rFonts w:cs="Arial"/>
                <w:b/>
                <w:bCs/>
                <w:sz w:val="22"/>
              </w:rPr>
              <w:lastRenderedPageBreak/>
              <w:t>Art. 231 LT</w:t>
            </w:r>
          </w:p>
          <w:p w:rsidR="009B26C9" w:rsidRDefault="009B26C9" w:rsidP="00F945C8">
            <w:pPr>
              <w:widowControl w:val="0"/>
              <w:autoSpaceDE w:val="0"/>
              <w:autoSpaceDN w:val="0"/>
              <w:adjustRightInd w:val="0"/>
              <w:spacing w:before="60"/>
              <w:jc w:val="both"/>
              <w:rPr>
                <w:rFonts w:eastAsia="Times New Roman" w:cs="Arial"/>
                <w:sz w:val="22"/>
                <w:lang w:eastAsia="it-CH"/>
              </w:rPr>
            </w:pPr>
            <w:r w:rsidRPr="00880A41">
              <w:rPr>
                <w:rFonts w:eastAsia="Times New Roman" w:cs="Arial"/>
                <w:sz w:val="22"/>
                <w:vertAlign w:val="superscript"/>
                <w:lang w:eastAsia="it-CH"/>
              </w:rPr>
              <w:t>1</w:t>
            </w:r>
            <w:r w:rsidRPr="00880A41">
              <w:rPr>
                <w:rFonts w:eastAsia="Times New Roman" w:cs="Arial"/>
                <w:sz w:val="22"/>
                <w:lang w:eastAsia="it-CH"/>
              </w:rPr>
              <w:t>La Camera di diritto tributario può esigere dal ricorrente non dimorante in Ticino o in mora con il pagamento di pubblici tributi cantonali il versamento di un adeguato importo a titolo di garanzia per le tasse di giustizia e le spese di procedura e gli assegna un congruo termine per il pagamento con la comminatoria dell'irricevibilità del ricorso.</w:t>
            </w:r>
          </w:p>
          <w:p w:rsidR="009B26C9" w:rsidRDefault="009B26C9" w:rsidP="00F945C8">
            <w:pPr>
              <w:widowControl w:val="0"/>
              <w:autoSpaceDE w:val="0"/>
              <w:autoSpaceDN w:val="0"/>
              <w:adjustRightInd w:val="0"/>
              <w:jc w:val="both"/>
              <w:rPr>
                <w:rFonts w:eastAsia="Times New Roman" w:cs="Arial"/>
                <w:sz w:val="22"/>
                <w:lang w:eastAsia="it-CH"/>
              </w:rPr>
            </w:pPr>
          </w:p>
          <w:p w:rsidR="00F945C8" w:rsidRDefault="00F945C8" w:rsidP="00F945C8">
            <w:pPr>
              <w:widowControl w:val="0"/>
              <w:autoSpaceDE w:val="0"/>
              <w:autoSpaceDN w:val="0"/>
              <w:adjustRightInd w:val="0"/>
              <w:jc w:val="both"/>
              <w:rPr>
                <w:rFonts w:eastAsia="Times New Roman" w:cs="Arial"/>
                <w:sz w:val="22"/>
                <w:lang w:eastAsia="it-CH"/>
              </w:rPr>
            </w:pPr>
          </w:p>
          <w:p w:rsidR="009B26C9" w:rsidRDefault="009B26C9" w:rsidP="00F945C8">
            <w:pPr>
              <w:widowControl w:val="0"/>
              <w:autoSpaceDE w:val="0"/>
              <w:autoSpaceDN w:val="0"/>
              <w:adjustRightInd w:val="0"/>
              <w:spacing w:before="80"/>
              <w:jc w:val="both"/>
              <w:rPr>
                <w:rFonts w:eastAsia="Times New Roman" w:cs="Arial"/>
                <w:sz w:val="22"/>
                <w:lang w:eastAsia="it-CH"/>
              </w:rPr>
            </w:pPr>
            <w:r w:rsidRPr="00880A41">
              <w:rPr>
                <w:rFonts w:eastAsia="Times New Roman" w:cs="Arial"/>
                <w:sz w:val="22"/>
                <w:vertAlign w:val="superscript"/>
                <w:lang w:eastAsia="it-CH"/>
              </w:rPr>
              <w:t>2</w:t>
            </w:r>
            <w:r w:rsidRPr="00880A41">
              <w:rPr>
                <w:rFonts w:eastAsia="Times New Roman" w:cs="Arial"/>
                <w:sz w:val="22"/>
                <w:lang w:eastAsia="it-CH"/>
              </w:rPr>
              <w:t>La tassa di giustizia e le spese di procedura davanti alla Camera di diritto tributario sono poste a carico della parte soccombente; se il ricorso è ammesso parzialmente, le spese sono ripartite proporzionalmente.</w:t>
            </w:r>
          </w:p>
          <w:p w:rsidR="009B26C9" w:rsidRDefault="009B26C9" w:rsidP="00F945C8">
            <w:pPr>
              <w:widowControl w:val="0"/>
              <w:autoSpaceDE w:val="0"/>
              <w:autoSpaceDN w:val="0"/>
              <w:adjustRightInd w:val="0"/>
              <w:spacing w:before="80"/>
              <w:jc w:val="both"/>
              <w:rPr>
                <w:rFonts w:eastAsia="Times New Roman" w:cs="Arial"/>
                <w:sz w:val="22"/>
                <w:lang w:eastAsia="it-CH"/>
              </w:rPr>
            </w:pPr>
            <w:r w:rsidRPr="00880A41">
              <w:rPr>
                <w:rFonts w:eastAsia="Times New Roman" w:cs="Arial"/>
                <w:sz w:val="22"/>
                <w:vertAlign w:val="superscript"/>
                <w:lang w:eastAsia="it-CH"/>
              </w:rPr>
              <w:t>3</w:t>
            </w:r>
            <w:r w:rsidRPr="00880A41">
              <w:rPr>
                <w:rFonts w:eastAsia="Times New Roman" w:cs="Arial"/>
                <w:sz w:val="22"/>
                <w:lang w:eastAsia="it-CH"/>
              </w:rPr>
              <w:t>Esse sono poste totalmente o parzialmente a carico del ricorrente vincente se questi, conformandosi agli obblighi che gli incombevano, avrebbe potuto ottenere soddisfazione già nella procedura di tassazione o di reclamo oppure ha ostacolato con raggiri l'inchiesta della Camera di diritto tributario.</w:t>
            </w:r>
          </w:p>
          <w:p w:rsidR="00F945C8" w:rsidRDefault="00F945C8" w:rsidP="00F945C8">
            <w:pPr>
              <w:widowControl w:val="0"/>
              <w:autoSpaceDE w:val="0"/>
              <w:autoSpaceDN w:val="0"/>
              <w:adjustRightInd w:val="0"/>
              <w:jc w:val="both"/>
              <w:rPr>
                <w:rFonts w:eastAsia="Times New Roman" w:cs="Arial"/>
                <w:sz w:val="22"/>
                <w:lang w:eastAsia="it-CH"/>
              </w:rPr>
            </w:pPr>
          </w:p>
          <w:p w:rsidR="009B26C9" w:rsidRDefault="009B26C9" w:rsidP="00F945C8">
            <w:pPr>
              <w:widowControl w:val="0"/>
              <w:autoSpaceDE w:val="0"/>
              <w:autoSpaceDN w:val="0"/>
              <w:adjustRightInd w:val="0"/>
              <w:spacing w:before="80"/>
              <w:jc w:val="both"/>
              <w:rPr>
                <w:rFonts w:eastAsia="Times New Roman" w:cs="Arial"/>
                <w:sz w:val="22"/>
                <w:lang w:eastAsia="it-CH"/>
              </w:rPr>
            </w:pPr>
            <w:r w:rsidRPr="00880A41">
              <w:rPr>
                <w:rFonts w:eastAsia="Times New Roman" w:cs="Arial"/>
                <w:sz w:val="22"/>
                <w:vertAlign w:val="superscript"/>
                <w:lang w:eastAsia="it-CH"/>
              </w:rPr>
              <w:t>4</w:t>
            </w:r>
            <w:r w:rsidRPr="00880A41">
              <w:rPr>
                <w:rFonts w:eastAsia="Times New Roman" w:cs="Arial"/>
                <w:sz w:val="22"/>
                <w:lang w:eastAsia="it-CH"/>
              </w:rPr>
              <w:t>A garanzia per speciali spese di indagine richieste dal contribuente, può essere chiesto un congruo anticipo. Il mancato versamento dell'anticipo ha per effetto la rinuncia alla richiesta prova.</w:t>
            </w:r>
          </w:p>
          <w:p w:rsidR="009B26C9" w:rsidRDefault="009B26C9" w:rsidP="00F945C8">
            <w:pPr>
              <w:widowControl w:val="0"/>
              <w:autoSpaceDE w:val="0"/>
              <w:autoSpaceDN w:val="0"/>
              <w:adjustRightInd w:val="0"/>
              <w:spacing w:before="80"/>
              <w:jc w:val="both"/>
              <w:rPr>
                <w:rFonts w:eastAsia="Times New Roman" w:cs="Arial"/>
                <w:sz w:val="22"/>
                <w:lang w:eastAsia="it-CH"/>
              </w:rPr>
            </w:pPr>
            <w:r w:rsidRPr="00880A41">
              <w:rPr>
                <w:rFonts w:eastAsia="Times New Roman" w:cs="Arial"/>
                <w:sz w:val="22"/>
                <w:vertAlign w:val="superscript"/>
                <w:lang w:eastAsia="it-CH"/>
              </w:rPr>
              <w:t>5</w:t>
            </w:r>
            <w:r w:rsidRPr="00880A41">
              <w:rPr>
                <w:rFonts w:eastAsia="Times New Roman" w:cs="Arial"/>
                <w:sz w:val="22"/>
                <w:lang w:eastAsia="it-CH"/>
              </w:rPr>
              <w:t>In caso di accoglimento totale o parziale del ricorso, alla parte ricorrente è riconosciuta un'indennità a titolo di ripetibili.</w:t>
            </w:r>
          </w:p>
          <w:p w:rsidR="009B26C9" w:rsidRDefault="009B26C9" w:rsidP="00F945C8">
            <w:pPr>
              <w:widowControl w:val="0"/>
              <w:autoSpaceDE w:val="0"/>
              <w:autoSpaceDN w:val="0"/>
              <w:adjustRightInd w:val="0"/>
              <w:jc w:val="both"/>
              <w:rPr>
                <w:rFonts w:eastAsia="Times New Roman" w:cs="Arial"/>
                <w:sz w:val="22"/>
                <w:lang w:eastAsia="it-CH"/>
              </w:rPr>
            </w:pPr>
          </w:p>
          <w:p w:rsidR="00F945C8" w:rsidRDefault="00F945C8" w:rsidP="00F945C8">
            <w:pPr>
              <w:widowControl w:val="0"/>
              <w:autoSpaceDE w:val="0"/>
              <w:autoSpaceDN w:val="0"/>
              <w:adjustRightInd w:val="0"/>
              <w:jc w:val="both"/>
              <w:rPr>
                <w:rFonts w:eastAsia="Times New Roman" w:cs="Arial"/>
                <w:sz w:val="22"/>
                <w:lang w:eastAsia="it-CH"/>
              </w:rPr>
            </w:pPr>
          </w:p>
          <w:p w:rsidR="009B26C9" w:rsidRDefault="009B26C9" w:rsidP="00F945C8">
            <w:pPr>
              <w:widowControl w:val="0"/>
              <w:autoSpaceDE w:val="0"/>
              <w:autoSpaceDN w:val="0"/>
              <w:adjustRightInd w:val="0"/>
              <w:spacing w:before="80"/>
              <w:jc w:val="both"/>
              <w:rPr>
                <w:rFonts w:eastAsia="Times New Roman" w:cs="Arial"/>
                <w:sz w:val="22"/>
                <w:lang w:eastAsia="it-CH"/>
              </w:rPr>
            </w:pPr>
            <w:r w:rsidRPr="00880A41">
              <w:rPr>
                <w:rFonts w:eastAsia="Times New Roman" w:cs="Arial"/>
                <w:sz w:val="22"/>
                <w:vertAlign w:val="superscript"/>
                <w:lang w:eastAsia="it-CH"/>
              </w:rPr>
              <w:t>6</w:t>
            </w:r>
            <w:r w:rsidRPr="00880A41">
              <w:rPr>
                <w:rFonts w:eastAsia="Times New Roman" w:cs="Arial"/>
                <w:sz w:val="22"/>
                <w:lang w:eastAsia="it-CH"/>
              </w:rPr>
              <w:t>Le decisioni della Camera di diritto tributario sono soggette ad una tassa di giustizia da un minimo di 100.-- franchi a un massimo di 10'000.-- franchi.</w:t>
            </w:r>
          </w:p>
          <w:p w:rsidR="00F945C8" w:rsidRPr="00F945C8" w:rsidRDefault="00F945C8" w:rsidP="00F945C8">
            <w:pPr>
              <w:widowControl w:val="0"/>
              <w:autoSpaceDE w:val="0"/>
              <w:autoSpaceDN w:val="0"/>
              <w:adjustRightInd w:val="0"/>
              <w:jc w:val="both"/>
              <w:rPr>
                <w:rFonts w:cs="Arial"/>
                <w:sz w:val="12"/>
                <w:szCs w:val="12"/>
                <w:lang w:val="it-IT"/>
              </w:rPr>
            </w:pPr>
          </w:p>
        </w:tc>
        <w:tc>
          <w:tcPr>
            <w:tcW w:w="4886" w:type="dxa"/>
          </w:tcPr>
          <w:p w:rsidR="009B26C9" w:rsidRPr="00880A41" w:rsidRDefault="009B26C9" w:rsidP="00F945C8">
            <w:pPr>
              <w:autoSpaceDE w:val="0"/>
              <w:autoSpaceDN w:val="0"/>
              <w:adjustRightInd w:val="0"/>
              <w:spacing w:before="60"/>
              <w:jc w:val="both"/>
              <w:rPr>
                <w:rFonts w:cs="Arial"/>
                <w:b/>
                <w:bCs/>
                <w:sz w:val="22"/>
              </w:rPr>
            </w:pPr>
            <w:r w:rsidRPr="00880A41">
              <w:rPr>
                <w:rFonts w:cs="Arial"/>
                <w:b/>
                <w:bCs/>
                <w:sz w:val="22"/>
              </w:rPr>
              <w:t>Art. 231 LT</w:t>
            </w:r>
          </w:p>
          <w:p w:rsidR="009B26C9" w:rsidRPr="00880A41" w:rsidRDefault="009B26C9" w:rsidP="00F945C8">
            <w:pPr>
              <w:autoSpaceDE w:val="0"/>
              <w:autoSpaceDN w:val="0"/>
              <w:adjustRightInd w:val="0"/>
              <w:spacing w:before="60"/>
              <w:jc w:val="both"/>
              <w:rPr>
                <w:rFonts w:cs="Arial"/>
                <w:sz w:val="22"/>
              </w:rPr>
            </w:pPr>
            <w:r w:rsidRPr="00494F7D">
              <w:rPr>
                <w:rFonts w:cs="Arial"/>
                <w:sz w:val="22"/>
                <w:vertAlign w:val="superscript"/>
              </w:rPr>
              <w:t>1</w:t>
            </w:r>
            <w:r w:rsidRPr="00880A41">
              <w:rPr>
                <w:rFonts w:cs="Arial"/>
                <w:sz w:val="22"/>
              </w:rPr>
              <w:t>La Camera di diritto tributario applica alle proprie decisioni una tassa di giustizia, che viene stabilita in funzione dell'ampiezza e della difficoltà della causa, del modo di condotta processuale e della situazione finanziaria delle parti. Il suo importo varia:</w:t>
            </w:r>
          </w:p>
          <w:p w:rsidR="009B26C9" w:rsidRPr="00880A41" w:rsidRDefault="00F945C8" w:rsidP="00BD0F59">
            <w:pPr>
              <w:autoSpaceDE w:val="0"/>
              <w:autoSpaceDN w:val="0"/>
              <w:adjustRightInd w:val="0"/>
              <w:ind w:left="359" w:hanging="359"/>
              <w:jc w:val="both"/>
              <w:rPr>
                <w:rFonts w:cs="Arial"/>
                <w:sz w:val="22"/>
              </w:rPr>
            </w:pPr>
            <w:r>
              <w:rPr>
                <w:rFonts w:cs="Arial"/>
                <w:sz w:val="22"/>
              </w:rPr>
              <w:t>a)</w:t>
            </w:r>
            <w:r w:rsidR="009B26C9" w:rsidRPr="00880A41">
              <w:rPr>
                <w:rFonts w:cs="Arial"/>
                <w:sz w:val="22"/>
              </w:rPr>
              <w:tab/>
              <w:t>da 100 a 5'000 franchi nei procedimenti amministrativi di carattere non pecuniario;</w:t>
            </w:r>
          </w:p>
          <w:p w:rsidR="009B26C9" w:rsidRPr="00880A41" w:rsidRDefault="009B26C9" w:rsidP="00BD0F59">
            <w:pPr>
              <w:autoSpaceDE w:val="0"/>
              <w:autoSpaceDN w:val="0"/>
              <w:adjustRightInd w:val="0"/>
              <w:ind w:left="359" w:hanging="359"/>
              <w:jc w:val="both"/>
              <w:rPr>
                <w:rFonts w:cs="Arial"/>
                <w:sz w:val="22"/>
              </w:rPr>
            </w:pPr>
            <w:r w:rsidRPr="00880A41">
              <w:rPr>
                <w:rFonts w:cs="Arial"/>
                <w:sz w:val="22"/>
              </w:rPr>
              <w:t>b)</w:t>
            </w:r>
            <w:r w:rsidRPr="00880A41">
              <w:rPr>
                <w:rFonts w:cs="Arial"/>
                <w:sz w:val="22"/>
              </w:rPr>
              <w:tab/>
              <w:t>da 100 a 30'000 franchi nei procedimenti amministrativi di carattere pecuniario.</w:t>
            </w:r>
          </w:p>
          <w:p w:rsidR="009B26C9" w:rsidRDefault="009B26C9" w:rsidP="00F945C8">
            <w:pPr>
              <w:autoSpaceDE w:val="0"/>
              <w:autoSpaceDN w:val="0"/>
              <w:adjustRightInd w:val="0"/>
              <w:spacing w:before="80"/>
              <w:jc w:val="both"/>
              <w:rPr>
                <w:rFonts w:cs="Arial"/>
                <w:sz w:val="22"/>
              </w:rPr>
            </w:pPr>
            <w:r w:rsidRPr="00494F7D">
              <w:rPr>
                <w:rFonts w:cs="Arial"/>
                <w:sz w:val="22"/>
                <w:vertAlign w:val="superscript"/>
              </w:rPr>
              <w:t>2</w:t>
            </w:r>
            <w:r w:rsidRPr="00880A41">
              <w:rPr>
                <w:rFonts w:cs="Arial"/>
                <w:sz w:val="22"/>
              </w:rPr>
              <w:t>Salvo diversa disposizione, la condanna nelle spese contro più persone si intende solidalmente fra di loro.</w:t>
            </w:r>
          </w:p>
          <w:p w:rsidR="00F945C8" w:rsidRDefault="00F945C8" w:rsidP="00F945C8">
            <w:pPr>
              <w:autoSpaceDE w:val="0"/>
              <w:autoSpaceDN w:val="0"/>
              <w:adjustRightInd w:val="0"/>
              <w:jc w:val="both"/>
              <w:rPr>
                <w:rFonts w:cs="Arial"/>
                <w:sz w:val="22"/>
              </w:rPr>
            </w:pPr>
          </w:p>
          <w:p w:rsidR="00F945C8" w:rsidRPr="00880A41" w:rsidRDefault="00F945C8" w:rsidP="00F945C8">
            <w:pPr>
              <w:autoSpaceDE w:val="0"/>
              <w:autoSpaceDN w:val="0"/>
              <w:adjustRightInd w:val="0"/>
              <w:jc w:val="both"/>
              <w:rPr>
                <w:rFonts w:cs="Arial"/>
                <w:sz w:val="22"/>
              </w:rPr>
            </w:pPr>
          </w:p>
          <w:p w:rsidR="009B26C9" w:rsidRPr="00880A41" w:rsidRDefault="009B26C9" w:rsidP="00F945C8">
            <w:pPr>
              <w:autoSpaceDE w:val="0"/>
              <w:autoSpaceDN w:val="0"/>
              <w:adjustRightInd w:val="0"/>
              <w:spacing w:before="80"/>
              <w:jc w:val="both"/>
              <w:rPr>
                <w:rFonts w:cs="Arial"/>
                <w:sz w:val="22"/>
              </w:rPr>
            </w:pPr>
            <w:r w:rsidRPr="00494F7D">
              <w:rPr>
                <w:rFonts w:cs="Arial"/>
                <w:sz w:val="22"/>
                <w:vertAlign w:val="superscript"/>
              </w:rPr>
              <w:t>3</w:t>
            </w:r>
            <w:r w:rsidRPr="00880A41">
              <w:rPr>
                <w:rFonts w:cs="Arial"/>
                <w:sz w:val="22"/>
              </w:rPr>
              <w:t>Il giudice delegato stabilisce un congruo termine per il pagamento di un adeguato anticipo a titolo di garanzia per le spese processuali presunte. Se il termine scade infruttuoso, impartisce un termine suppletorio. Se l'anticipo non è versato nemmeno nel termine suppletorio, la Camera non entra nel merito dell'istanza.</w:t>
            </w:r>
          </w:p>
          <w:p w:rsidR="009B26C9" w:rsidRDefault="009B26C9" w:rsidP="00F945C8">
            <w:pPr>
              <w:autoSpaceDE w:val="0"/>
              <w:autoSpaceDN w:val="0"/>
              <w:adjustRightInd w:val="0"/>
              <w:spacing w:before="80"/>
              <w:jc w:val="both"/>
              <w:rPr>
                <w:rFonts w:cs="Arial"/>
                <w:sz w:val="22"/>
              </w:rPr>
            </w:pPr>
            <w:r w:rsidRPr="00494F7D">
              <w:rPr>
                <w:rFonts w:cs="Arial"/>
                <w:sz w:val="22"/>
                <w:vertAlign w:val="superscript"/>
              </w:rPr>
              <w:t>4</w:t>
            </w:r>
            <w:r w:rsidRPr="00880A41">
              <w:rPr>
                <w:rFonts w:cs="Arial"/>
                <w:sz w:val="22"/>
              </w:rPr>
              <w:t>Qualora l'istruzione del procedimento nell'interesse di un privato comporti</w:t>
            </w:r>
            <w:r>
              <w:rPr>
                <w:rFonts w:cs="Arial"/>
                <w:sz w:val="22"/>
              </w:rPr>
              <w:t xml:space="preserve"> </w:t>
            </w:r>
            <w:r w:rsidRPr="00880A41">
              <w:rPr>
                <w:rFonts w:cs="Arial"/>
                <w:sz w:val="22"/>
              </w:rPr>
              <w:t>spese considerevoli, la relativa prova può essere fatta dipendere dalla</w:t>
            </w:r>
            <w:r>
              <w:rPr>
                <w:rFonts w:cs="Arial"/>
                <w:sz w:val="22"/>
              </w:rPr>
              <w:t xml:space="preserve"> </w:t>
            </w:r>
            <w:r w:rsidRPr="00880A41">
              <w:rPr>
                <w:rFonts w:cs="Arial"/>
                <w:sz w:val="22"/>
              </w:rPr>
              <w:t>prestazione di un congruo anticipo.</w:t>
            </w:r>
          </w:p>
          <w:p w:rsidR="009B26C9" w:rsidRDefault="009B26C9" w:rsidP="00F945C8">
            <w:pPr>
              <w:autoSpaceDE w:val="0"/>
              <w:autoSpaceDN w:val="0"/>
              <w:adjustRightInd w:val="0"/>
              <w:spacing w:before="80"/>
              <w:jc w:val="both"/>
              <w:rPr>
                <w:rFonts w:cs="Arial"/>
                <w:sz w:val="22"/>
              </w:rPr>
            </w:pPr>
            <w:r w:rsidRPr="00494F7D">
              <w:rPr>
                <w:rFonts w:cs="Arial"/>
                <w:sz w:val="22"/>
                <w:vertAlign w:val="superscript"/>
              </w:rPr>
              <w:t>5</w:t>
            </w:r>
            <w:r w:rsidRPr="00880A41">
              <w:rPr>
                <w:rFonts w:cs="Arial"/>
                <w:sz w:val="22"/>
              </w:rPr>
              <w:t>Agli enti pubblici e agli organismi incaricati di compiti di diritto pubblico non</w:t>
            </w:r>
            <w:r>
              <w:rPr>
                <w:rFonts w:cs="Arial"/>
                <w:sz w:val="22"/>
              </w:rPr>
              <w:t xml:space="preserve"> </w:t>
            </w:r>
            <w:r w:rsidRPr="00880A41">
              <w:rPr>
                <w:rFonts w:cs="Arial"/>
                <w:sz w:val="22"/>
              </w:rPr>
              <w:t>vengono addossate spese processuali. Rimangono riservate le procedure in</w:t>
            </w:r>
            <w:r>
              <w:rPr>
                <w:rFonts w:cs="Arial"/>
                <w:sz w:val="22"/>
              </w:rPr>
              <w:t xml:space="preserve"> </w:t>
            </w:r>
            <w:r w:rsidRPr="00880A41">
              <w:rPr>
                <w:rFonts w:cs="Arial"/>
                <w:sz w:val="22"/>
              </w:rPr>
              <w:t>cui agiscono a tutela dei loro interessi pecuniari.</w:t>
            </w:r>
          </w:p>
          <w:p w:rsidR="009B26C9" w:rsidRPr="00880A41" w:rsidRDefault="009B26C9" w:rsidP="00F945C8">
            <w:pPr>
              <w:autoSpaceDE w:val="0"/>
              <w:autoSpaceDN w:val="0"/>
              <w:adjustRightInd w:val="0"/>
              <w:spacing w:before="80"/>
              <w:jc w:val="both"/>
              <w:rPr>
                <w:rFonts w:cs="Arial"/>
                <w:sz w:val="22"/>
              </w:rPr>
            </w:pPr>
            <w:r w:rsidRPr="00494F7D">
              <w:rPr>
                <w:rFonts w:cs="Arial"/>
                <w:sz w:val="22"/>
                <w:vertAlign w:val="superscript"/>
              </w:rPr>
              <w:t>6</w:t>
            </w:r>
            <w:r w:rsidRPr="00880A41">
              <w:rPr>
                <w:rFonts w:cs="Arial"/>
                <w:sz w:val="22"/>
              </w:rPr>
              <w:t>Per la liquidazione delle spese è applicabile l'articolo 49a della legge sulla</w:t>
            </w:r>
            <w:r>
              <w:rPr>
                <w:rFonts w:cs="Arial"/>
                <w:sz w:val="22"/>
              </w:rPr>
              <w:t xml:space="preserve"> </w:t>
            </w:r>
            <w:r w:rsidRPr="00880A41">
              <w:rPr>
                <w:rFonts w:cs="Arial"/>
                <w:sz w:val="22"/>
              </w:rPr>
              <w:t>procedura amministrativa del 24 settembre 2013.</w:t>
            </w:r>
          </w:p>
          <w:p w:rsidR="009B26C9" w:rsidRPr="00042FB5" w:rsidRDefault="009B26C9" w:rsidP="00BD0F59">
            <w:pPr>
              <w:autoSpaceDE w:val="0"/>
              <w:autoSpaceDN w:val="0"/>
              <w:adjustRightInd w:val="0"/>
              <w:jc w:val="both"/>
              <w:rPr>
                <w:rFonts w:cs="Arial"/>
                <w:b/>
                <w:bCs/>
                <w:sz w:val="16"/>
                <w:szCs w:val="16"/>
              </w:rPr>
            </w:pPr>
          </w:p>
        </w:tc>
      </w:tr>
      <w:tr w:rsidR="009B26C9" w:rsidTr="00BD0F59">
        <w:tc>
          <w:tcPr>
            <w:tcW w:w="4886" w:type="dxa"/>
          </w:tcPr>
          <w:p w:rsidR="009B26C9" w:rsidRPr="00880A41" w:rsidRDefault="009B26C9" w:rsidP="00BD0F59">
            <w:pPr>
              <w:widowControl w:val="0"/>
              <w:autoSpaceDE w:val="0"/>
              <w:autoSpaceDN w:val="0"/>
              <w:adjustRightInd w:val="0"/>
              <w:jc w:val="both"/>
              <w:rPr>
                <w:rFonts w:cs="Arial"/>
                <w:sz w:val="22"/>
                <w:lang w:val="it-IT"/>
              </w:rPr>
            </w:pPr>
          </w:p>
        </w:tc>
        <w:tc>
          <w:tcPr>
            <w:tcW w:w="4886" w:type="dxa"/>
          </w:tcPr>
          <w:p w:rsidR="009B26C9" w:rsidRPr="00880A41" w:rsidRDefault="009B26C9" w:rsidP="00F945C8">
            <w:pPr>
              <w:autoSpaceDE w:val="0"/>
              <w:autoSpaceDN w:val="0"/>
              <w:adjustRightInd w:val="0"/>
              <w:spacing w:before="60"/>
              <w:jc w:val="both"/>
              <w:rPr>
                <w:rFonts w:cs="Arial"/>
                <w:b/>
                <w:bCs/>
                <w:sz w:val="22"/>
              </w:rPr>
            </w:pPr>
            <w:r w:rsidRPr="00880A41">
              <w:rPr>
                <w:rFonts w:cs="Arial"/>
                <w:b/>
                <w:bCs/>
                <w:sz w:val="22"/>
              </w:rPr>
              <w:t>Art. 231 (nuovo)</w:t>
            </w:r>
          </w:p>
          <w:p w:rsidR="009B26C9" w:rsidRDefault="009B26C9" w:rsidP="00F945C8">
            <w:pPr>
              <w:autoSpaceDE w:val="0"/>
              <w:autoSpaceDN w:val="0"/>
              <w:adjustRightInd w:val="0"/>
              <w:spacing w:before="80"/>
              <w:jc w:val="both"/>
              <w:rPr>
                <w:rFonts w:cs="Arial"/>
                <w:sz w:val="22"/>
              </w:rPr>
            </w:pPr>
            <w:r w:rsidRPr="00494F7D">
              <w:rPr>
                <w:rFonts w:cs="Arial"/>
                <w:sz w:val="22"/>
                <w:vertAlign w:val="superscript"/>
              </w:rPr>
              <w:t>1</w:t>
            </w:r>
            <w:r w:rsidRPr="00880A41">
              <w:rPr>
                <w:rFonts w:cs="Arial"/>
                <w:sz w:val="22"/>
              </w:rPr>
              <w:t>La Camera di diritto tributario condanna la parte soccombente al pagamento</w:t>
            </w:r>
            <w:r>
              <w:rPr>
                <w:rFonts w:cs="Arial"/>
                <w:sz w:val="22"/>
              </w:rPr>
              <w:t xml:space="preserve"> </w:t>
            </w:r>
            <w:r w:rsidRPr="00880A41">
              <w:rPr>
                <w:rFonts w:cs="Arial"/>
                <w:sz w:val="22"/>
              </w:rPr>
              <w:t>di un'indennità alla controparte per le spese necessarie causate dalla</w:t>
            </w:r>
            <w:r>
              <w:rPr>
                <w:rFonts w:cs="Arial"/>
                <w:sz w:val="22"/>
              </w:rPr>
              <w:t xml:space="preserve"> </w:t>
            </w:r>
            <w:r w:rsidRPr="00880A41">
              <w:rPr>
                <w:rFonts w:cs="Arial"/>
                <w:sz w:val="22"/>
              </w:rPr>
              <w:t>controversia. Le parti possono presentare una nota delle loro spese.</w:t>
            </w:r>
          </w:p>
          <w:p w:rsidR="009B26C9" w:rsidRPr="00880A41" w:rsidRDefault="009B26C9" w:rsidP="00F945C8">
            <w:pPr>
              <w:autoSpaceDE w:val="0"/>
              <w:autoSpaceDN w:val="0"/>
              <w:adjustRightInd w:val="0"/>
              <w:spacing w:before="80"/>
              <w:jc w:val="both"/>
              <w:rPr>
                <w:rFonts w:cs="Arial"/>
                <w:sz w:val="22"/>
              </w:rPr>
            </w:pPr>
            <w:r w:rsidRPr="00494F7D">
              <w:rPr>
                <w:rFonts w:cs="Arial"/>
                <w:sz w:val="22"/>
                <w:vertAlign w:val="superscript"/>
              </w:rPr>
              <w:t>2</w:t>
            </w:r>
            <w:r w:rsidRPr="00880A41">
              <w:rPr>
                <w:rFonts w:cs="Arial"/>
                <w:sz w:val="22"/>
              </w:rPr>
              <w:t>Gli enti pubblici e gli organismi incaricati di compiti di diritto pubblico che dispongono di un servizio giuridico non hanno diritto a un'indennità per ripetibili. Rimangono riservate le procedure particolarmente complesse e quelle in cui agiscono a tutela dei loro interessi pecuniari.</w:t>
            </w:r>
          </w:p>
          <w:p w:rsidR="009B26C9" w:rsidRDefault="009B26C9" w:rsidP="00F945C8">
            <w:pPr>
              <w:autoSpaceDE w:val="0"/>
              <w:autoSpaceDN w:val="0"/>
              <w:adjustRightInd w:val="0"/>
              <w:spacing w:before="80"/>
              <w:jc w:val="both"/>
              <w:rPr>
                <w:rFonts w:cs="Arial"/>
                <w:sz w:val="22"/>
              </w:rPr>
            </w:pPr>
            <w:r w:rsidRPr="00494F7D">
              <w:rPr>
                <w:rFonts w:cs="Arial"/>
                <w:sz w:val="22"/>
                <w:vertAlign w:val="superscript"/>
              </w:rPr>
              <w:t>3</w:t>
            </w:r>
            <w:r w:rsidRPr="00880A41">
              <w:rPr>
                <w:rFonts w:cs="Arial"/>
                <w:sz w:val="22"/>
              </w:rPr>
              <w:t>L'articolo 231 capoverso 2 si applica per analogia.</w:t>
            </w:r>
          </w:p>
          <w:p w:rsidR="00042FB5" w:rsidRPr="00F945C8" w:rsidRDefault="00042FB5" w:rsidP="0062179D">
            <w:pPr>
              <w:autoSpaceDE w:val="0"/>
              <w:autoSpaceDN w:val="0"/>
              <w:adjustRightInd w:val="0"/>
              <w:jc w:val="both"/>
              <w:rPr>
                <w:rFonts w:cs="Arial"/>
                <w:b/>
                <w:bCs/>
                <w:sz w:val="12"/>
                <w:szCs w:val="12"/>
              </w:rPr>
            </w:pPr>
          </w:p>
        </w:tc>
      </w:tr>
    </w:tbl>
    <w:p w:rsidR="009B26C9" w:rsidRPr="003727CB" w:rsidRDefault="009B26C9" w:rsidP="009B26C9">
      <w:pPr>
        <w:tabs>
          <w:tab w:val="left" w:pos="426"/>
        </w:tabs>
        <w:spacing w:after="160"/>
        <w:ind w:left="426" w:right="-1" w:hanging="426"/>
        <w:rPr>
          <w:rFonts w:eastAsia="MS Mincho" w:cs="Arial"/>
          <w:b/>
          <w:caps/>
        </w:rPr>
      </w:pPr>
      <w:bookmarkStart w:id="1" w:name="_Toc469954782"/>
      <w:r w:rsidRPr="003727CB">
        <w:rPr>
          <w:rFonts w:eastAsia="MS Mincho" w:cs="Arial"/>
          <w:b/>
          <w:caps/>
        </w:rPr>
        <w:lastRenderedPageBreak/>
        <w:t>I</w:t>
      </w:r>
      <w:r>
        <w:rPr>
          <w:rFonts w:eastAsia="MS Mincho" w:cs="Arial"/>
          <w:b/>
          <w:caps/>
        </w:rPr>
        <w:t>i</w:t>
      </w:r>
      <w:r w:rsidRPr="003727CB">
        <w:rPr>
          <w:rFonts w:eastAsia="MS Mincho" w:cs="Arial"/>
          <w:b/>
          <w:caps/>
        </w:rPr>
        <w:t>.</w:t>
      </w:r>
      <w:r w:rsidRPr="003727CB">
        <w:rPr>
          <w:rFonts w:eastAsia="MS Mincho" w:cs="Arial"/>
          <w:b/>
          <w:caps/>
        </w:rPr>
        <w:tab/>
      </w:r>
      <w:bookmarkEnd w:id="1"/>
      <w:r w:rsidRPr="003727CB">
        <w:rPr>
          <w:rFonts w:eastAsia="MS Mincho" w:cs="Arial"/>
          <w:b/>
          <w:caps/>
        </w:rPr>
        <w:t xml:space="preserve">Il </w:t>
      </w:r>
      <w:r w:rsidRPr="003727CB">
        <w:rPr>
          <w:rFonts w:cs="Arial"/>
          <w:b/>
          <w:caps/>
          <w:lang w:val="it-IT"/>
        </w:rPr>
        <w:t>MEssaggio</w:t>
      </w:r>
      <w:r w:rsidRPr="003727CB">
        <w:rPr>
          <w:rFonts w:eastAsia="MS Mincho" w:cs="Arial"/>
          <w:b/>
          <w:caps/>
        </w:rPr>
        <w:t xml:space="preserve"> DEl CONSIGLIO DI STATO</w:t>
      </w:r>
    </w:p>
    <w:p w:rsidR="009B26C9" w:rsidRDefault="009B26C9" w:rsidP="009B26C9">
      <w:pPr>
        <w:widowControl w:val="0"/>
        <w:autoSpaceDE w:val="0"/>
        <w:autoSpaceDN w:val="0"/>
        <w:adjustRightInd w:val="0"/>
        <w:rPr>
          <w:rFonts w:cs="Arial"/>
          <w:lang w:val="it-IT"/>
        </w:rPr>
      </w:pPr>
      <w:r>
        <w:rPr>
          <w:rFonts w:cs="Arial"/>
          <w:lang w:val="it-IT"/>
        </w:rPr>
        <w:t xml:space="preserve">Nel suo Messaggio del 13 dicembre 2017 n. 7468 il Consiglio di Stato chiede al Gran Consiglio di respingere le modifiche di legge proposte dall'iniziativa, rilevando che l'attuale quadro legislativo poggia su </w:t>
      </w:r>
      <w:r>
        <w:rPr>
          <w:rFonts w:cs="Arial"/>
          <w:i/>
          <w:lang w:val="it-IT"/>
        </w:rPr>
        <w:t>«</w:t>
      </w:r>
      <w:r w:rsidRPr="006E7881">
        <w:rPr>
          <w:rFonts w:cs="Arial"/>
          <w:i/>
          <w:lang w:val="it-IT"/>
        </w:rPr>
        <w:t>motivazioni attentamente ponderate</w:t>
      </w:r>
      <w:r>
        <w:rPr>
          <w:rFonts w:cs="Arial"/>
          <w:i/>
          <w:lang w:val="it-IT"/>
        </w:rPr>
        <w:t>»</w:t>
      </w:r>
      <w:r>
        <w:rPr>
          <w:rFonts w:cs="Arial"/>
          <w:lang w:val="it-IT"/>
        </w:rPr>
        <w:t>.</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In estrema sintesi, con riferimento alle singole modifiche di legge proposte, il Consiglio di Stato osserva quanto segue.</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spacing w:after="120"/>
        <w:ind w:left="425" w:hanging="425"/>
        <w:rPr>
          <w:rFonts w:cs="Arial"/>
          <w:b/>
          <w:lang w:val="it-IT"/>
        </w:rPr>
      </w:pPr>
      <w:r w:rsidRPr="006E7881">
        <w:rPr>
          <w:rFonts w:cs="Arial"/>
          <w:b/>
          <w:lang w:val="it-IT"/>
        </w:rPr>
        <w:t>1.</w:t>
      </w:r>
      <w:r w:rsidRPr="006E7881">
        <w:rPr>
          <w:rFonts w:cs="Arial"/>
          <w:b/>
          <w:lang w:val="it-IT"/>
        </w:rPr>
        <w:tab/>
        <w:t>Legge sull</w:t>
      </w:r>
      <w:r>
        <w:rPr>
          <w:rFonts w:cs="Arial"/>
          <w:b/>
          <w:lang w:val="it-IT"/>
        </w:rPr>
        <w:t>'</w:t>
      </w:r>
      <w:r w:rsidRPr="006E7881">
        <w:rPr>
          <w:rFonts w:cs="Arial"/>
          <w:b/>
          <w:lang w:val="it-IT"/>
        </w:rPr>
        <w:t>organizzazione e la procedura in materia di protezione del minore e</w:t>
      </w:r>
      <w:r>
        <w:rPr>
          <w:rFonts w:cs="Arial"/>
          <w:b/>
          <w:lang w:val="it-IT"/>
        </w:rPr>
        <w:t xml:space="preserve"> </w:t>
      </w:r>
      <w:r w:rsidRPr="006E7881">
        <w:rPr>
          <w:rFonts w:cs="Arial"/>
          <w:b/>
          <w:lang w:val="it-IT"/>
        </w:rPr>
        <w:t>dell</w:t>
      </w:r>
      <w:r>
        <w:rPr>
          <w:rFonts w:cs="Arial"/>
          <w:b/>
          <w:lang w:val="it-IT"/>
        </w:rPr>
        <w:t>'</w:t>
      </w:r>
      <w:r w:rsidRPr="006E7881">
        <w:rPr>
          <w:rFonts w:cs="Arial"/>
          <w:b/>
          <w:lang w:val="it-IT"/>
        </w:rPr>
        <w:t>adulto (LPMA) dell</w:t>
      </w:r>
      <w:r>
        <w:rPr>
          <w:rFonts w:cs="Arial"/>
          <w:b/>
          <w:lang w:val="it-IT"/>
        </w:rPr>
        <w:t>'</w:t>
      </w:r>
      <w:r w:rsidRPr="006E7881">
        <w:rPr>
          <w:rFonts w:cs="Arial"/>
          <w:b/>
          <w:lang w:val="it-IT"/>
        </w:rPr>
        <w:t>8 marzo 1999 (RL 4.1.2.2)</w:t>
      </w:r>
    </w:p>
    <w:p w:rsidR="009B26C9" w:rsidRDefault="009B26C9" w:rsidP="009B26C9">
      <w:pPr>
        <w:widowControl w:val="0"/>
        <w:autoSpaceDE w:val="0"/>
        <w:autoSpaceDN w:val="0"/>
        <w:adjustRightInd w:val="0"/>
        <w:rPr>
          <w:rFonts w:cs="Arial"/>
          <w:lang w:val="it-IT"/>
        </w:rPr>
      </w:pPr>
      <w:r>
        <w:rPr>
          <w:rFonts w:cs="Arial"/>
          <w:lang w:val="it-IT"/>
        </w:rPr>
        <w:t xml:space="preserve">Il Consiglio di Stato rileva che l'autorità di reclamo in materia di protezione del minore e dell'adulto – ovvero la Camera di protezione del Tribunale di appello (art. 2 cpv. 2 LPMA) – ha già la possibilità di chiedere anticipi in virtù dell'art. 47 cpv. 2 </w:t>
      </w:r>
      <w:proofErr w:type="spellStart"/>
      <w:r>
        <w:rPr>
          <w:rFonts w:cs="Arial"/>
          <w:lang w:val="it-IT"/>
        </w:rPr>
        <w:t>LPAmm</w:t>
      </w:r>
      <w:proofErr w:type="spellEnd"/>
      <w:r>
        <w:rPr>
          <w:rFonts w:cs="Arial"/>
          <w:lang w:val="it-IT"/>
        </w:rPr>
        <w:t xml:space="preserve">, applicabile in virtù </w:t>
      </w:r>
      <w:r w:rsidRPr="00E52788">
        <w:rPr>
          <w:rFonts w:cs="Arial"/>
          <w:lang w:val="it-IT"/>
        </w:rPr>
        <w:t>del rinvio dell</w:t>
      </w:r>
      <w:r>
        <w:rPr>
          <w:rFonts w:cs="Arial"/>
          <w:lang w:val="it-IT"/>
        </w:rPr>
        <w:t>'</w:t>
      </w:r>
      <w:r w:rsidRPr="00E52788">
        <w:rPr>
          <w:rFonts w:cs="Arial"/>
          <w:lang w:val="it-IT"/>
        </w:rPr>
        <w:t xml:space="preserve">art. 99 cpv. 4 </w:t>
      </w:r>
      <w:proofErr w:type="spellStart"/>
      <w:r w:rsidRPr="00E52788">
        <w:rPr>
          <w:rFonts w:cs="Arial"/>
          <w:lang w:val="it-IT"/>
        </w:rPr>
        <w:t>LPAmm</w:t>
      </w:r>
      <w:proofErr w:type="spellEnd"/>
      <w:r w:rsidRPr="00E52788">
        <w:rPr>
          <w:rFonts w:cs="Arial"/>
          <w:lang w:val="it-IT"/>
        </w:rPr>
        <w:t>.</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La modifica di legge proposta, ancorché legittima, è quindi superflua.</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9B26C9" w:rsidRPr="00E20450" w:rsidRDefault="009B26C9" w:rsidP="009B26C9">
      <w:pPr>
        <w:widowControl w:val="0"/>
        <w:autoSpaceDE w:val="0"/>
        <w:autoSpaceDN w:val="0"/>
        <w:adjustRightInd w:val="0"/>
        <w:spacing w:after="120"/>
        <w:ind w:left="425" w:hanging="425"/>
        <w:rPr>
          <w:rFonts w:cs="Arial"/>
          <w:b/>
          <w:lang w:val="it-IT"/>
        </w:rPr>
      </w:pPr>
      <w:r w:rsidRPr="00E20450">
        <w:rPr>
          <w:rFonts w:cs="Arial"/>
          <w:b/>
          <w:lang w:val="it-IT"/>
        </w:rPr>
        <w:t>2.</w:t>
      </w:r>
      <w:r w:rsidRPr="00E20450">
        <w:rPr>
          <w:rFonts w:cs="Arial"/>
          <w:b/>
          <w:lang w:val="it-IT"/>
        </w:rPr>
        <w:tab/>
        <w:t>Legge sull</w:t>
      </w:r>
      <w:r>
        <w:rPr>
          <w:rFonts w:cs="Arial"/>
          <w:b/>
          <w:lang w:val="it-IT"/>
        </w:rPr>
        <w:t>'</w:t>
      </w:r>
      <w:r w:rsidRPr="00E20450">
        <w:rPr>
          <w:rFonts w:cs="Arial"/>
          <w:b/>
          <w:lang w:val="it-IT"/>
        </w:rPr>
        <w:t>esecuzione delle pene e delle misure per gli adulti del 20 aprile 2010</w:t>
      </w:r>
      <w:r>
        <w:rPr>
          <w:rFonts w:cs="Arial"/>
          <w:b/>
          <w:lang w:val="it-IT"/>
        </w:rPr>
        <w:t xml:space="preserve"> </w:t>
      </w:r>
      <w:r w:rsidRPr="00E20450">
        <w:rPr>
          <w:rFonts w:cs="Arial"/>
          <w:b/>
          <w:lang w:val="it-IT"/>
        </w:rPr>
        <w:t>(RL 4.2.1.1)</w:t>
      </w:r>
    </w:p>
    <w:p w:rsidR="009B26C9" w:rsidRDefault="009B26C9" w:rsidP="009B26C9">
      <w:pPr>
        <w:widowControl w:val="0"/>
        <w:autoSpaceDE w:val="0"/>
        <w:autoSpaceDN w:val="0"/>
        <w:adjustRightInd w:val="0"/>
        <w:rPr>
          <w:rFonts w:cs="Arial"/>
          <w:lang w:val="it-IT"/>
        </w:rPr>
      </w:pPr>
      <w:r>
        <w:rPr>
          <w:rFonts w:cs="Arial"/>
          <w:lang w:val="it-IT"/>
        </w:rPr>
        <w:t xml:space="preserve">Il Consiglio di Stato, riportando il preavviso della </w:t>
      </w:r>
      <w:r w:rsidRPr="00E52788">
        <w:rPr>
          <w:rFonts w:cs="Arial"/>
          <w:lang w:val="it-IT"/>
        </w:rPr>
        <w:t>Camera dei ricorsi penali (CRP),</w:t>
      </w:r>
      <w:r>
        <w:rPr>
          <w:rFonts w:cs="Arial"/>
          <w:lang w:val="it-IT"/>
        </w:rPr>
        <w:t xml:space="preserve"> rileva come il tema dei costi sia regolato in modo esaustivo dal CPP, per cui il margine di manovra per il Cantone sarebbe</w:t>
      </w:r>
      <w:r w:rsidRPr="00E20450">
        <w:rPr>
          <w:rFonts w:cs="Arial"/>
          <w:i/>
          <w:lang w:val="it-IT"/>
        </w:rPr>
        <w:t xml:space="preserve"> </w:t>
      </w:r>
      <w:r>
        <w:rPr>
          <w:rFonts w:cs="Arial"/>
          <w:i/>
          <w:lang w:val="it-IT"/>
        </w:rPr>
        <w:t>«</w:t>
      </w:r>
      <w:r w:rsidRPr="00E20450">
        <w:rPr>
          <w:rFonts w:cs="Arial"/>
          <w:i/>
          <w:lang w:val="it-IT"/>
        </w:rPr>
        <w:t>talmente esiguo da non giustificare l</w:t>
      </w:r>
      <w:r>
        <w:rPr>
          <w:rFonts w:cs="Arial"/>
          <w:i/>
          <w:lang w:val="it-IT"/>
        </w:rPr>
        <w:t>'</w:t>
      </w:r>
      <w:r w:rsidRPr="00E20450">
        <w:rPr>
          <w:rFonts w:cs="Arial"/>
          <w:i/>
          <w:lang w:val="it-IT"/>
        </w:rPr>
        <w:t>introduzione in modo sistematico della richiesta di anticipo</w:t>
      </w:r>
      <w:r>
        <w:rPr>
          <w:rFonts w:cs="Arial"/>
          <w:i/>
          <w:lang w:val="it-IT"/>
        </w:rPr>
        <w:t>»</w:t>
      </w:r>
      <w:r>
        <w:rPr>
          <w:rFonts w:cs="Arial"/>
          <w:lang w:val="it-IT"/>
        </w:rPr>
        <w:t>, tenuto anche conto del fatto che è in gioco un bene essenziale come la libertà e si è spesso in presenza di soggetti con ridotte capacità economiche, di modo che la richiesta di anticipo potrebbe precludere l'accesso alla giustizia.</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Il Consiglio di Stato ritiene quindi che la modifica di legge proposta non poggi su sufficienti motivazioni.</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9B26C9" w:rsidRPr="00E20450" w:rsidRDefault="009B26C9" w:rsidP="009B26C9">
      <w:pPr>
        <w:widowControl w:val="0"/>
        <w:autoSpaceDE w:val="0"/>
        <w:autoSpaceDN w:val="0"/>
        <w:adjustRightInd w:val="0"/>
        <w:spacing w:after="120"/>
        <w:ind w:left="425" w:hanging="425"/>
        <w:rPr>
          <w:rFonts w:cs="Arial"/>
          <w:b/>
          <w:lang w:val="it-IT"/>
        </w:rPr>
      </w:pPr>
      <w:r w:rsidRPr="00E20450">
        <w:rPr>
          <w:rFonts w:cs="Arial"/>
          <w:b/>
          <w:lang w:val="it-IT"/>
        </w:rPr>
        <w:t>3.</w:t>
      </w:r>
      <w:r w:rsidRPr="00E20450">
        <w:rPr>
          <w:rFonts w:cs="Arial"/>
          <w:b/>
          <w:lang w:val="it-IT"/>
        </w:rPr>
        <w:tab/>
        <w:t>Legge di procedura per le cause davanti al Tribunale cantonale delle</w:t>
      </w:r>
      <w:r>
        <w:rPr>
          <w:rFonts w:cs="Arial"/>
          <w:b/>
          <w:lang w:val="it-IT"/>
        </w:rPr>
        <w:t xml:space="preserve"> </w:t>
      </w:r>
      <w:r w:rsidRPr="00E20450">
        <w:rPr>
          <w:rFonts w:cs="Arial"/>
          <w:b/>
          <w:lang w:val="it-IT"/>
        </w:rPr>
        <w:t>assicurazioni (</w:t>
      </w:r>
      <w:proofErr w:type="spellStart"/>
      <w:r w:rsidRPr="00E20450">
        <w:rPr>
          <w:rFonts w:cs="Arial"/>
          <w:b/>
          <w:lang w:val="it-IT"/>
        </w:rPr>
        <w:t>Lpcta</w:t>
      </w:r>
      <w:proofErr w:type="spellEnd"/>
      <w:r w:rsidRPr="00E20450">
        <w:rPr>
          <w:rFonts w:cs="Arial"/>
          <w:b/>
          <w:lang w:val="it-IT"/>
        </w:rPr>
        <w:t>) del 23 giugno 2008 (RL 3.4.1.1)</w:t>
      </w:r>
    </w:p>
    <w:p w:rsidR="009B26C9" w:rsidRDefault="009B26C9" w:rsidP="009B26C9">
      <w:pPr>
        <w:widowControl w:val="0"/>
        <w:autoSpaceDE w:val="0"/>
        <w:autoSpaceDN w:val="0"/>
        <w:adjustRightInd w:val="0"/>
        <w:rPr>
          <w:rFonts w:cs="Arial"/>
          <w:lang w:val="it-IT"/>
        </w:rPr>
      </w:pPr>
      <w:r>
        <w:rPr>
          <w:rFonts w:cs="Arial"/>
          <w:lang w:val="it-IT"/>
        </w:rPr>
        <w:t xml:space="preserve">Il Consiglio di Stato rileva che i ricorsi in ambito AI non sono soggetti a richieste di anticipo per una precisa indicazione del Tribunale cantonale delle assicurazioni, alla luce del fatto che, vista la capacità economica delle persone generalmente toccate da queste procedure, </w:t>
      </w:r>
      <w:r>
        <w:rPr>
          <w:rFonts w:cs="Arial"/>
          <w:i/>
          <w:lang w:val="it-IT"/>
        </w:rPr>
        <w:t>«</w:t>
      </w:r>
      <w:r w:rsidRPr="0080563F">
        <w:rPr>
          <w:rFonts w:cs="Arial"/>
          <w:i/>
          <w:lang w:val="it-IT"/>
        </w:rPr>
        <w:t>verrebbe verosimilmente spesso richiesta l</w:t>
      </w:r>
      <w:r>
        <w:rPr>
          <w:rFonts w:cs="Arial"/>
          <w:i/>
          <w:lang w:val="it-IT"/>
        </w:rPr>
        <w:t>'</w:t>
      </w:r>
      <w:r w:rsidRPr="0080563F">
        <w:rPr>
          <w:rFonts w:cs="Arial"/>
          <w:i/>
          <w:lang w:val="it-IT"/>
        </w:rPr>
        <w:t>assistenza giudiziaria, con conseguente inutile aggravio dell</w:t>
      </w:r>
      <w:r>
        <w:rPr>
          <w:rFonts w:cs="Arial"/>
          <w:i/>
          <w:lang w:val="it-IT"/>
        </w:rPr>
        <w:t>'</w:t>
      </w:r>
      <w:r w:rsidRPr="0080563F">
        <w:rPr>
          <w:rFonts w:cs="Arial"/>
          <w:i/>
          <w:lang w:val="it-IT"/>
        </w:rPr>
        <w:t>attività del Tribunale</w:t>
      </w:r>
      <w:r>
        <w:rPr>
          <w:rFonts w:cs="Arial"/>
          <w:i/>
          <w:lang w:val="it-IT"/>
        </w:rPr>
        <w:t xml:space="preserve"> </w:t>
      </w:r>
      <w:r w:rsidRPr="0080563F">
        <w:rPr>
          <w:rFonts w:cs="Arial"/>
          <w:i/>
          <w:lang w:val="it-IT"/>
        </w:rPr>
        <w:t xml:space="preserve"> chiamato a evadere queste domande</w:t>
      </w:r>
      <w:r>
        <w:rPr>
          <w:rFonts w:cs="Arial"/>
          <w:i/>
          <w:lang w:val="it-IT"/>
        </w:rPr>
        <w:t>»</w:t>
      </w:r>
      <w:r>
        <w:rPr>
          <w:rFonts w:cs="Arial"/>
          <w:lang w:val="it-IT"/>
        </w:rPr>
        <w:t>, ritenuto come sia più efficiente che l</w:t>
      </w:r>
      <w:r w:rsidRPr="00E52788">
        <w:rPr>
          <w:rFonts w:cs="Arial"/>
          <w:lang w:val="it-IT"/>
        </w:rPr>
        <w:t xml:space="preserve">e richieste di assistenza giudiziaria </w:t>
      </w:r>
      <w:r>
        <w:rPr>
          <w:rFonts w:cs="Arial"/>
          <w:lang w:val="it-IT"/>
        </w:rPr>
        <w:t>sia</w:t>
      </w:r>
      <w:r w:rsidRPr="00E52788">
        <w:rPr>
          <w:rFonts w:cs="Arial"/>
          <w:lang w:val="it-IT"/>
        </w:rPr>
        <w:t xml:space="preserve">no </w:t>
      </w:r>
      <w:r>
        <w:rPr>
          <w:rFonts w:cs="Arial"/>
          <w:lang w:val="it-IT"/>
        </w:rPr>
        <w:t xml:space="preserve">decise dal Tribunale con il </w:t>
      </w:r>
      <w:r w:rsidRPr="00E52788">
        <w:rPr>
          <w:rFonts w:cs="Arial"/>
          <w:lang w:val="it-IT"/>
        </w:rPr>
        <w:t>merito della vertenza</w:t>
      </w:r>
      <w:r>
        <w:rPr>
          <w:rFonts w:cs="Arial"/>
          <w:lang w:val="it-IT"/>
        </w:rPr>
        <w:t xml:space="preserve"> e non tramite procedure incidentali</w:t>
      </w:r>
      <w:r w:rsidRPr="00E52788">
        <w:rPr>
          <w:rFonts w:cs="Arial"/>
          <w:lang w:val="it-IT"/>
        </w:rPr>
        <w:t>.</w:t>
      </w:r>
    </w:p>
    <w:p w:rsidR="009B26C9" w:rsidRDefault="009B26C9" w:rsidP="009B26C9">
      <w:pPr>
        <w:widowControl w:val="0"/>
        <w:autoSpaceDE w:val="0"/>
        <w:autoSpaceDN w:val="0"/>
        <w:adjustRightInd w:val="0"/>
        <w:rPr>
          <w:rFonts w:cs="Arial"/>
          <w:lang w:val="it-IT"/>
        </w:rPr>
      </w:pPr>
    </w:p>
    <w:p w:rsidR="009B26C9" w:rsidRPr="00E52788" w:rsidRDefault="009B26C9" w:rsidP="009B26C9">
      <w:pPr>
        <w:widowControl w:val="0"/>
        <w:autoSpaceDE w:val="0"/>
        <w:autoSpaceDN w:val="0"/>
        <w:adjustRightInd w:val="0"/>
        <w:rPr>
          <w:rFonts w:cs="Arial"/>
          <w:lang w:val="it-IT"/>
        </w:rPr>
      </w:pPr>
      <w:r>
        <w:rPr>
          <w:rFonts w:cs="Arial"/>
          <w:lang w:val="it-IT"/>
        </w:rPr>
        <w:t xml:space="preserve">Il Consiglio di Stato rileva inoltre che </w:t>
      </w:r>
      <w:r>
        <w:rPr>
          <w:rFonts w:cs="Arial"/>
          <w:i/>
          <w:lang w:val="it-IT"/>
        </w:rPr>
        <w:t>«</w:t>
      </w:r>
      <w:r w:rsidRPr="000E4563">
        <w:rPr>
          <w:rFonts w:cs="Arial"/>
          <w:i/>
          <w:lang w:val="it-IT"/>
        </w:rPr>
        <w:t>il proposto nuovo cpv. 4 da inserire all</w:t>
      </w:r>
      <w:r>
        <w:rPr>
          <w:rFonts w:cs="Arial"/>
          <w:i/>
          <w:lang w:val="it-IT"/>
        </w:rPr>
        <w:t>'</w:t>
      </w:r>
      <w:r w:rsidRPr="000E4563">
        <w:rPr>
          <w:rFonts w:cs="Arial"/>
          <w:i/>
          <w:lang w:val="it-IT"/>
        </w:rPr>
        <w:t xml:space="preserve">art. 30 </w:t>
      </w:r>
      <w:proofErr w:type="spellStart"/>
      <w:r w:rsidRPr="000E4563">
        <w:rPr>
          <w:rFonts w:cs="Arial"/>
          <w:i/>
          <w:lang w:val="it-IT"/>
        </w:rPr>
        <w:t>Lptca</w:t>
      </w:r>
      <w:proofErr w:type="spellEnd"/>
      <w:r w:rsidRPr="000E4563">
        <w:rPr>
          <w:rFonts w:cs="Arial"/>
          <w:i/>
          <w:lang w:val="it-IT"/>
        </w:rPr>
        <w:t xml:space="preserve"> tratta un tema diverso da quello relativo all</w:t>
      </w:r>
      <w:r>
        <w:rPr>
          <w:rFonts w:cs="Arial"/>
          <w:i/>
          <w:lang w:val="it-IT"/>
        </w:rPr>
        <w:t>'</w:t>
      </w:r>
      <w:r w:rsidRPr="000E4563">
        <w:rPr>
          <w:rFonts w:cs="Arial"/>
          <w:i/>
          <w:lang w:val="it-IT"/>
        </w:rPr>
        <w:t>anticipo spese</w:t>
      </w:r>
      <w:r>
        <w:rPr>
          <w:rFonts w:cs="Arial"/>
          <w:i/>
          <w:lang w:val="it-IT"/>
        </w:rPr>
        <w:t>»</w:t>
      </w:r>
      <w:r w:rsidRPr="00E52788">
        <w:rPr>
          <w:rFonts w:cs="Arial"/>
          <w:lang w:val="it-IT"/>
        </w:rPr>
        <w:t>.</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spacing w:after="120"/>
        <w:ind w:left="425" w:hanging="425"/>
        <w:rPr>
          <w:rFonts w:cs="Arial"/>
          <w:b/>
          <w:lang w:val="it-IT"/>
        </w:rPr>
      </w:pPr>
      <w:r w:rsidRPr="000E4563">
        <w:rPr>
          <w:rFonts w:cs="Arial"/>
          <w:b/>
          <w:lang w:val="it-IT"/>
        </w:rPr>
        <w:t>4.</w:t>
      </w:r>
      <w:r w:rsidRPr="000E4563">
        <w:rPr>
          <w:rFonts w:cs="Arial"/>
          <w:b/>
          <w:lang w:val="it-IT"/>
        </w:rPr>
        <w:tab/>
        <w:t>Legge tributaria (LT) del 21 giugno 1994 (RL 10.2.1.1)</w:t>
      </w:r>
    </w:p>
    <w:p w:rsidR="009B26C9" w:rsidRDefault="009B26C9" w:rsidP="009B26C9">
      <w:pPr>
        <w:widowControl w:val="0"/>
        <w:autoSpaceDE w:val="0"/>
        <w:autoSpaceDN w:val="0"/>
        <w:adjustRightInd w:val="0"/>
        <w:rPr>
          <w:rFonts w:cs="Arial"/>
          <w:lang w:val="it-IT"/>
        </w:rPr>
      </w:pPr>
      <w:r w:rsidRPr="000E4563">
        <w:rPr>
          <w:rFonts w:cs="Arial"/>
          <w:lang w:val="it-IT"/>
        </w:rPr>
        <w:t xml:space="preserve">Il Consiglio di Stato rileva innanzitutto </w:t>
      </w:r>
      <w:r>
        <w:rPr>
          <w:rFonts w:cs="Arial"/>
          <w:lang w:val="it-IT"/>
        </w:rPr>
        <w:t>come già oggi la Camera di diritto tributario possa chiedere anticipi a ricorrenti non dimoranti</w:t>
      </w:r>
      <w:r w:rsidRPr="001E70B4">
        <w:rPr>
          <w:rFonts w:cs="Arial"/>
          <w:lang w:val="it-IT"/>
        </w:rPr>
        <w:t xml:space="preserve"> in Ticino o in mora con il pagamento di pubblici </w:t>
      </w:r>
      <w:r w:rsidRPr="001E70B4">
        <w:rPr>
          <w:rFonts w:cs="Arial"/>
          <w:lang w:val="it-IT"/>
        </w:rPr>
        <w:lastRenderedPageBreak/>
        <w:t>tributi cantonali</w:t>
      </w:r>
      <w:r>
        <w:rPr>
          <w:rFonts w:cs="Arial"/>
          <w:lang w:val="it-IT"/>
        </w:rPr>
        <w:t xml:space="preserve"> (art. 231 cpv. 1 LT).</w:t>
      </w:r>
    </w:p>
    <w:p w:rsidR="009B26C9" w:rsidRDefault="009B26C9" w:rsidP="009B26C9">
      <w:pPr>
        <w:widowControl w:val="0"/>
        <w:autoSpaceDE w:val="0"/>
        <w:autoSpaceDN w:val="0"/>
        <w:adjustRightInd w:val="0"/>
        <w:rPr>
          <w:rFonts w:cs="Arial"/>
          <w:lang w:val="it-IT"/>
        </w:rPr>
      </w:pPr>
      <w:r>
        <w:rPr>
          <w:rFonts w:cs="Arial"/>
          <w:lang w:val="it-IT"/>
        </w:rPr>
        <w:t>Il Consiglio di Stato rammenta pure che nel</w:t>
      </w:r>
      <w:r w:rsidRPr="001E70B4">
        <w:rPr>
          <w:rFonts w:cs="Arial"/>
          <w:lang w:val="it-IT"/>
        </w:rPr>
        <w:t xml:space="preserve"> suo messaggio n. 4798 del 7 ottobre 1998 aveva proposto</w:t>
      </w:r>
      <w:r>
        <w:rPr>
          <w:rFonts w:cs="Arial"/>
          <w:lang w:val="it-IT"/>
        </w:rPr>
        <w:t xml:space="preserve"> </w:t>
      </w:r>
      <w:r w:rsidRPr="001E70B4">
        <w:rPr>
          <w:rFonts w:cs="Arial"/>
          <w:lang w:val="it-IT"/>
        </w:rPr>
        <w:t>l</w:t>
      </w:r>
      <w:r>
        <w:rPr>
          <w:rFonts w:cs="Arial"/>
          <w:lang w:val="it-IT"/>
        </w:rPr>
        <w:t>'</w:t>
      </w:r>
      <w:r w:rsidRPr="001E70B4">
        <w:rPr>
          <w:rFonts w:cs="Arial"/>
          <w:lang w:val="it-IT"/>
        </w:rPr>
        <w:t xml:space="preserve">adozione di una base legale per permettere alle Autorità di ricorso </w:t>
      </w:r>
      <w:r>
        <w:rPr>
          <w:rFonts w:cs="Arial"/>
          <w:lang w:val="it-IT"/>
        </w:rPr>
        <w:t>di chiedere un anticipo.</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 xml:space="preserve">Il Gran Consiglio, in quell'occasione, sulla base di un rapporto della Commissione della legislazione, aveva optato per la soluzione di consentire la richiesta di anticipo solo ai ricorrenti non dimoranti in Ticino o morosi, ritenuto che </w:t>
      </w:r>
      <w:r w:rsidRPr="00494F7D">
        <w:rPr>
          <w:rFonts w:cs="Arial"/>
          <w:i/>
          <w:lang w:val="it-IT"/>
        </w:rPr>
        <w:t>«il principio dell'accessibilità della giustizia merita di essere difeso, soprattutto quando si tratta di giustizia amministrativa, quindi volta a verificare l'azione dello Stato nei confronti del cittadino»</w:t>
      </w:r>
      <w:r>
        <w:rPr>
          <w:rFonts w:cs="Arial"/>
          <w:lang w:val="it-IT"/>
        </w:rPr>
        <w:t xml:space="preserve">, ritenuto anche che quella proposta presupponeva </w:t>
      </w:r>
      <w:r w:rsidRPr="00494F7D">
        <w:rPr>
          <w:rFonts w:cs="Arial"/>
          <w:i/>
          <w:lang w:val="it-IT"/>
        </w:rPr>
        <w:t>«una sorta di presunzione di morosità del cittadino nei confronti dello Stato che, nella stragrande maggioranza delle vertenze, non si verifica»</w:t>
      </w:r>
      <w:r>
        <w:rPr>
          <w:rFonts w:cs="Arial"/>
          <w:lang w:val="it-IT"/>
        </w:rPr>
        <w:t xml:space="preserve"> (</w:t>
      </w:r>
      <w:r w:rsidRPr="001E70B4">
        <w:rPr>
          <w:rFonts w:cs="Arial"/>
          <w:lang w:val="it-IT"/>
        </w:rPr>
        <w:t>Rapporto di maggioranza sul messaggio</w:t>
      </w:r>
      <w:r>
        <w:rPr>
          <w:rFonts w:cs="Arial"/>
          <w:lang w:val="it-IT"/>
        </w:rPr>
        <w:t xml:space="preserve"> </w:t>
      </w:r>
      <w:r w:rsidRPr="001E70B4">
        <w:rPr>
          <w:rFonts w:cs="Arial"/>
          <w:lang w:val="it-IT"/>
        </w:rPr>
        <w:t>n. 4798 del 15 ottobre 1999, pag. 1).</w:t>
      </w:r>
    </w:p>
    <w:p w:rsidR="009B26C9" w:rsidRDefault="009B26C9" w:rsidP="009B26C9">
      <w:pPr>
        <w:widowControl w:val="0"/>
        <w:autoSpaceDE w:val="0"/>
        <w:autoSpaceDN w:val="0"/>
        <w:adjustRightInd w:val="0"/>
        <w:rPr>
          <w:rFonts w:cs="Arial"/>
          <w:lang w:val="it-IT"/>
        </w:rPr>
      </w:pPr>
    </w:p>
    <w:p w:rsidR="009B26C9" w:rsidRDefault="009B26C9" w:rsidP="009B26C9">
      <w:pPr>
        <w:widowControl w:val="0"/>
        <w:autoSpaceDE w:val="0"/>
        <w:autoSpaceDN w:val="0"/>
        <w:adjustRightInd w:val="0"/>
        <w:rPr>
          <w:rFonts w:cs="Arial"/>
          <w:lang w:val="it-IT"/>
        </w:rPr>
      </w:pPr>
      <w:r>
        <w:rPr>
          <w:rFonts w:cs="Arial"/>
          <w:lang w:val="it-IT"/>
        </w:rPr>
        <w:t>Il Consiglio di Stato osserva inoltre che in Ticino in materia tributaria – diversamente da altri Cantoni- esiste un'unica istanza di ricorso, per cui la situazione non può essere paragonata a quella del TRAM, dove l'anticipo è di regola richiesto.</w:t>
      </w:r>
    </w:p>
    <w:p w:rsidR="009B26C9" w:rsidRDefault="009B26C9" w:rsidP="009B26C9">
      <w:pPr>
        <w:widowControl w:val="0"/>
        <w:autoSpaceDE w:val="0"/>
        <w:autoSpaceDN w:val="0"/>
        <w:adjustRightInd w:val="0"/>
        <w:rPr>
          <w:rFonts w:cs="Arial"/>
          <w:lang w:val="it-IT"/>
        </w:rPr>
      </w:pPr>
    </w:p>
    <w:p w:rsidR="0062179D" w:rsidRDefault="0062179D" w:rsidP="009B26C9">
      <w:pPr>
        <w:widowControl w:val="0"/>
        <w:autoSpaceDE w:val="0"/>
        <w:autoSpaceDN w:val="0"/>
        <w:adjustRightInd w:val="0"/>
        <w:rPr>
          <w:rFonts w:cs="Arial"/>
          <w:lang w:val="it-IT"/>
        </w:rPr>
      </w:pPr>
    </w:p>
    <w:p w:rsidR="009B26C9" w:rsidRPr="00287C78" w:rsidRDefault="009B26C9" w:rsidP="009B26C9">
      <w:pPr>
        <w:widowControl w:val="0"/>
        <w:autoSpaceDE w:val="0"/>
        <w:autoSpaceDN w:val="0"/>
        <w:adjustRightInd w:val="0"/>
        <w:rPr>
          <w:rFonts w:cs="Arial"/>
          <w:lang w:val="it-IT"/>
        </w:rPr>
      </w:pPr>
    </w:p>
    <w:p w:rsidR="009B26C9" w:rsidRPr="003727CB" w:rsidRDefault="009B26C9" w:rsidP="009B26C9">
      <w:pPr>
        <w:tabs>
          <w:tab w:val="left" w:pos="426"/>
        </w:tabs>
        <w:spacing w:after="160"/>
        <w:ind w:left="426" w:right="-1" w:hanging="426"/>
        <w:rPr>
          <w:rFonts w:eastAsia="MS Mincho" w:cs="Arial"/>
          <w:b/>
        </w:rPr>
      </w:pPr>
      <w:bookmarkStart w:id="2" w:name="_Toc469954783"/>
      <w:r w:rsidRPr="003727CB">
        <w:rPr>
          <w:rFonts w:eastAsia="MS Mincho" w:cs="Arial"/>
          <w:b/>
        </w:rPr>
        <w:t>I</w:t>
      </w:r>
      <w:r>
        <w:rPr>
          <w:rFonts w:eastAsia="MS Mincho" w:cs="Arial"/>
          <w:b/>
        </w:rPr>
        <w:t>I</w:t>
      </w:r>
      <w:r w:rsidRPr="003727CB">
        <w:rPr>
          <w:rFonts w:eastAsia="MS Mincho" w:cs="Arial"/>
          <w:b/>
        </w:rPr>
        <w:t>I.</w:t>
      </w:r>
      <w:r w:rsidRPr="003727CB">
        <w:rPr>
          <w:rFonts w:eastAsia="MS Mincho" w:cs="Arial"/>
          <w:b/>
        </w:rPr>
        <w:tab/>
      </w:r>
      <w:bookmarkEnd w:id="2"/>
      <w:r w:rsidRPr="003727CB">
        <w:rPr>
          <w:rFonts w:eastAsia="MS Mincho" w:cs="Arial"/>
          <w:b/>
        </w:rPr>
        <w:t>CONSIDERAZIONI DELLA COMMIS</w:t>
      </w:r>
      <w:r>
        <w:rPr>
          <w:rFonts w:eastAsia="MS Mincho" w:cs="Arial"/>
          <w:b/>
        </w:rPr>
        <w:t>SI</w:t>
      </w:r>
      <w:r w:rsidRPr="003727CB">
        <w:rPr>
          <w:rFonts w:eastAsia="MS Mincho" w:cs="Arial"/>
          <w:b/>
        </w:rPr>
        <w:t>ONE</w:t>
      </w:r>
    </w:p>
    <w:p w:rsidR="009B26C9" w:rsidRDefault="009B26C9" w:rsidP="009B26C9">
      <w:pPr>
        <w:widowControl w:val="0"/>
        <w:autoSpaceDE w:val="0"/>
        <w:autoSpaceDN w:val="0"/>
        <w:adjustRightInd w:val="0"/>
        <w:spacing w:after="120"/>
        <w:ind w:left="425" w:hanging="425"/>
        <w:rPr>
          <w:rFonts w:cs="Arial"/>
          <w:b/>
          <w:lang w:val="it-IT"/>
        </w:rPr>
      </w:pPr>
      <w:r w:rsidRPr="00062B5C">
        <w:rPr>
          <w:rFonts w:cs="Arial"/>
          <w:b/>
          <w:lang w:val="it-IT"/>
        </w:rPr>
        <w:t>1.</w:t>
      </w:r>
      <w:r w:rsidRPr="00062B5C">
        <w:rPr>
          <w:rFonts w:cs="Arial"/>
          <w:b/>
          <w:lang w:val="it-IT"/>
        </w:rPr>
        <w:tab/>
      </w:r>
      <w:r w:rsidRPr="006E7881">
        <w:rPr>
          <w:rFonts w:cs="Arial"/>
          <w:b/>
          <w:lang w:val="it-IT"/>
        </w:rPr>
        <w:t>Legge sull</w:t>
      </w:r>
      <w:r>
        <w:rPr>
          <w:rFonts w:cs="Arial"/>
          <w:b/>
          <w:lang w:val="it-IT"/>
        </w:rPr>
        <w:t>'</w:t>
      </w:r>
      <w:r w:rsidRPr="006E7881">
        <w:rPr>
          <w:rFonts w:cs="Arial"/>
          <w:b/>
          <w:lang w:val="it-IT"/>
        </w:rPr>
        <w:t>organizzazione e la procedura in materia di protezione del minore e</w:t>
      </w:r>
      <w:r>
        <w:rPr>
          <w:rFonts w:cs="Arial"/>
          <w:b/>
          <w:lang w:val="it-IT"/>
        </w:rPr>
        <w:t xml:space="preserve"> </w:t>
      </w:r>
      <w:r w:rsidRPr="006E7881">
        <w:rPr>
          <w:rFonts w:cs="Arial"/>
          <w:b/>
          <w:lang w:val="it-IT"/>
        </w:rPr>
        <w:t>dell</w:t>
      </w:r>
      <w:r>
        <w:rPr>
          <w:rFonts w:cs="Arial"/>
          <w:b/>
          <w:lang w:val="it-IT"/>
        </w:rPr>
        <w:t>'</w:t>
      </w:r>
      <w:r w:rsidRPr="006E7881">
        <w:rPr>
          <w:rFonts w:cs="Arial"/>
          <w:b/>
          <w:lang w:val="it-IT"/>
        </w:rPr>
        <w:t>adulto (LPMA) dell</w:t>
      </w:r>
      <w:r>
        <w:rPr>
          <w:rFonts w:cs="Arial"/>
          <w:b/>
          <w:lang w:val="it-IT"/>
        </w:rPr>
        <w:t>'</w:t>
      </w:r>
      <w:r w:rsidRPr="006E7881">
        <w:rPr>
          <w:rFonts w:cs="Arial"/>
          <w:b/>
          <w:lang w:val="it-IT"/>
        </w:rPr>
        <w:t>8 marzo 1999 (RL 4.1.2.2)</w:t>
      </w:r>
    </w:p>
    <w:p w:rsidR="009B26C9" w:rsidRDefault="009B26C9" w:rsidP="009B26C9">
      <w:pPr>
        <w:rPr>
          <w:rFonts w:cs="Arial"/>
          <w:lang w:val="it-IT"/>
        </w:rPr>
      </w:pPr>
      <w:r>
        <w:rPr>
          <w:rFonts w:cs="Arial"/>
          <w:lang w:val="it-IT"/>
        </w:rPr>
        <w:t>La Commissione condivide integralmente le argomentazioni del Consiglio di Stato.</w:t>
      </w:r>
    </w:p>
    <w:p w:rsidR="009B26C9" w:rsidRDefault="009B26C9" w:rsidP="009B26C9">
      <w:pPr>
        <w:rPr>
          <w:rFonts w:cs="Arial"/>
          <w:lang w:val="it-IT"/>
        </w:rPr>
      </w:pPr>
    </w:p>
    <w:p w:rsidR="009B26C9" w:rsidRDefault="009B26C9" w:rsidP="009B26C9">
      <w:pPr>
        <w:rPr>
          <w:rFonts w:cs="Arial"/>
          <w:lang w:val="it-IT"/>
        </w:rPr>
      </w:pPr>
      <w:r>
        <w:rPr>
          <w:rFonts w:cs="Arial"/>
          <w:lang w:val="it-IT"/>
        </w:rPr>
        <w:t>La Commissione rileva inoltre che negli ultimi cinque anni le perdite derivanti dal mancato incasso di tasse di giustizia sono ammontate in media a circa 2'500 franchi, ritenuto che nel 2015 si è verificato un mancato incasso di 8'024 franchi, mentre negli altri anni il mancato incasso è sempre stato attorto ai 1'000 franchi, come risulta dalla sottostante tabella.</w:t>
      </w:r>
    </w:p>
    <w:p w:rsidR="009B26C9" w:rsidRDefault="009B26C9" w:rsidP="009B26C9">
      <w:pPr>
        <w:rPr>
          <w:rFonts w:cs="Arial"/>
          <w:lang w:val="it-IT"/>
        </w:rPr>
      </w:pPr>
    </w:p>
    <w:tbl>
      <w:tblPr>
        <w:tblW w:w="9028" w:type="dxa"/>
        <w:tblCellMar>
          <w:left w:w="0" w:type="dxa"/>
          <w:right w:w="0" w:type="dxa"/>
        </w:tblCellMar>
        <w:tblLook w:val="04A0" w:firstRow="1" w:lastRow="0" w:firstColumn="1" w:lastColumn="0" w:noHBand="0" w:noVBand="1"/>
      </w:tblPr>
      <w:tblGrid>
        <w:gridCol w:w="2905"/>
        <w:gridCol w:w="1153"/>
        <w:gridCol w:w="1153"/>
        <w:gridCol w:w="1153"/>
        <w:gridCol w:w="1332"/>
        <w:gridCol w:w="1332"/>
      </w:tblGrid>
      <w:tr w:rsidR="009B26C9" w:rsidRPr="00494F7D" w:rsidTr="00BD0F59">
        <w:trPr>
          <w:trHeight w:val="405"/>
        </w:trPr>
        <w:tc>
          <w:tcPr>
            <w:tcW w:w="2905" w:type="dxa"/>
            <w:tcBorders>
              <w:top w:val="single" w:sz="8" w:space="0" w:color="auto"/>
              <w:left w:val="single" w:sz="8" w:space="0" w:color="auto"/>
              <w:bottom w:val="single" w:sz="8" w:space="0" w:color="auto"/>
              <w:right w:val="single" w:sz="6" w:space="0" w:color="auto"/>
            </w:tcBorders>
            <w:noWrap/>
            <w:tcMar>
              <w:top w:w="0" w:type="dxa"/>
              <w:left w:w="70" w:type="dxa"/>
              <w:bottom w:w="0" w:type="dxa"/>
              <w:right w:w="70" w:type="dxa"/>
            </w:tcMar>
            <w:vAlign w:val="bottom"/>
            <w:hideMark/>
          </w:tcPr>
          <w:p w:rsidR="009B26C9" w:rsidRPr="00494F7D" w:rsidRDefault="009B26C9" w:rsidP="00BD0F59">
            <w:pPr>
              <w:spacing w:line="276" w:lineRule="auto"/>
              <w:rPr>
                <w:rFonts w:eastAsia="Times New Roman" w:cs="Arial"/>
                <w:sz w:val="22"/>
                <w:lang w:eastAsia="it-CH"/>
              </w:rPr>
            </w:pPr>
            <w:r w:rsidRPr="00494F7D">
              <w:rPr>
                <w:rFonts w:eastAsia="Times New Roman" w:cs="Arial"/>
                <w:b/>
                <w:bCs/>
                <w:i/>
                <w:iCs/>
                <w:sz w:val="22"/>
                <w:lang w:eastAsia="it-CH"/>
              </w:rPr>
              <w:t>Ufficio giudiziario</w:t>
            </w:r>
          </w:p>
        </w:tc>
        <w:tc>
          <w:tcPr>
            <w:tcW w:w="1153" w:type="dxa"/>
            <w:tcBorders>
              <w:top w:val="single" w:sz="8" w:space="0" w:color="auto"/>
              <w:left w:val="single" w:sz="6" w:space="0" w:color="auto"/>
              <w:bottom w:val="single" w:sz="8" w:space="0" w:color="auto"/>
              <w:right w:val="single" w:sz="6"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b/>
                <w:bCs/>
                <w:sz w:val="22"/>
                <w:lang w:eastAsia="it-CH"/>
              </w:rPr>
              <w:t>2017</w:t>
            </w:r>
          </w:p>
        </w:tc>
        <w:tc>
          <w:tcPr>
            <w:tcW w:w="1153" w:type="dxa"/>
            <w:tcBorders>
              <w:top w:val="single" w:sz="8" w:space="0" w:color="auto"/>
              <w:left w:val="single" w:sz="6" w:space="0" w:color="auto"/>
              <w:bottom w:val="single" w:sz="8" w:space="0" w:color="auto"/>
              <w:right w:val="single" w:sz="6"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b/>
                <w:bCs/>
                <w:sz w:val="22"/>
                <w:lang w:eastAsia="it-CH"/>
              </w:rPr>
              <w:t>2016</w:t>
            </w:r>
          </w:p>
        </w:tc>
        <w:tc>
          <w:tcPr>
            <w:tcW w:w="1153" w:type="dxa"/>
            <w:tcBorders>
              <w:top w:val="single" w:sz="8" w:space="0" w:color="auto"/>
              <w:left w:val="single" w:sz="6" w:space="0" w:color="auto"/>
              <w:bottom w:val="single" w:sz="8" w:space="0" w:color="auto"/>
              <w:right w:val="single" w:sz="6"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b/>
                <w:bCs/>
                <w:sz w:val="22"/>
                <w:lang w:eastAsia="it-CH"/>
              </w:rPr>
              <w:t>2015</w:t>
            </w:r>
          </w:p>
        </w:tc>
        <w:tc>
          <w:tcPr>
            <w:tcW w:w="1332" w:type="dxa"/>
            <w:tcBorders>
              <w:top w:val="single" w:sz="8" w:space="0" w:color="auto"/>
              <w:left w:val="single" w:sz="6" w:space="0" w:color="auto"/>
              <w:bottom w:val="single" w:sz="8" w:space="0" w:color="auto"/>
              <w:right w:val="single" w:sz="6"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b/>
                <w:bCs/>
                <w:sz w:val="22"/>
                <w:lang w:eastAsia="it-CH"/>
              </w:rPr>
              <w:t>2014</w:t>
            </w:r>
          </w:p>
        </w:tc>
        <w:tc>
          <w:tcPr>
            <w:tcW w:w="1332" w:type="dxa"/>
            <w:tcBorders>
              <w:top w:val="single" w:sz="8" w:space="0" w:color="auto"/>
              <w:left w:val="single" w:sz="6" w:space="0" w:color="auto"/>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b/>
                <w:bCs/>
                <w:sz w:val="22"/>
                <w:lang w:eastAsia="it-CH"/>
              </w:rPr>
              <w:t>2013</w:t>
            </w:r>
          </w:p>
        </w:tc>
      </w:tr>
      <w:tr w:rsidR="009B26C9" w:rsidRPr="00494F7D" w:rsidTr="00BD0F59">
        <w:trPr>
          <w:trHeight w:val="405"/>
        </w:trPr>
        <w:tc>
          <w:tcPr>
            <w:tcW w:w="29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rPr>
                <w:rFonts w:eastAsia="Times New Roman" w:cs="Arial"/>
                <w:sz w:val="22"/>
                <w:lang w:eastAsia="it-CH"/>
              </w:rPr>
            </w:pPr>
            <w:r w:rsidRPr="00494F7D">
              <w:rPr>
                <w:rFonts w:eastAsia="Times New Roman" w:cs="Arial"/>
                <w:b/>
                <w:bCs/>
                <w:sz w:val="22"/>
                <w:lang w:eastAsia="it-CH"/>
              </w:rPr>
              <w:t>Camera di protezione</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sz w:val="22"/>
                <w:lang w:eastAsia="it-CH"/>
              </w:rPr>
              <w:t>1'050.00</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sz w:val="22"/>
                <w:lang w:eastAsia="it-CH"/>
              </w:rPr>
              <w:t>900.00</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sz w:val="22"/>
                <w:lang w:eastAsia="it-CH"/>
              </w:rPr>
              <w:t>8'024.00</w:t>
            </w:r>
          </w:p>
        </w:tc>
        <w:tc>
          <w:tcPr>
            <w:tcW w:w="13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sz w:val="22"/>
                <w:lang w:eastAsia="it-CH"/>
              </w:rPr>
              <w:t>800.00</w:t>
            </w:r>
          </w:p>
        </w:tc>
        <w:tc>
          <w:tcPr>
            <w:tcW w:w="13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ascii="Times New Roman" w:eastAsia="Times New Roman" w:hAnsi="Times New Roman" w:cs="Times New Roman"/>
                <w:sz w:val="22"/>
                <w:lang w:eastAsia="it-CH"/>
              </w:rPr>
            </w:pPr>
            <w:r w:rsidRPr="00494F7D">
              <w:rPr>
                <w:rFonts w:eastAsia="Times New Roman" w:cs="Arial"/>
                <w:sz w:val="22"/>
                <w:lang w:eastAsia="it-CH"/>
              </w:rPr>
              <w:t>1'600.00</w:t>
            </w:r>
          </w:p>
        </w:tc>
      </w:tr>
    </w:tbl>
    <w:p w:rsidR="009B26C9" w:rsidRPr="00123DD3" w:rsidRDefault="009B26C9" w:rsidP="009B26C9">
      <w:pPr>
        <w:rPr>
          <w:rFonts w:cs="Arial"/>
          <w:lang w:val="it-IT"/>
        </w:rPr>
      </w:pPr>
    </w:p>
    <w:p w:rsidR="009B26C9" w:rsidRPr="00123DD3" w:rsidRDefault="009B26C9" w:rsidP="009B26C9">
      <w:pPr>
        <w:rPr>
          <w:rFonts w:cs="Arial"/>
          <w:lang w:val="it-IT"/>
        </w:rPr>
      </w:pPr>
    </w:p>
    <w:p w:rsidR="009B26C9" w:rsidRDefault="009B26C9" w:rsidP="009B26C9">
      <w:pPr>
        <w:widowControl w:val="0"/>
        <w:autoSpaceDE w:val="0"/>
        <w:autoSpaceDN w:val="0"/>
        <w:adjustRightInd w:val="0"/>
        <w:spacing w:after="120"/>
        <w:ind w:left="425" w:hanging="425"/>
        <w:rPr>
          <w:rFonts w:cs="Arial"/>
          <w:lang w:val="it-IT"/>
        </w:rPr>
      </w:pPr>
      <w:r w:rsidRPr="00D32FB2">
        <w:rPr>
          <w:rFonts w:cs="Arial"/>
          <w:b/>
          <w:lang w:val="it-IT"/>
        </w:rPr>
        <w:t>2.</w:t>
      </w:r>
      <w:r>
        <w:rPr>
          <w:rFonts w:cs="Arial"/>
          <w:lang w:val="it-IT"/>
        </w:rPr>
        <w:tab/>
      </w:r>
      <w:r w:rsidRPr="00E20450">
        <w:rPr>
          <w:rFonts w:cs="Arial"/>
          <w:b/>
          <w:lang w:val="it-IT"/>
        </w:rPr>
        <w:t>Legge sull</w:t>
      </w:r>
      <w:r>
        <w:rPr>
          <w:rFonts w:cs="Arial"/>
          <w:b/>
          <w:lang w:val="it-IT"/>
        </w:rPr>
        <w:t>'</w:t>
      </w:r>
      <w:r w:rsidRPr="00E20450">
        <w:rPr>
          <w:rFonts w:cs="Arial"/>
          <w:b/>
          <w:lang w:val="it-IT"/>
        </w:rPr>
        <w:t>esecuzione delle pene e delle misure per gli adulti del 20 aprile 2010</w:t>
      </w:r>
      <w:r>
        <w:rPr>
          <w:rFonts w:cs="Arial"/>
          <w:b/>
          <w:lang w:val="it-IT"/>
        </w:rPr>
        <w:t xml:space="preserve"> </w:t>
      </w:r>
      <w:r w:rsidRPr="00E20450">
        <w:rPr>
          <w:rFonts w:cs="Arial"/>
          <w:b/>
          <w:lang w:val="it-IT"/>
        </w:rPr>
        <w:t>(RL 4.2.1.1)</w:t>
      </w:r>
    </w:p>
    <w:p w:rsidR="009B26C9" w:rsidRDefault="009B26C9" w:rsidP="009B26C9">
      <w:pPr>
        <w:rPr>
          <w:rFonts w:cs="Arial"/>
          <w:lang w:val="it-IT"/>
        </w:rPr>
      </w:pPr>
      <w:r>
        <w:rPr>
          <w:rFonts w:cs="Arial"/>
          <w:lang w:val="it-IT"/>
        </w:rPr>
        <w:t>La Commissione condivide integralmente le argomentazioni del Consiglio di Stato.</w:t>
      </w:r>
    </w:p>
    <w:p w:rsidR="009B26C9" w:rsidRDefault="009B26C9" w:rsidP="009B26C9">
      <w:pPr>
        <w:rPr>
          <w:rFonts w:cs="Arial"/>
          <w:lang w:val="it-IT"/>
        </w:rPr>
      </w:pPr>
    </w:p>
    <w:p w:rsidR="009B26C9" w:rsidRDefault="009B26C9" w:rsidP="009B26C9">
      <w:pPr>
        <w:rPr>
          <w:rFonts w:cs="Arial"/>
          <w:lang w:val="it-IT"/>
        </w:rPr>
      </w:pPr>
      <w:r>
        <w:rPr>
          <w:rFonts w:cs="Arial"/>
          <w:lang w:val="it-IT"/>
        </w:rPr>
        <w:t>Rileva inoltre che negli ultimi cinque anni le perdite derivanti dal mancato incasso di tasse di giustizia sono ammontate in media a circa 19'500 franchi che – data la situazione delle persone coinvolte – difficilmente avrebbero potuto essere incassati tramite anticipi.</w:t>
      </w:r>
    </w:p>
    <w:p w:rsidR="009B26C9" w:rsidRDefault="009B26C9" w:rsidP="009B26C9">
      <w:pPr>
        <w:rPr>
          <w:rFonts w:cs="Arial"/>
          <w:lang w:val="it-IT"/>
        </w:rPr>
      </w:pPr>
    </w:p>
    <w:tbl>
      <w:tblPr>
        <w:tblW w:w="9022" w:type="dxa"/>
        <w:tblCellMar>
          <w:left w:w="0" w:type="dxa"/>
          <w:right w:w="0" w:type="dxa"/>
        </w:tblCellMar>
        <w:tblLook w:val="04A0" w:firstRow="1" w:lastRow="0" w:firstColumn="1" w:lastColumn="0" w:noHBand="0" w:noVBand="1"/>
      </w:tblPr>
      <w:tblGrid>
        <w:gridCol w:w="2905"/>
        <w:gridCol w:w="1147"/>
        <w:gridCol w:w="1148"/>
        <w:gridCol w:w="1148"/>
        <w:gridCol w:w="1337"/>
        <w:gridCol w:w="1337"/>
      </w:tblGrid>
      <w:tr w:rsidR="009B26C9" w:rsidRPr="00494F7D" w:rsidTr="00BD0F59">
        <w:trPr>
          <w:trHeight w:val="405"/>
        </w:trPr>
        <w:tc>
          <w:tcPr>
            <w:tcW w:w="2905" w:type="dxa"/>
            <w:noWrap/>
            <w:tcMar>
              <w:top w:w="0" w:type="dxa"/>
              <w:left w:w="70" w:type="dxa"/>
              <w:bottom w:w="0" w:type="dxa"/>
              <w:right w:w="70" w:type="dxa"/>
            </w:tcMar>
            <w:vAlign w:val="bottom"/>
            <w:hideMark/>
          </w:tcPr>
          <w:p w:rsidR="009B26C9" w:rsidRPr="00494F7D" w:rsidRDefault="009B26C9" w:rsidP="00BD0F59">
            <w:pPr>
              <w:spacing w:line="276" w:lineRule="auto"/>
              <w:rPr>
                <w:rFonts w:eastAsia="Times New Roman" w:cs="Arial"/>
                <w:sz w:val="22"/>
                <w:lang w:eastAsia="it-CH"/>
              </w:rPr>
            </w:pPr>
            <w:r w:rsidRPr="00494F7D">
              <w:rPr>
                <w:rFonts w:eastAsia="Times New Roman" w:cs="Arial"/>
                <w:b/>
                <w:bCs/>
                <w:i/>
                <w:iCs/>
                <w:sz w:val="22"/>
                <w:lang w:eastAsia="it-CH"/>
              </w:rPr>
              <w:t>Ufficio giudiziario</w:t>
            </w:r>
          </w:p>
        </w:tc>
        <w:tc>
          <w:tcPr>
            <w:tcW w:w="114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b/>
                <w:bCs/>
                <w:sz w:val="22"/>
                <w:lang w:eastAsia="it-CH"/>
              </w:rPr>
              <w:t>2017</w:t>
            </w:r>
          </w:p>
        </w:tc>
        <w:tc>
          <w:tcPr>
            <w:tcW w:w="1148"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b/>
                <w:bCs/>
                <w:sz w:val="22"/>
                <w:lang w:eastAsia="it-CH"/>
              </w:rPr>
              <w:t>2016</w:t>
            </w:r>
          </w:p>
        </w:tc>
        <w:tc>
          <w:tcPr>
            <w:tcW w:w="1148"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b/>
                <w:bCs/>
                <w:sz w:val="22"/>
                <w:lang w:eastAsia="it-CH"/>
              </w:rPr>
              <w:t>2015</w:t>
            </w:r>
          </w:p>
        </w:tc>
        <w:tc>
          <w:tcPr>
            <w:tcW w:w="133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b/>
                <w:bCs/>
                <w:sz w:val="22"/>
                <w:lang w:eastAsia="it-CH"/>
              </w:rPr>
              <w:t>2014</w:t>
            </w:r>
          </w:p>
        </w:tc>
        <w:tc>
          <w:tcPr>
            <w:tcW w:w="1337"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b/>
                <w:bCs/>
                <w:sz w:val="22"/>
                <w:lang w:eastAsia="it-CH"/>
              </w:rPr>
              <w:t>2013</w:t>
            </w:r>
          </w:p>
        </w:tc>
      </w:tr>
      <w:tr w:rsidR="009B26C9" w:rsidRPr="00494F7D" w:rsidTr="00BD0F59">
        <w:trPr>
          <w:trHeight w:val="405"/>
        </w:trPr>
        <w:tc>
          <w:tcPr>
            <w:tcW w:w="29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rPr>
                <w:rFonts w:eastAsia="Times New Roman" w:cs="Arial"/>
                <w:sz w:val="22"/>
                <w:lang w:eastAsia="it-CH"/>
              </w:rPr>
            </w:pPr>
            <w:r w:rsidRPr="00494F7D">
              <w:rPr>
                <w:rFonts w:eastAsia="Times New Roman" w:cs="Arial"/>
                <w:b/>
                <w:bCs/>
                <w:sz w:val="22"/>
                <w:lang w:eastAsia="it-CH"/>
              </w:rPr>
              <w:t>Corte dei reclami penali</w:t>
            </w:r>
          </w:p>
        </w:tc>
        <w:tc>
          <w:tcPr>
            <w:tcW w:w="11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sz w:val="22"/>
                <w:lang w:eastAsia="it-CH"/>
              </w:rPr>
              <w:t>14'680.00</w:t>
            </w:r>
          </w:p>
        </w:tc>
        <w:tc>
          <w:tcPr>
            <w:tcW w:w="11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sz w:val="22"/>
                <w:lang w:eastAsia="it-CH"/>
              </w:rPr>
              <w:t>26'770.40</w:t>
            </w:r>
          </w:p>
        </w:tc>
        <w:tc>
          <w:tcPr>
            <w:tcW w:w="11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sz w:val="22"/>
                <w:lang w:eastAsia="it-CH"/>
              </w:rPr>
              <w:t>19'342.00</w:t>
            </w:r>
          </w:p>
        </w:tc>
        <w:tc>
          <w:tcPr>
            <w:tcW w:w="13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sz w:val="22"/>
                <w:lang w:eastAsia="it-CH"/>
              </w:rPr>
              <w:t>19'936.79</w:t>
            </w:r>
          </w:p>
        </w:tc>
        <w:tc>
          <w:tcPr>
            <w:tcW w:w="133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9B26C9" w:rsidRPr="00494F7D" w:rsidRDefault="009B26C9" w:rsidP="00BD0F59">
            <w:pPr>
              <w:spacing w:line="276" w:lineRule="auto"/>
              <w:jc w:val="center"/>
              <w:rPr>
                <w:rFonts w:eastAsia="Times New Roman" w:cs="Arial"/>
                <w:sz w:val="22"/>
                <w:lang w:eastAsia="it-CH"/>
              </w:rPr>
            </w:pPr>
            <w:r w:rsidRPr="00494F7D">
              <w:rPr>
                <w:rFonts w:eastAsia="Times New Roman" w:cs="Arial"/>
                <w:sz w:val="22"/>
                <w:lang w:eastAsia="it-CH"/>
              </w:rPr>
              <w:t>16'385.00</w:t>
            </w:r>
          </w:p>
        </w:tc>
      </w:tr>
    </w:tbl>
    <w:p w:rsidR="009B26C9" w:rsidRDefault="009B26C9" w:rsidP="009B26C9">
      <w:pPr>
        <w:rPr>
          <w:rFonts w:cs="Arial"/>
          <w:lang w:val="it-IT"/>
        </w:rPr>
      </w:pPr>
    </w:p>
    <w:p w:rsidR="009B26C9" w:rsidRDefault="009B26C9" w:rsidP="009B26C9">
      <w:pPr>
        <w:rPr>
          <w:rFonts w:cs="Arial"/>
          <w:lang w:val="it-IT"/>
        </w:rPr>
      </w:pPr>
    </w:p>
    <w:p w:rsidR="009B26C9" w:rsidRDefault="009B26C9" w:rsidP="009B26C9">
      <w:pPr>
        <w:rPr>
          <w:rFonts w:cs="Arial"/>
          <w:lang w:val="it-IT"/>
        </w:rPr>
      </w:pPr>
    </w:p>
    <w:p w:rsidR="0062179D" w:rsidRDefault="0062179D">
      <w:pPr>
        <w:rPr>
          <w:rFonts w:cs="Arial"/>
          <w:b/>
          <w:lang w:val="it-IT"/>
        </w:rPr>
      </w:pPr>
      <w:r>
        <w:rPr>
          <w:rFonts w:cs="Arial"/>
          <w:b/>
          <w:lang w:val="it-IT"/>
        </w:rPr>
        <w:br w:type="page"/>
      </w:r>
    </w:p>
    <w:p w:rsidR="009B26C9" w:rsidRPr="00E20450" w:rsidRDefault="009B26C9" w:rsidP="009B26C9">
      <w:pPr>
        <w:widowControl w:val="0"/>
        <w:autoSpaceDE w:val="0"/>
        <w:autoSpaceDN w:val="0"/>
        <w:adjustRightInd w:val="0"/>
        <w:spacing w:after="120"/>
        <w:ind w:left="425" w:hanging="425"/>
        <w:rPr>
          <w:rFonts w:cs="Arial"/>
          <w:b/>
          <w:lang w:val="it-IT"/>
        </w:rPr>
      </w:pPr>
      <w:r w:rsidRPr="00062B5C">
        <w:rPr>
          <w:rFonts w:cs="Arial"/>
          <w:b/>
          <w:lang w:val="it-IT"/>
        </w:rPr>
        <w:lastRenderedPageBreak/>
        <w:t>3.</w:t>
      </w:r>
      <w:r>
        <w:rPr>
          <w:rFonts w:cs="Arial"/>
          <w:lang w:val="it-IT"/>
        </w:rPr>
        <w:tab/>
      </w:r>
      <w:r w:rsidRPr="00E20450">
        <w:rPr>
          <w:rFonts w:cs="Arial"/>
          <w:b/>
          <w:lang w:val="it-IT"/>
        </w:rPr>
        <w:t>Legge di procedura per le cause davanti al Tribunale cantonale delle</w:t>
      </w:r>
      <w:r>
        <w:rPr>
          <w:rFonts w:cs="Arial"/>
          <w:b/>
          <w:lang w:val="it-IT"/>
        </w:rPr>
        <w:t xml:space="preserve"> </w:t>
      </w:r>
      <w:r w:rsidRPr="00E20450">
        <w:rPr>
          <w:rFonts w:cs="Arial"/>
          <w:b/>
          <w:lang w:val="it-IT"/>
        </w:rPr>
        <w:t>assicurazioni (</w:t>
      </w:r>
      <w:proofErr w:type="spellStart"/>
      <w:r w:rsidRPr="00E20450">
        <w:rPr>
          <w:rFonts w:cs="Arial"/>
          <w:b/>
          <w:lang w:val="it-IT"/>
        </w:rPr>
        <w:t>Lpcta</w:t>
      </w:r>
      <w:proofErr w:type="spellEnd"/>
      <w:r w:rsidRPr="00E20450">
        <w:rPr>
          <w:rFonts w:cs="Arial"/>
          <w:b/>
          <w:lang w:val="it-IT"/>
        </w:rPr>
        <w:t>) del 23 giugno 2008 (RL 3.4.1.1)</w:t>
      </w:r>
    </w:p>
    <w:p w:rsidR="009B26C9" w:rsidRDefault="009B26C9" w:rsidP="009B26C9">
      <w:pPr>
        <w:rPr>
          <w:rFonts w:cs="Arial"/>
          <w:lang w:val="it-IT"/>
        </w:rPr>
      </w:pPr>
      <w:r>
        <w:rPr>
          <w:rFonts w:cs="Arial"/>
          <w:lang w:val="it-IT"/>
        </w:rPr>
        <w:t>La Commissione condivide integralmente le argomentazioni del Consiglio di Stato, rilevando in aggiunta come l'art. 29 cpv. 2</w:t>
      </w:r>
      <w:r w:rsidRPr="00062B5C">
        <w:t xml:space="preserve"> </w:t>
      </w:r>
      <w:proofErr w:type="spellStart"/>
      <w:r w:rsidRPr="00062B5C">
        <w:rPr>
          <w:rFonts w:cs="Arial"/>
          <w:lang w:val="it-IT"/>
        </w:rPr>
        <w:t>Lpcta</w:t>
      </w:r>
      <w:proofErr w:type="spellEnd"/>
      <w:r>
        <w:rPr>
          <w:rFonts w:cs="Arial"/>
          <w:lang w:val="it-IT"/>
        </w:rPr>
        <w:t xml:space="preserve"> preveda che le spese che possono essere richieste in materia di ricorso AI sono fissate </w:t>
      </w:r>
      <w:r w:rsidRPr="00062B5C">
        <w:rPr>
          <w:rFonts w:cs="Arial"/>
          <w:lang w:val="it-IT"/>
        </w:rPr>
        <w:t>fra 200 e 1000</w:t>
      </w:r>
      <w:r>
        <w:rPr>
          <w:rFonts w:cs="Arial"/>
          <w:lang w:val="it-IT"/>
        </w:rPr>
        <w:t xml:space="preserve"> </w:t>
      </w:r>
      <w:r w:rsidRPr="00062B5C">
        <w:rPr>
          <w:rFonts w:cs="Arial"/>
          <w:lang w:val="it-IT"/>
        </w:rPr>
        <w:t>franchi</w:t>
      </w:r>
      <w:r>
        <w:rPr>
          <w:rFonts w:cs="Arial"/>
          <w:lang w:val="it-IT"/>
        </w:rPr>
        <w:t>.</w:t>
      </w:r>
    </w:p>
    <w:p w:rsidR="009B26C9" w:rsidRDefault="009B26C9" w:rsidP="009B26C9">
      <w:pPr>
        <w:rPr>
          <w:rFonts w:cs="Arial"/>
          <w:lang w:val="it-IT"/>
        </w:rPr>
      </w:pPr>
      <w:r>
        <w:rPr>
          <w:rFonts w:cs="Arial"/>
          <w:lang w:val="it-IT"/>
        </w:rPr>
        <w:t>È quindi verosimile che l'avvio di una procedura di richiesta di acconto – con probabile annessa procedura incidentale di ammissione al gratuito patrocinio – avrebbe un costo superiore all'acconto eventualmente incassato.</w:t>
      </w:r>
    </w:p>
    <w:p w:rsidR="009B26C9" w:rsidRDefault="009B26C9" w:rsidP="009B26C9">
      <w:pPr>
        <w:rPr>
          <w:rFonts w:cs="Arial"/>
          <w:lang w:val="it-IT"/>
        </w:rPr>
      </w:pPr>
    </w:p>
    <w:p w:rsidR="009B26C9" w:rsidRDefault="009B26C9" w:rsidP="009B26C9">
      <w:pPr>
        <w:rPr>
          <w:rFonts w:cs="Arial"/>
          <w:lang w:val="it-IT"/>
        </w:rPr>
      </w:pPr>
      <w:r>
        <w:rPr>
          <w:rFonts w:cs="Arial"/>
          <w:lang w:val="it-IT"/>
        </w:rPr>
        <w:t xml:space="preserve">Per quanto riguarda la proposta di introdurre un nuovo art. 30 cpv. 4 </w:t>
      </w:r>
      <w:proofErr w:type="spellStart"/>
      <w:r>
        <w:rPr>
          <w:rFonts w:cs="Arial"/>
          <w:lang w:val="it-IT"/>
        </w:rPr>
        <w:t>Lpcta</w:t>
      </w:r>
      <w:proofErr w:type="spellEnd"/>
      <w:r>
        <w:rPr>
          <w:rFonts w:cs="Arial"/>
          <w:lang w:val="it-IT"/>
        </w:rPr>
        <w:t xml:space="preserve"> si rileva che il contenuto della stessa è – almeno in parte – in contraddizione con l'attuale art. 30 cpv. 3 </w:t>
      </w:r>
      <w:proofErr w:type="spellStart"/>
      <w:r>
        <w:rPr>
          <w:rFonts w:cs="Arial"/>
          <w:lang w:val="it-IT"/>
        </w:rPr>
        <w:t>Lpcta</w:t>
      </w:r>
      <w:proofErr w:type="spellEnd"/>
      <w:r>
        <w:rPr>
          <w:rFonts w:cs="Arial"/>
          <w:lang w:val="it-IT"/>
        </w:rPr>
        <w:t xml:space="preserve"> secondo cui </w:t>
      </w:r>
      <w:r>
        <w:rPr>
          <w:rFonts w:cs="Arial"/>
          <w:i/>
          <w:lang w:val="it-IT"/>
        </w:rPr>
        <w:t>«</w:t>
      </w:r>
      <w:r w:rsidRPr="00062B5C">
        <w:rPr>
          <w:rFonts w:cs="Arial"/>
          <w:i/>
          <w:lang w:val="it-IT"/>
        </w:rPr>
        <w:t>gli assicuratori sociali e le autorità vincenti in causa non hanno diritto alle ripetibili, salvo se il comportamento processuale della controparte si dimostri temerario o se quest</w:t>
      </w:r>
      <w:r>
        <w:rPr>
          <w:rFonts w:cs="Arial"/>
          <w:i/>
          <w:lang w:val="it-IT"/>
        </w:rPr>
        <w:t>'</w:t>
      </w:r>
      <w:r w:rsidRPr="00062B5C">
        <w:rPr>
          <w:rFonts w:cs="Arial"/>
          <w:i/>
          <w:lang w:val="it-IT"/>
        </w:rPr>
        <w:t>ultima abbia agito con leggerezza</w:t>
      </w:r>
      <w:r>
        <w:rPr>
          <w:rFonts w:cs="Arial"/>
          <w:lang w:val="it-IT"/>
        </w:rPr>
        <w:t>»</w:t>
      </w:r>
      <w:r w:rsidRPr="000E4563">
        <w:rPr>
          <w:rFonts w:cs="Arial"/>
          <w:lang w:val="it-IT"/>
        </w:rPr>
        <w:t>.</w:t>
      </w:r>
    </w:p>
    <w:p w:rsidR="009B26C9" w:rsidRDefault="009B26C9" w:rsidP="009B26C9">
      <w:pPr>
        <w:rPr>
          <w:rFonts w:cs="Arial"/>
          <w:lang w:val="it-IT"/>
        </w:rPr>
      </w:pPr>
    </w:p>
    <w:p w:rsidR="009B26C9" w:rsidRDefault="009B26C9" w:rsidP="009B26C9">
      <w:pPr>
        <w:rPr>
          <w:rFonts w:cs="Arial"/>
          <w:lang w:val="it-IT"/>
        </w:rPr>
      </w:pPr>
      <w:r>
        <w:rPr>
          <w:rFonts w:cs="Arial"/>
          <w:lang w:val="it-IT"/>
        </w:rPr>
        <w:t xml:space="preserve">In un ambito delicato come le assicurazioni sociali la Commissione ritiene preferibile la formulazione dell'art. 30 cpv. 3 </w:t>
      </w:r>
      <w:proofErr w:type="spellStart"/>
      <w:r>
        <w:rPr>
          <w:rFonts w:cs="Arial"/>
          <w:lang w:val="it-IT"/>
        </w:rPr>
        <w:t>Lpcta</w:t>
      </w:r>
      <w:proofErr w:type="spellEnd"/>
      <w:r>
        <w:rPr>
          <w:rFonts w:cs="Arial"/>
          <w:lang w:val="it-IT"/>
        </w:rPr>
        <w:t xml:space="preserve"> che sanziona unicamente i ricorrenti che hanno agito con leggerezza.</w:t>
      </w:r>
    </w:p>
    <w:p w:rsidR="009B26C9" w:rsidRDefault="009B26C9" w:rsidP="009B26C9">
      <w:pPr>
        <w:rPr>
          <w:rFonts w:cs="Arial"/>
          <w:lang w:val="it-IT"/>
        </w:rPr>
      </w:pPr>
    </w:p>
    <w:p w:rsidR="009B26C9" w:rsidRDefault="009B26C9" w:rsidP="009B26C9">
      <w:pPr>
        <w:rPr>
          <w:rFonts w:cs="Arial"/>
          <w:lang w:val="it-IT"/>
        </w:rPr>
      </w:pPr>
      <w:r>
        <w:rPr>
          <w:rFonts w:cs="Arial"/>
          <w:lang w:val="it-IT"/>
        </w:rPr>
        <w:t xml:space="preserve">Rileva inoltre che negli ultimi anni le perdite derivanti dal mancato incasso di tasse di giustizia sono ammontate in media a circa 4'600 franchi, che – data la situazione delle persone coinvolte – difficilmente avrebbero potuto essere incassati tramite anticipi. </w:t>
      </w:r>
    </w:p>
    <w:p w:rsidR="009B26C9" w:rsidRPr="00E879B5" w:rsidRDefault="009B26C9" w:rsidP="009B26C9">
      <w:pPr>
        <w:rPr>
          <w:rFonts w:cs="Arial"/>
          <w:lang w:val="it-IT"/>
        </w:rPr>
      </w:pPr>
    </w:p>
    <w:tbl>
      <w:tblPr>
        <w:tblW w:w="9028" w:type="dxa"/>
        <w:tblCellMar>
          <w:left w:w="0" w:type="dxa"/>
          <w:right w:w="0" w:type="dxa"/>
        </w:tblCellMar>
        <w:tblLook w:val="04A0" w:firstRow="1" w:lastRow="0" w:firstColumn="1" w:lastColumn="0" w:noHBand="0" w:noVBand="1"/>
      </w:tblPr>
      <w:tblGrid>
        <w:gridCol w:w="2905"/>
        <w:gridCol w:w="1153"/>
        <w:gridCol w:w="1153"/>
        <w:gridCol w:w="1153"/>
        <w:gridCol w:w="1332"/>
        <w:gridCol w:w="1332"/>
      </w:tblGrid>
      <w:tr w:rsidR="009B26C9" w:rsidRPr="00901CFB" w:rsidTr="00BD0F59">
        <w:trPr>
          <w:trHeight w:val="405"/>
        </w:trPr>
        <w:tc>
          <w:tcPr>
            <w:tcW w:w="29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9B26C9" w:rsidRPr="00901CFB" w:rsidRDefault="009B26C9" w:rsidP="00BD0F59">
            <w:pPr>
              <w:spacing w:line="276" w:lineRule="auto"/>
              <w:rPr>
                <w:rFonts w:eastAsia="Times New Roman" w:cs="Arial"/>
                <w:sz w:val="22"/>
                <w:lang w:eastAsia="it-CH"/>
              </w:rPr>
            </w:pPr>
            <w:r w:rsidRPr="00901CFB">
              <w:rPr>
                <w:rFonts w:eastAsia="Times New Roman" w:cs="Arial"/>
                <w:b/>
                <w:bCs/>
                <w:i/>
                <w:iCs/>
                <w:sz w:val="22"/>
                <w:lang w:eastAsia="it-CH"/>
              </w:rPr>
              <w:t>Ufficio giudiziario</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2017</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2016</w:t>
            </w:r>
          </w:p>
        </w:tc>
        <w:tc>
          <w:tcPr>
            <w:tcW w:w="11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2015</w:t>
            </w:r>
          </w:p>
        </w:tc>
        <w:tc>
          <w:tcPr>
            <w:tcW w:w="13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2014</w:t>
            </w:r>
          </w:p>
        </w:tc>
        <w:tc>
          <w:tcPr>
            <w:tcW w:w="133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2013</w:t>
            </w:r>
          </w:p>
        </w:tc>
      </w:tr>
      <w:tr w:rsidR="009B26C9" w:rsidRPr="00901CFB" w:rsidTr="00BD0F59">
        <w:trPr>
          <w:trHeight w:val="405"/>
        </w:trPr>
        <w:tc>
          <w:tcPr>
            <w:tcW w:w="29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B26C9" w:rsidRPr="00901CFB" w:rsidRDefault="009B26C9" w:rsidP="00BD0F59">
            <w:pPr>
              <w:rPr>
                <w:rFonts w:eastAsia="Times New Roman" w:cs="Arial"/>
                <w:sz w:val="22"/>
                <w:lang w:eastAsia="it-CH"/>
              </w:rPr>
            </w:pPr>
            <w:r w:rsidRPr="00901CFB">
              <w:rPr>
                <w:rFonts w:eastAsia="Times New Roman" w:cs="Arial"/>
                <w:b/>
                <w:bCs/>
                <w:sz w:val="22"/>
                <w:lang w:eastAsia="it-CH"/>
              </w:rPr>
              <w:t>Tribunale cantonale delle assicurazioni</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3'538.50</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8'251.00</w:t>
            </w:r>
          </w:p>
        </w:tc>
        <w:tc>
          <w:tcPr>
            <w:tcW w:w="115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5'050.00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2'450.00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4'100.00</w:t>
            </w:r>
          </w:p>
        </w:tc>
      </w:tr>
    </w:tbl>
    <w:p w:rsidR="009B26C9" w:rsidRDefault="009B26C9" w:rsidP="009B26C9">
      <w:pPr>
        <w:rPr>
          <w:rFonts w:cs="Arial"/>
          <w:lang w:val="it-IT"/>
        </w:rPr>
      </w:pPr>
    </w:p>
    <w:p w:rsidR="009B26C9" w:rsidRDefault="009B26C9" w:rsidP="009B26C9">
      <w:pPr>
        <w:rPr>
          <w:rFonts w:cs="Arial"/>
          <w:lang w:val="it-IT"/>
        </w:rPr>
      </w:pPr>
    </w:p>
    <w:p w:rsidR="009B26C9" w:rsidRDefault="009B26C9" w:rsidP="009B26C9">
      <w:pPr>
        <w:widowControl w:val="0"/>
        <w:autoSpaceDE w:val="0"/>
        <w:autoSpaceDN w:val="0"/>
        <w:adjustRightInd w:val="0"/>
        <w:spacing w:after="120"/>
        <w:ind w:left="425" w:hanging="425"/>
        <w:rPr>
          <w:rFonts w:cs="Arial"/>
          <w:lang w:val="it-IT"/>
        </w:rPr>
      </w:pPr>
      <w:r>
        <w:rPr>
          <w:rFonts w:cs="Arial"/>
          <w:b/>
          <w:lang w:val="it-IT"/>
        </w:rPr>
        <w:t>4</w:t>
      </w:r>
      <w:r w:rsidRPr="00062B5C">
        <w:rPr>
          <w:rFonts w:cs="Arial"/>
          <w:b/>
          <w:lang w:val="it-IT"/>
        </w:rPr>
        <w:t>.</w:t>
      </w:r>
      <w:r>
        <w:rPr>
          <w:rFonts w:cs="Arial"/>
          <w:lang w:val="it-IT"/>
        </w:rPr>
        <w:tab/>
      </w:r>
      <w:r w:rsidRPr="000E4563">
        <w:rPr>
          <w:rFonts w:cs="Arial"/>
          <w:b/>
          <w:lang w:val="it-IT"/>
        </w:rPr>
        <w:t>Legge tributaria (LT) del 21 giugno 1994 (RL 10.2.1.1)</w:t>
      </w:r>
    </w:p>
    <w:p w:rsidR="009B26C9" w:rsidRDefault="009B26C9" w:rsidP="009B26C9">
      <w:pPr>
        <w:rPr>
          <w:rFonts w:cs="Arial"/>
          <w:lang w:val="it-IT"/>
        </w:rPr>
      </w:pPr>
      <w:r>
        <w:rPr>
          <w:rFonts w:cs="Arial"/>
          <w:lang w:val="it-IT"/>
        </w:rPr>
        <w:t>La commissione condivide integralmente le argomentazioni del Consiglio di Stato, aggiungendo che in presenza di piccoli contribuenti domiciliati in Ticino la richiesta di acconto potrebbe costituire una frazione importante dell'importo richiesto dal fisco; secondo la commissione occorre evitare che il contribuente che contesta la decisione dell'erario debba pagare una parte sostanziale dell'imposta (contestata) per poter ottenere una decisione in merito a quella stessa imposta.</w:t>
      </w:r>
    </w:p>
    <w:p w:rsidR="009B26C9" w:rsidRDefault="009B26C9" w:rsidP="009B26C9">
      <w:pPr>
        <w:rPr>
          <w:rFonts w:cs="Arial"/>
          <w:lang w:val="it-IT"/>
        </w:rPr>
      </w:pPr>
    </w:p>
    <w:p w:rsidR="009B26C9" w:rsidRDefault="009B26C9" w:rsidP="009B26C9">
      <w:pPr>
        <w:rPr>
          <w:rFonts w:cs="Arial"/>
          <w:lang w:val="it-IT"/>
        </w:rPr>
      </w:pPr>
      <w:r>
        <w:rPr>
          <w:rFonts w:cs="Arial"/>
          <w:lang w:val="it-IT"/>
        </w:rPr>
        <w:t>Rileva inoltre che negli ultimi anni le perdite derivanti dal mancato incasso di tasse di giustizia sono ammontate in media a circa 3'300 franchi.</w:t>
      </w:r>
    </w:p>
    <w:p w:rsidR="009B26C9" w:rsidRDefault="009B26C9" w:rsidP="009B26C9">
      <w:pPr>
        <w:rPr>
          <w:rFonts w:cs="Arial"/>
          <w:lang w:val="it-IT"/>
        </w:rPr>
      </w:pPr>
    </w:p>
    <w:tbl>
      <w:tblPr>
        <w:tblW w:w="90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05"/>
        <w:gridCol w:w="1147"/>
        <w:gridCol w:w="1148"/>
        <w:gridCol w:w="1148"/>
        <w:gridCol w:w="1337"/>
        <w:gridCol w:w="1337"/>
      </w:tblGrid>
      <w:tr w:rsidR="009B26C9" w:rsidRPr="00901CFB" w:rsidTr="00BD0F59">
        <w:trPr>
          <w:trHeight w:val="405"/>
        </w:trPr>
        <w:tc>
          <w:tcPr>
            <w:tcW w:w="2905" w:type="dxa"/>
            <w:noWrap/>
            <w:tcMar>
              <w:top w:w="0" w:type="dxa"/>
              <w:left w:w="70" w:type="dxa"/>
              <w:bottom w:w="0" w:type="dxa"/>
              <w:right w:w="70" w:type="dxa"/>
            </w:tcMar>
            <w:vAlign w:val="bottom"/>
            <w:hideMark/>
          </w:tcPr>
          <w:p w:rsidR="009B26C9" w:rsidRPr="00901CFB" w:rsidRDefault="009B26C9" w:rsidP="00BD0F59">
            <w:pPr>
              <w:spacing w:line="276" w:lineRule="auto"/>
              <w:rPr>
                <w:rFonts w:eastAsia="Times New Roman" w:cs="Arial"/>
                <w:sz w:val="22"/>
                <w:lang w:eastAsia="it-CH"/>
              </w:rPr>
            </w:pPr>
            <w:r w:rsidRPr="00901CFB">
              <w:rPr>
                <w:rFonts w:eastAsia="Times New Roman" w:cs="Arial"/>
                <w:b/>
                <w:bCs/>
                <w:i/>
                <w:iCs/>
                <w:sz w:val="22"/>
                <w:lang w:eastAsia="it-CH"/>
              </w:rPr>
              <w:t>Ufficio giudiziario</w:t>
            </w:r>
          </w:p>
        </w:tc>
        <w:tc>
          <w:tcPr>
            <w:tcW w:w="1147"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2017</w:t>
            </w:r>
          </w:p>
        </w:tc>
        <w:tc>
          <w:tcPr>
            <w:tcW w:w="1148"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2016</w:t>
            </w:r>
          </w:p>
        </w:tc>
        <w:tc>
          <w:tcPr>
            <w:tcW w:w="1148"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2015</w:t>
            </w:r>
          </w:p>
        </w:tc>
        <w:tc>
          <w:tcPr>
            <w:tcW w:w="1337"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2014</w:t>
            </w:r>
          </w:p>
        </w:tc>
        <w:tc>
          <w:tcPr>
            <w:tcW w:w="1337"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b/>
                <w:bCs/>
                <w:sz w:val="22"/>
                <w:lang w:eastAsia="it-CH"/>
              </w:rPr>
              <w:t>2013</w:t>
            </w:r>
          </w:p>
        </w:tc>
      </w:tr>
      <w:tr w:rsidR="009B26C9" w:rsidRPr="00901CFB" w:rsidTr="00BD0F59">
        <w:trPr>
          <w:trHeight w:val="405"/>
        </w:trPr>
        <w:tc>
          <w:tcPr>
            <w:tcW w:w="2905" w:type="dxa"/>
            <w:noWrap/>
            <w:tcMar>
              <w:top w:w="0" w:type="dxa"/>
              <w:left w:w="70" w:type="dxa"/>
              <w:bottom w:w="0" w:type="dxa"/>
              <w:right w:w="70" w:type="dxa"/>
            </w:tcMar>
            <w:vAlign w:val="bottom"/>
            <w:hideMark/>
          </w:tcPr>
          <w:p w:rsidR="009B26C9" w:rsidRPr="00901CFB" w:rsidRDefault="009B26C9" w:rsidP="00BD0F59">
            <w:pPr>
              <w:rPr>
                <w:rFonts w:eastAsia="Times New Roman" w:cs="Arial"/>
                <w:sz w:val="22"/>
                <w:lang w:eastAsia="it-CH"/>
              </w:rPr>
            </w:pPr>
            <w:r w:rsidRPr="00901CFB">
              <w:rPr>
                <w:rFonts w:eastAsia="Times New Roman" w:cs="Arial"/>
                <w:b/>
                <w:bCs/>
                <w:sz w:val="22"/>
                <w:lang w:eastAsia="it-CH"/>
              </w:rPr>
              <w:t>Camera di diritto tributario</w:t>
            </w:r>
          </w:p>
        </w:tc>
        <w:tc>
          <w:tcPr>
            <w:tcW w:w="1147"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1'690.00</w:t>
            </w:r>
          </w:p>
        </w:tc>
        <w:tc>
          <w:tcPr>
            <w:tcW w:w="1148"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3'080.00</w:t>
            </w:r>
          </w:p>
        </w:tc>
        <w:tc>
          <w:tcPr>
            <w:tcW w:w="1148"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4'135.00</w:t>
            </w:r>
          </w:p>
        </w:tc>
        <w:tc>
          <w:tcPr>
            <w:tcW w:w="1337"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6'980.00</w:t>
            </w:r>
          </w:p>
        </w:tc>
        <w:tc>
          <w:tcPr>
            <w:tcW w:w="1337" w:type="dxa"/>
            <w:noWrap/>
            <w:tcMar>
              <w:top w:w="0" w:type="dxa"/>
              <w:left w:w="70" w:type="dxa"/>
              <w:bottom w:w="0" w:type="dxa"/>
              <w:right w:w="70" w:type="dxa"/>
            </w:tcMar>
            <w:vAlign w:val="bottom"/>
            <w:hideMark/>
          </w:tcPr>
          <w:p w:rsidR="009B26C9" w:rsidRPr="00901CFB" w:rsidRDefault="009B26C9" w:rsidP="00BD0F59">
            <w:pPr>
              <w:spacing w:line="276" w:lineRule="auto"/>
              <w:jc w:val="center"/>
              <w:rPr>
                <w:rFonts w:eastAsia="Times New Roman" w:cs="Arial"/>
                <w:sz w:val="22"/>
                <w:lang w:eastAsia="it-CH"/>
              </w:rPr>
            </w:pPr>
            <w:r w:rsidRPr="00901CFB">
              <w:rPr>
                <w:rFonts w:eastAsia="Times New Roman" w:cs="Arial"/>
                <w:sz w:val="22"/>
                <w:lang w:eastAsia="it-CH"/>
              </w:rPr>
              <w:t>860.00</w:t>
            </w:r>
          </w:p>
        </w:tc>
      </w:tr>
    </w:tbl>
    <w:p w:rsidR="009B26C9" w:rsidRDefault="009B26C9" w:rsidP="009B26C9">
      <w:pPr>
        <w:rPr>
          <w:rFonts w:cs="Arial"/>
          <w:lang w:val="it-IT"/>
        </w:rPr>
      </w:pPr>
    </w:p>
    <w:p w:rsidR="009B26C9" w:rsidRDefault="009B26C9" w:rsidP="009B26C9">
      <w:pPr>
        <w:rPr>
          <w:rFonts w:cs="Arial"/>
          <w:lang w:val="it-IT"/>
        </w:rPr>
      </w:pPr>
    </w:p>
    <w:p w:rsidR="009B26C9" w:rsidRPr="00077811" w:rsidRDefault="009B26C9" w:rsidP="009B26C9">
      <w:pPr>
        <w:widowControl w:val="0"/>
        <w:autoSpaceDE w:val="0"/>
        <w:autoSpaceDN w:val="0"/>
        <w:adjustRightInd w:val="0"/>
        <w:spacing w:after="120"/>
        <w:ind w:left="425" w:hanging="425"/>
        <w:rPr>
          <w:rFonts w:cs="Arial"/>
          <w:b/>
          <w:lang w:val="it-IT"/>
        </w:rPr>
      </w:pPr>
      <w:r w:rsidRPr="00077811">
        <w:rPr>
          <w:rFonts w:cs="Arial"/>
          <w:b/>
          <w:lang w:val="it-IT"/>
        </w:rPr>
        <w:t>5.</w:t>
      </w:r>
      <w:r w:rsidRPr="00077811">
        <w:rPr>
          <w:rFonts w:cs="Arial"/>
          <w:b/>
          <w:lang w:val="it-IT"/>
        </w:rPr>
        <w:tab/>
        <w:t>Legge sulla procedura amministrativa (</w:t>
      </w:r>
      <w:proofErr w:type="spellStart"/>
      <w:r w:rsidRPr="00077811">
        <w:rPr>
          <w:rFonts w:cs="Arial"/>
          <w:b/>
          <w:lang w:val="it-IT"/>
        </w:rPr>
        <w:t>LPAmm</w:t>
      </w:r>
      <w:proofErr w:type="spellEnd"/>
      <w:r w:rsidRPr="00077811">
        <w:rPr>
          <w:rFonts w:cs="Arial"/>
          <w:b/>
          <w:lang w:val="it-IT"/>
        </w:rPr>
        <w:t xml:space="preserve">) </w:t>
      </w:r>
      <w:r w:rsidRPr="00077811">
        <w:rPr>
          <w:rFonts w:cs="Arial"/>
          <w:b/>
        </w:rPr>
        <w:t>del 24 settembre 2013</w:t>
      </w:r>
      <w:r w:rsidRPr="00077811">
        <w:rPr>
          <w:rFonts w:cs="Arial"/>
          <w:b/>
          <w:lang w:val="it-IT"/>
        </w:rPr>
        <w:t xml:space="preserve"> (RL 3.3.1.1)</w:t>
      </w:r>
    </w:p>
    <w:p w:rsidR="009B26C9" w:rsidRDefault="009B26C9" w:rsidP="009B26C9">
      <w:pPr>
        <w:rPr>
          <w:rFonts w:cs="Arial"/>
          <w:lang w:val="it-IT"/>
        </w:rPr>
      </w:pPr>
      <w:r w:rsidRPr="00D32FB2">
        <w:rPr>
          <w:rFonts w:cs="Arial"/>
          <w:lang w:val="it-IT"/>
        </w:rPr>
        <w:t>Il Consiglio di Stato non ha spiegato per quale motivo si opponga all</w:t>
      </w:r>
      <w:r>
        <w:rPr>
          <w:rFonts w:cs="Arial"/>
          <w:lang w:val="it-IT"/>
        </w:rPr>
        <w:t>'</w:t>
      </w:r>
      <w:r w:rsidRPr="00D32FB2">
        <w:rPr>
          <w:rFonts w:cs="Arial"/>
          <w:lang w:val="it-IT"/>
        </w:rPr>
        <w:t>introduzione di un doppio termine per il pagamento degli anticipi, analogamente a quanto previsto dal diritto civile</w:t>
      </w:r>
      <w:r>
        <w:rPr>
          <w:rFonts w:cs="Arial"/>
          <w:lang w:val="it-IT"/>
        </w:rPr>
        <w:t xml:space="preserve">, limitandosi ad indicare che </w:t>
      </w:r>
      <w:r>
        <w:rPr>
          <w:rFonts w:cs="Arial"/>
        </w:rPr>
        <w:t xml:space="preserve">non la </w:t>
      </w:r>
      <w:r>
        <w:rPr>
          <w:rFonts w:cs="Arial"/>
          <w:i/>
        </w:rPr>
        <w:t>«</w:t>
      </w:r>
      <w:r w:rsidRPr="009B3EF0">
        <w:rPr>
          <w:rFonts w:cs="Arial"/>
          <w:i/>
        </w:rPr>
        <w:t>ritiene opportuna</w:t>
      </w:r>
      <w:r>
        <w:rPr>
          <w:rFonts w:cs="Arial"/>
          <w:i/>
        </w:rPr>
        <w:t>»</w:t>
      </w:r>
      <w:r w:rsidRPr="00D32FB2">
        <w:rPr>
          <w:rFonts w:cs="Arial"/>
          <w:lang w:val="it-IT"/>
        </w:rPr>
        <w:t>.</w:t>
      </w:r>
    </w:p>
    <w:p w:rsidR="009B26C9" w:rsidRDefault="009B26C9" w:rsidP="009B26C9">
      <w:pPr>
        <w:rPr>
          <w:rFonts w:cs="Arial"/>
          <w:lang w:val="it-IT"/>
        </w:rPr>
      </w:pPr>
    </w:p>
    <w:p w:rsidR="009B26C9" w:rsidRDefault="009B26C9" w:rsidP="009B26C9">
      <w:pPr>
        <w:rPr>
          <w:rFonts w:cs="Arial"/>
          <w:lang w:val="it-IT"/>
        </w:rPr>
      </w:pPr>
      <w:r>
        <w:rPr>
          <w:rFonts w:cs="Arial"/>
          <w:lang w:val="it-IT"/>
        </w:rPr>
        <w:lastRenderedPageBreak/>
        <w:t xml:space="preserve">La Commissione, considerato che la </w:t>
      </w:r>
      <w:proofErr w:type="spellStart"/>
      <w:r>
        <w:rPr>
          <w:rFonts w:cs="Arial"/>
          <w:lang w:val="it-IT"/>
        </w:rPr>
        <w:t>LPamm</w:t>
      </w:r>
      <w:proofErr w:type="spellEnd"/>
      <w:r>
        <w:rPr>
          <w:rFonts w:cs="Arial"/>
          <w:lang w:val="it-IT"/>
        </w:rPr>
        <w:t xml:space="preserve"> – nella sua versione attuale – è entrata in vigore il 1° marzo 2014 e – a conoscenza della Commissione – non sono stati segnalati problemi particolari con riferimento all'attuale regime di richiesta dell'anticipo, ritiene preferibile mantenere l'attuale impostazione, rilevando tra l'altro che i termini possono comunque essere prorogati su richiesta di una parte.</w:t>
      </w:r>
    </w:p>
    <w:p w:rsidR="009B26C9" w:rsidRDefault="009B26C9" w:rsidP="009B26C9">
      <w:pPr>
        <w:rPr>
          <w:rFonts w:cs="Arial"/>
          <w:lang w:val="it-IT"/>
        </w:rPr>
      </w:pPr>
    </w:p>
    <w:p w:rsidR="009B26C9" w:rsidRDefault="009B26C9" w:rsidP="009B26C9">
      <w:pPr>
        <w:rPr>
          <w:rFonts w:cs="Arial"/>
          <w:lang w:val="it-IT"/>
        </w:rPr>
      </w:pPr>
      <w:r>
        <w:rPr>
          <w:rFonts w:cs="Arial"/>
          <w:lang w:val="it-IT"/>
        </w:rPr>
        <w:t>Il TRAM – sentito dalla scrivente Commissione – ha pure indicato che le procedure considerate irricevibili per mancato pagamento degli anticipi sono rarissime, ritenuto che oltre alla proroga del termine viene pure concessa la possibilità di pagare ratealmente gli anticipi.</w:t>
      </w:r>
    </w:p>
    <w:p w:rsidR="009B26C9" w:rsidRDefault="009B26C9" w:rsidP="009B26C9">
      <w:pPr>
        <w:rPr>
          <w:rFonts w:cs="Arial"/>
          <w:lang w:val="it-IT"/>
        </w:rPr>
      </w:pPr>
    </w:p>
    <w:p w:rsidR="009B26C9" w:rsidRDefault="009B26C9" w:rsidP="009B26C9">
      <w:pPr>
        <w:rPr>
          <w:rFonts w:cs="Arial"/>
          <w:lang w:val="it-IT"/>
        </w:rPr>
      </w:pPr>
      <w:r>
        <w:rPr>
          <w:rFonts w:cs="Arial"/>
          <w:lang w:val="it-IT"/>
        </w:rPr>
        <w:t>L'assenza di un termine suppletorio in materia di anticipo è peraltro prevista anche dalla Legge federale sulla procedura amministrativa (art. 63 cpv. 4 PA).</w:t>
      </w:r>
    </w:p>
    <w:p w:rsidR="009B26C9" w:rsidRDefault="009B26C9" w:rsidP="009B26C9">
      <w:pPr>
        <w:rPr>
          <w:rFonts w:cs="Arial"/>
          <w:lang w:val="it-IT"/>
        </w:rPr>
      </w:pPr>
    </w:p>
    <w:p w:rsidR="009B26C9" w:rsidRDefault="009B26C9" w:rsidP="009B26C9">
      <w:pPr>
        <w:rPr>
          <w:rFonts w:cs="Arial"/>
          <w:lang w:val="it-IT"/>
        </w:rPr>
      </w:pPr>
      <w:r>
        <w:rPr>
          <w:rFonts w:cs="Arial"/>
          <w:lang w:val="it-IT"/>
        </w:rPr>
        <w:t>Inoltre l'introduzione del termine suppletorio potrebbe comportare una possibile dilazione (anche pretestuosa) dei tempi della procedura di ricorso, che di regola ha effetto sospensivo, e obbligherebbe il Tribunale cantonale amministrativo e il servizio contabilità del Tribunale d'appello a incombenze decisionali/amministrative supplementari in un contesto già attualmente delicato dal profilo delle procedure pendenti.</w:t>
      </w:r>
    </w:p>
    <w:p w:rsidR="009B26C9" w:rsidRDefault="009B26C9" w:rsidP="009B26C9">
      <w:pPr>
        <w:rPr>
          <w:rFonts w:cs="Arial"/>
          <w:lang w:val="it-IT"/>
        </w:rPr>
      </w:pPr>
    </w:p>
    <w:p w:rsidR="009B26C9" w:rsidRDefault="009B26C9" w:rsidP="009B26C9">
      <w:pPr>
        <w:rPr>
          <w:rFonts w:cs="Arial"/>
          <w:lang w:val="it-IT"/>
        </w:rPr>
      </w:pPr>
      <w:r>
        <w:rPr>
          <w:rFonts w:cs="Arial"/>
          <w:lang w:val="it-IT"/>
        </w:rPr>
        <w:t xml:space="preserve">Per quanto riguarda la proposta di nuovo art. 49a </w:t>
      </w:r>
      <w:proofErr w:type="spellStart"/>
      <w:r>
        <w:rPr>
          <w:rFonts w:cs="Arial"/>
          <w:lang w:val="it-IT"/>
        </w:rPr>
        <w:t>LPAmm</w:t>
      </w:r>
      <w:proofErr w:type="spellEnd"/>
      <w:r>
        <w:rPr>
          <w:rFonts w:cs="Arial"/>
          <w:lang w:val="it-IT"/>
        </w:rPr>
        <w:t xml:space="preserve"> la commissione fa proprio il rilievo del TRAM secondo cui tale norma potrebbe ostacolare l'accesso alla giustizia, dato che il cittadino ricorrente correrebbe il rischio di doversi sobbarcare in ogni caso i costi del procedimento, dato che la norma ribalta sul ricorrente (ancorché vittorioso) il rischio di recuperare presso l'altra parte (soccombente) il rimborso degli anticipi prestati.</w:t>
      </w:r>
    </w:p>
    <w:p w:rsidR="009B26C9" w:rsidRPr="00930C87" w:rsidRDefault="009B26C9" w:rsidP="009B26C9">
      <w:pPr>
        <w:rPr>
          <w:rFonts w:cs="Arial"/>
          <w:lang w:val="it-IT"/>
        </w:rPr>
      </w:pPr>
    </w:p>
    <w:p w:rsidR="009B26C9" w:rsidRPr="00930C87" w:rsidRDefault="009B26C9" w:rsidP="009B26C9">
      <w:pPr>
        <w:rPr>
          <w:rFonts w:cs="Arial"/>
          <w:lang w:val="it-IT"/>
        </w:rPr>
      </w:pPr>
    </w:p>
    <w:p w:rsidR="009B26C9" w:rsidRPr="00077811" w:rsidRDefault="009B26C9" w:rsidP="009B26C9">
      <w:pPr>
        <w:widowControl w:val="0"/>
        <w:autoSpaceDE w:val="0"/>
        <w:autoSpaceDN w:val="0"/>
        <w:adjustRightInd w:val="0"/>
        <w:spacing w:after="120"/>
        <w:ind w:left="425" w:hanging="425"/>
        <w:rPr>
          <w:rFonts w:cs="Arial"/>
          <w:b/>
          <w:lang w:val="it-IT"/>
        </w:rPr>
      </w:pPr>
      <w:r w:rsidRPr="00077811">
        <w:rPr>
          <w:rFonts w:cs="Arial"/>
          <w:b/>
          <w:lang w:val="it-IT"/>
        </w:rPr>
        <w:t>6.</w:t>
      </w:r>
      <w:r w:rsidRPr="00077811">
        <w:rPr>
          <w:rFonts w:cs="Arial"/>
          <w:b/>
          <w:lang w:val="it-IT"/>
        </w:rPr>
        <w:tab/>
        <w:t>Considerazioni finali</w:t>
      </w:r>
    </w:p>
    <w:p w:rsidR="009B26C9" w:rsidRDefault="009B26C9" w:rsidP="009B26C9">
      <w:pPr>
        <w:rPr>
          <w:rFonts w:cs="Arial"/>
        </w:rPr>
      </w:pPr>
      <w:r w:rsidRPr="00077811">
        <w:rPr>
          <w:rFonts w:cs="Arial"/>
        </w:rPr>
        <w:t>La Commissione</w:t>
      </w:r>
      <w:r>
        <w:rPr>
          <w:rFonts w:cs="Arial"/>
        </w:rPr>
        <w:t>, oltre a condividere le considerazioni di natura giuridica e politica espresse dal Consiglio di Stato,</w:t>
      </w:r>
      <w:r w:rsidRPr="00077811">
        <w:rPr>
          <w:rFonts w:cs="Arial"/>
        </w:rPr>
        <w:t xml:space="preserve"> rileva</w:t>
      </w:r>
      <w:r>
        <w:rPr>
          <w:rFonts w:cs="Arial"/>
        </w:rPr>
        <w:t xml:space="preserve"> come il mancato incasso di tasse giudiziarie sia tutto sommato modesto e sotto controllo (tenuto conto delle particolarità delle situazioni con cui vengono confrontati taluni uffici giudiziari), sia in termini assoluti (poco più di 30'000 franchi l'anno), sia in termini relativi (viene incassato circa l'89% dell'emesso).</w:t>
      </w:r>
    </w:p>
    <w:p w:rsidR="009B26C9" w:rsidRDefault="009B26C9" w:rsidP="009B26C9">
      <w:pPr>
        <w:rPr>
          <w:rFonts w:cs="Arial"/>
        </w:rPr>
      </w:pPr>
    </w:p>
    <w:p w:rsidR="009B26C9" w:rsidRPr="00077811" w:rsidRDefault="009B26C9" w:rsidP="009B26C9">
      <w:pPr>
        <w:rPr>
          <w:rFonts w:cs="Arial"/>
        </w:rPr>
      </w:pPr>
      <w:r>
        <w:rPr>
          <w:rFonts w:cs="Arial"/>
        </w:rPr>
        <w:t>Gli ambiti toccati dall'iniziativa, peraltro, si riferiscono a uffici giudiziari che</w:t>
      </w:r>
      <w:r w:rsidRPr="009B3EF0">
        <w:t xml:space="preserve"> </w:t>
      </w:r>
      <w:r w:rsidRPr="009B3EF0">
        <w:rPr>
          <w:rFonts w:cs="Arial"/>
        </w:rPr>
        <w:t xml:space="preserve">rappresentano una parte </w:t>
      </w:r>
      <w:r>
        <w:rPr>
          <w:rFonts w:cs="Arial"/>
        </w:rPr>
        <w:t>relativamente</w:t>
      </w:r>
      <w:r w:rsidRPr="009B3EF0">
        <w:rPr>
          <w:rFonts w:cs="Arial"/>
        </w:rPr>
        <w:t xml:space="preserve"> contenuta</w:t>
      </w:r>
      <w:r>
        <w:rPr>
          <w:rFonts w:cs="Arial"/>
        </w:rPr>
        <w:t xml:space="preserve"> dei mancati incassi di tasse e spese giudiziarie, i quali, </w:t>
      </w:r>
      <w:r w:rsidRPr="00864159">
        <w:rPr>
          <w:rFonts w:cs="Arial"/>
        </w:rPr>
        <w:t xml:space="preserve">al 31 dicembre 2015 </w:t>
      </w:r>
      <w:r>
        <w:rPr>
          <w:rFonts w:cs="Arial"/>
        </w:rPr>
        <w:t>ammontavano a 1'</w:t>
      </w:r>
      <w:r w:rsidRPr="00864159">
        <w:rPr>
          <w:rFonts w:cs="Arial"/>
        </w:rPr>
        <w:t>327</w:t>
      </w:r>
      <w:r>
        <w:rPr>
          <w:rFonts w:cs="Arial"/>
        </w:rPr>
        <w:t>'</w:t>
      </w:r>
      <w:r w:rsidRPr="00864159">
        <w:rPr>
          <w:rFonts w:cs="Arial"/>
        </w:rPr>
        <w:t>404</w:t>
      </w:r>
      <w:r>
        <w:rPr>
          <w:rFonts w:cs="Arial"/>
        </w:rPr>
        <w:t xml:space="preserve"> franchi, perlopiù riconducibili al settore penale, nel quale</w:t>
      </w:r>
      <w:r w:rsidRPr="00864159">
        <w:rPr>
          <w:rFonts w:cs="Arial"/>
        </w:rPr>
        <w:t xml:space="preserve"> il recupero è praticamente limitato ai casi in cui vi sono importi depositati relativi a cauzioni o sequestri confiscati a favore di tasse e spese</w:t>
      </w:r>
      <w:r>
        <w:rPr>
          <w:rFonts w:cs="Arial"/>
        </w:rPr>
        <w:t xml:space="preserve"> (cfr. la risposta del Consiglio di Stato all'</w:t>
      </w:r>
      <w:r w:rsidRPr="009B3EF0">
        <w:rPr>
          <w:rFonts w:cs="Arial"/>
        </w:rPr>
        <w:t xml:space="preserve">Interrogazione </w:t>
      </w:r>
      <w:r>
        <w:rPr>
          <w:rFonts w:cs="Arial"/>
        </w:rPr>
        <w:t xml:space="preserve">del </w:t>
      </w:r>
      <w:r w:rsidRPr="009B3EF0">
        <w:rPr>
          <w:rFonts w:cs="Arial"/>
        </w:rPr>
        <w:t>7 novembre 2016 n. 178.16</w:t>
      </w:r>
      <w:r>
        <w:rPr>
          <w:rFonts w:cs="Arial"/>
        </w:rPr>
        <w:t xml:space="preserve"> presentata dalla deputata Lara Filippini e cofirmatari).</w:t>
      </w:r>
    </w:p>
    <w:p w:rsidR="009B26C9" w:rsidRDefault="009B26C9" w:rsidP="009B26C9">
      <w:pPr>
        <w:rPr>
          <w:rFonts w:cs="Arial"/>
        </w:rPr>
      </w:pPr>
    </w:p>
    <w:p w:rsidR="009B26C9" w:rsidRDefault="009B26C9" w:rsidP="009B26C9">
      <w:pPr>
        <w:rPr>
          <w:rFonts w:cs="Arial"/>
        </w:rPr>
      </w:pPr>
      <w:r w:rsidRPr="00864159">
        <w:rPr>
          <w:rFonts w:cs="Arial"/>
        </w:rPr>
        <w:t>L</w:t>
      </w:r>
      <w:r>
        <w:rPr>
          <w:rFonts w:cs="Arial"/>
        </w:rPr>
        <w:t>'</w:t>
      </w:r>
      <w:r w:rsidRPr="00864159">
        <w:rPr>
          <w:rFonts w:cs="Arial"/>
        </w:rPr>
        <w:t>importo oggetto della presente iniziativa è ancora più contenuto se confrontato con gli importi non recup</w:t>
      </w:r>
      <w:r>
        <w:rPr>
          <w:rFonts w:cs="Arial"/>
        </w:rPr>
        <w:t>erati</w:t>
      </w:r>
      <w:r w:rsidRPr="00864159">
        <w:rPr>
          <w:rFonts w:cs="Arial"/>
        </w:rPr>
        <w:t xml:space="preserve"> in relazione alle difese d</w:t>
      </w:r>
      <w:r>
        <w:rPr>
          <w:rFonts w:cs="Arial"/>
        </w:rPr>
        <w:t>'</w:t>
      </w:r>
      <w:r w:rsidRPr="00864159">
        <w:rPr>
          <w:rFonts w:cs="Arial"/>
        </w:rPr>
        <w:t>ufficio e di gratuito patrocinio, pari al 31 dicembre 2015 a 22</w:t>
      </w:r>
      <w:r>
        <w:rPr>
          <w:rFonts w:cs="Arial"/>
        </w:rPr>
        <w:t>'</w:t>
      </w:r>
      <w:r w:rsidRPr="00864159">
        <w:rPr>
          <w:rFonts w:cs="Arial"/>
        </w:rPr>
        <w:t>642</w:t>
      </w:r>
      <w:r>
        <w:rPr>
          <w:rFonts w:cs="Arial"/>
        </w:rPr>
        <w:t>'</w:t>
      </w:r>
      <w:r w:rsidRPr="00864159">
        <w:rPr>
          <w:rFonts w:cs="Arial"/>
        </w:rPr>
        <w:t>590</w:t>
      </w:r>
      <w:r>
        <w:rPr>
          <w:rFonts w:cs="Arial"/>
        </w:rPr>
        <w:t xml:space="preserve"> franchi</w:t>
      </w:r>
      <w:r w:rsidRPr="00864159">
        <w:rPr>
          <w:rFonts w:cs="Arial"/>
        </w:rPr>
        <w:t>, recuperato solo in minima parte (4%</w:t>
      </w:r>
      <w:r>
        <w:rPr>
          <w:rFonts w:cs="Arial"/>
        </w:rPr>
        <w:t xml:space="preserve"> circa</w:t>
      </w:r>
      <w:r w:rsidRPr="00864159">
        <w:rPr>
          <w:rFonts w:cs="Arial"/>
        </w:rPr>
        <w:t>) nell</w:t>
      </w:r>
      <w:r>
        <w:rPr>
          <w:rFonts w:cs="Arial"/>
        </w:rPr>
        <w:t>'</w:t>
      </w:r>
      <w:r w:rsidRPr="00864159">
        <w:rPr>
          <w:rFonts w:cs="Arial"/>
        </w:rPr>
        <w:t xml:space="preserve">ambito di </w:t>
      </w:r>
      <w:r>
        <w:rPr>
          <w:rFonts w:cs="Arial"/>
        </w:rPr>
        <w:t>richieste motivate dal ritorno</w:t>
      </w:r>
      <w:r w:rsidRPr="00864159">
        <w:rPr>
          <w:rFonts w:cs="Arial"/>
        </w:rPr>
        <w:t xml:space="preserve"> a miglior fortuna delle persone beneficiarie (cfr. la risposta del Consiglio di Stato all</w:t>
      </w:r>
      <w:r>
        <w:rPr>
          <w:rFonts w:cs="Arial"/>
        </w:rPr>
        <w:t>'</w:t>
      </w:r>
      <w:r w:rsidRPr="00864159">
        <w:rPr>
          <w:rFonts w:cs="Arial"/>
        </w:rPr>
        <w:t>Interrogazione 7 novembre 2016 n. 178.16 della deputata Lara Filippini e cofirmatari).</w:t>
      </w:r>
    </w:p>
    <w:p w:rsidR="009B26C9" w:rsidRDefault="009B26C9" w:rsidP="009B26C9">
      <w:pPr>
        <w:rPr>
          <w:rFonts w:cs="Arial"/>
        </w:rPr>
      </w:pPr>
    </w:p>
    <w:p w:rsidR="009B26C9" w:rsidRPr="00864159" w:rsidRDefault="009B26C9" w:rsidP="009B26C9">
      <w:pPr>
        <w:rPr>
          <w:rFonts w:cs="Arial"/>
        </w:rPr>
      </w:pPr>
      <w:r>
        <w:rPr>
          <w:rFonts w:cs="Arial"/>
        </w:rPr>
        <w:t xml:space="preserve">In questo ambito la Commissione non può che esortare il Consiglio di Stato a proseguire negli sforzi intrapresi per il recupero di tasse e spese sostenute dallo Stato, se queste, </w:t>
      </w:r>
      <w:r>
        <w:rPr>
          <w:rFonts w:cs="Arial"/>
        </w:rPr>
        <w:lastRenderedPageBreak/>
        <w:t>tenuto conto dei principi costituzionali di uguaglianza e di accesso alla giustizia, possono essere pretese da chi le ha causate o ne ha beneficiato.</w:t>
      </w:r>
    </w:p>
    <w:p w:rsidR="009B26C9" w:rsidRDefault="009B26C9" w:rsidP="009B26C9">
      <w:pPr>
        <w:rPr>
          <w:rFonts w:cs="Arial"/>
        </w:rPr>
      </w:pPr>
    </w:p>
    <w:p w:rsidR="0062179D" w:rsidRDefault="0062179D" w:rsidP="009B26C9">
      <w:pPr>
        <w:rPr>
          <w:rFonts w:cs="Arial"/>
        </w:rPr>
      </w:pPr>
    </w:p>
    <w:p w:rsidR="009B26C9" w:rsidRPr="007517C8" w:rsidRDefault="009B26C9" w:rsidP="009B26C9">
      <w:pPr>
        <w:rPr>
          <w:rFonts w:cs="Arial"/>
        </w:rPr>
      </w:pPr>
    </w:p>
    <w:p w:rsidR="009B26C9" w:rsidRPr="003727CB" w:rsidRDefault="009B26C9" w:rsidP="009B26C9">
      <w:pPr>
        <w:tabs>
          <w:tab w:val="left" w:pos="426"/>
        </w:tabs>
        <w:spacing w:after="160"/>
        <w:ind w:left="426" w:right="-1" w:hanging="426"/>
        <w:rPr>
          <w:rFonts w:cs="Arial"/>
          <w:b/>
        </w:rPr>
      </w:pPr>
      <w:r w:rsidRPr="003727CB">
        <w:rPr>
          <w:rFonts w:cs="Arial"/>
          <w:b/>
        </w:rPr>
        <w:t>IV.</w:t>
      </w:r>
      <w:r w:rsidRPr="003727CB">
        <w:rPr>
          <w:rFonts w:cs="Arial"/>
          <w:b/>
        </w:rPr>
        <w:tab/>
        <w:t>CONCLUSIONI</w:t>
      </w:r>
    </w:p>
    <w:p w:rsidR="009B26C9" w:rsidRPr="00EF75B2" w:rsidRDefault="009B26C9" w:rsidP="009B26C9">
      <w:pPr>
        <w:tabs>
          <w:tab w:val="left" w:pos="284"/>
          <w:tab w:val="left" w:pos="426"/>
          <w:tab w:val="left" w:pos="4962"/>
        </w:tabs>
        <w:rPr>
          <w:rFonts w:cs="Arial"/>
        </w:rPr>
      </w:pPr>
      <w:r w:rsidRPr="00287C78">
        <w:rPr>
          <w:rFonts w:cs="Arial"/>
        </w:rPr>
        <w:t>Per i</w:t>
      </w:r>
      <w:r>
        <w:rPr>
          <w:rFonts w:cs="Arial"/>
        </w:rPr>
        <w:t xml:space="preserve"> suddetti</w:t>
      </w:r>
      <w:r w:rsidRPr="00287C78">
        <w:rPr>
          <w:rFonts w:cs="Arial"/>
        </w:rPr>
        <w:t xml:space="preserve"> motivi, </w:t>
      </w:r>
      <w:r>
        <w:rPr>
          <w:rFonts w:cs="Arial"/>
        </w:rPr>
        <w:t xml:space="preserve">la </w:t>
      </w:r>
      <w:r w:rsidRPr="0062179D">
        <w:rPr>
          <w:rFonts w:cs="Arial"/>
        </w:rPr>
        <w:t>maggioranza</w:t>
      </w:r>
      <w:r w:rsidRPr="0079541D">
        <w:rPr>
          <w:rFonts w:cs="Arial"/>
        </w:rPr>
        <w:t xml:space="preserve"> della Commissione</w:t>
      </w:r>
      <w:r>
        <w:rPr>
          <w:rFonts w:cs="Arial"/>
        </w:rPr>
        <w:t xml:space="preserve"> della legislazione</w:t>
      </w:r>
      <w:r w:rsidRPr="00287C78">
        <w:rPr>
          <w:rFonts w:cs="Arial"/>
        </w:rPr>
        <w:t xml:space="preserve"> invita</w:t>
      </w:r>
      <w:r>
        <w:rPr>
          <w:rFonts w:cs="Arial"/>
        </w:rPr>
        <w:t xml:space="preserve"> il Gran Consiglio</w:t>
      </w:r>
      <w:r w:rsidRPr="00287C78">
        <w:rPr>
          <w:rFonts w:cs="Arial"/>
        </w:rPr>
        <w:t xml:space="preserve"> </w:t>
      </w:r>
      <w:r>
        <w:rPr>
          <w:rFonts w:cs="Arial"/>
        </w:rPr>
        <w:t xml:space="preserve">a non adottare le modifiche di legge proposte dall'iniziativa </w:t>
      </w:r>
      <w:r w:rsidRPr="00EF75B2">
        <w:rPr>
          <w:rFonts w:cs="Arial"/>
        </w:rPr>
        <w:t>presentata nella forma elaborata da Lara Filippini, Andrea Giudici e cofirmatari per una</w:t>
      </w:r>
      <w:r>
        <w:rPr>
          <w:rFonts w:cs="Arial"/>
        </w:rPr>
        <w:t xml:space="preserve"> </w:t>
      </w:r>
      <w:r w:rsidRPr="00EF75B2">
        <w:rPr>
          <w:rFonts w:cs="Arial"/>
        </w:rPr>
        <w:t>regolamentazione uniforme dell</w:t>
      </w:r>
      <w:r>
        <w:rPr>
          <w:rFonts w:cs="Arial"/>
        </w:rPr>
        <w:t>'</w:t>
      </w:r>
      <w:r w:rsidRPr="00EF75B2">
        <w:rPr>
          <w:rFonts w:cs="Arial"/>
        </w:rPr>
        <w:t>anticipo spese</w:t>
      </w:r>
      <w:r>
        <w:rPr>
          <w:rFonts w:cs="Arial"/>
        </w:rPr>
        <w:t>.</w:t>
      </w:r>
    </w:p>
    <w:p w:rsidR="009B26C9" w:rsidRPr="00287C78" w:rsidRDefault="009B26C9" w:rsidP="009B26C9">
      <w:pPr>
        <w:tabs>
          <w:tab w:val="left" w:pos="284"/>
          <w:tab w:val="left" w:pos="426"/>
          <w:tab w:val="left" w:pos="4962"/>
        </w:tabs>
        <w:rPr>
          <w:rFonts w:cs="Arial"/>
        </w:rPr>
      </w:pPr>
    </w:p>
    <w:p w:rsidR="009B26C9" w:rsidRDefault="009B26C9" w:rsidP="009B26C9">
      <w:pPr>
        <w:tabs>
          <w:tab w:val="left" w:pos="284"/>
          <w:tab w:val="left" w:pos="426"/>
          <w:tab w:val="left" w:pos="4962"/>
        </w:tabs>
        <w:rPr>
          <w:rFonts w:cs="Arial"/>
        </w:rPr>
      </w:pPr>
    </w:p>
    <w:p w:rsidR="009B26C9" w:rsidRPr="00287C78" w:rsidRDefault="009B26C9" w:rsidP="009B26C9">
      <w:pPr>
        <w:tabs>
          <w:tab w:val="left" w:pos="284"/>
          <w:tab w:val="left" w:pos="426"/>
          <w:tab w:val="left" w:pos="4962"/>
        </w:tabs>
        <w:rPr>
          <w:rFonts w:cs="Arial"/>
        </w:rPr>
      </w:pPr>
    </w:p>
    <w:p w:rsidR="009B26C9" w:rsidRPr="0079541D" w:rsidRDefault="009B26C9" w:rsidP="009B26C9">
      <w:pPr>
        <w:tabs>
          <w:tab w:val="left" w:pos="284"/>
          <w:tab w:val="left" w:pos="426"/>
          <w:tab w:val="left" w:pos="4962"/>
        </w:tabs>
        <w:rPr>
          <w:rFonts w:cs="Arial"/>
        </w:rPr>
      </w:pPr>
      <w:r w:rsidRPr="0079541D">
        <w:rPr>
          <w:rFonts w:cs="Arial"/>
        </w:rPr>
        <w:t xml:space="preserve">Per la </w:t>
      </w:r>
      <w:r w:rsidRPr="0062179D">
        <w:rPr>
          <w:rFonts w:cs="Arial"/>
        </w:rPr>
        <w:t>maggioranza</w:t>
      </w:r>
      <w:r w:rsidRPr="0079541D">
        <w:rPr>
          <w:rFonts w:cs="Arial"/>
        </w:rPr>
        <w:t xml:space="preserve"> della Commissione</w:t>
      </w:r>
      <w:r>
        <w:rPr>
          <w:rFonts w:cs="Arial"/>
        </w:rPr>
        <w:t xml:space="preserve"> della legislazione:</w:t>
      </w:r>
    </w:p>
    <w:p w:rsidR="009B26C9" w:rsidRDefault="009B26C9" w:rsidP="009B26C9">
      <w:pPr>
        <w:tabs>
          <w:tab w:val="left" w:pos="284"/>
          <w:tab w:val="left" w:pos="426"/>
          <w:tab w:val="left" w:pos="4962"/>
        </w:tabs>
        <w:spacing w:before="120"/>
        <w:rPr>
          <w:rFonts w:cs="Arial"/>
        </w:rPr>
      </w:pPr>
      <w:r>
        <w:rPr>
          <w:rFonts w:cs="Arial"/>
        </w:rPr>
        <w:t>Maurizio Agustoni</w:t>
      </w:r>
      <w:r w:rsidRPr="0079541D">
        <w:rPr>
          <w:rFonts w:cs="Arial"/>
        </w:rPr>
        <w:t>, relatore</w:t>
      </w:r>
    </w:p>
    <w:p w:rsidR="00700C94" w:rsidRDefault="00042FB5" w:rsidP="00042FB5">
      <w:pPr>
        <w:rPr>
          <w:rFonts w:cs="Arial"/>
        </w:rPr>
      </w:pPr>
      <w:r>
        <w:rPr>
          <w:rFonts w:cs="Arial"/>
        </w:rPr>
        <w:t xml:space="preserve">Corti - Delcò Petralli - Ferrara - </w:t>
      </w:r>
    </w:p>
    <w:p w:rsidR="00042FB5" w:rsidRPr="005E5056" w:rsidRDefault="00042FB5" w:rsidP="00042FB5">
      <w:pPr>
        <w:rPr>
          <w:rFonts w:cs="Arial"/>
        </w:rPr>
      </w:pPr>
      <w:r>
        <w:rPr>
          <w:rFonts w:cs="Arial"/>
        </w:rPr>
        <w:t>Galusero - Gendotti - Ghisolfi - Lepori</w:t>
      </w:r>
    </w:p>
    <w:p w:rsidR="00CB127C" w:rsidRDefault="00CB127C" w:rsidP="00CB127C">
      <w:pPr>
        <w:rPr>
          <w:rFonts w:cs="Arial"/>
        </w:rPr>
      </w:pPr>
    </w:p>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46" w:rsidRDefault="005C6446" w:rsidP="008E77C6">
      <w:r>
        <w:separator/>
      </w:r>
    </w:p>
  </w:endnote>
  <w:endnote w:type="continuationSeparator" w:id="0">
    <w:p w:rsidR="005C6446" w:rsidRDefault="005C644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C52FC" w:rsidRPr="009C52F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46" w:rsidRDefault="005C6446" w:rsidP="008E77C6">
      <w:r>
        <w:separator/>
      </w:r>
    </w:p>
  </w:footnote>
  <w:footnote w:type="continuationSeparator" w:id="0">
    <w:p w:rsidR="005C6446" w:rsidRDefault="005C644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2FB5"/>
    <w:rsid w:val="00076E70"/>
    <w:rsid w:val="000B2940"/>
    <w:rsid w:val="001C7BF9"/>
    <w:rsid w:val="002E5E40"/>
    <w:rsid w:val="003B7935"/>
    <w:rsid w:val="0052425A"/>
    <w:rsid w:val="0057039F"/>
    <w:rsid w:val="00586A8D"/>
    <w:rsid w:val="005C6446"/>
    <w:rsid w:val="005F4380"/>
    <w:rsid w:val="0062179D"/>
    <w:rsid w:val="006D7A3B"/>
    <w:rsid w:val="00700C94"/>
    <w:rsid w:val="007B5462"/>
    <w:rsid w:val="008034BD"/>
    <w:rsid w:val="00876352"/>
    <w:rsid w:val="008B4137"/>
    <w:rsid w:val="008C767A"/>
    <w:rsid w:val="008E77C6"/>
    <w:rsid w:val="009770BB"/>
    <w:rsid w:val="009B26C9"/>
    <w:rsid w:val="009C52FC"/>
    <w:rsid w:val="009E008D"/>
    <w:rsid w:val="00A5465F"/>
    <w:rsid w:val="00A77678"/>
    <w:rsid w:val="00BC4C95"/>
    <w:rsid w:val="00BD5944"/>
    <w:rsid w:val="00CB127C"/>
    <w:rsid w:val="00CF6858"/>
    <w:rsid w:val="00D377B5"/>
    <w:rsid w:val="00D93B31"/>
    <w:rsid w:val="00F242E5"/>
    <w:rsid w:val="00F945C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42F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042F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2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5238-A860-40E1-8866-D33E7C41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2987</Words>
  <Characters>17026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8</cp:revision>
  <cp:lastPrinted>2019-01-09T10:44:00Z</cp:lastPrinted>
  <dcterms:created xsi:type="dcterms:W3CDTF">2018-12-28T10:46:00Z</dcterms:created>
  <dcterms:modified xsi:type="dcterms:W3CDTF">2019-01-09T11:48:00Z</dcterms:modified>
</cp:coreProperties>
</file>