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6D6F07" w:rsidRDefault="006D6F07" w:rsidP="00076E70">
      <w:pPr>
        <w:rPr>
          <w:rFonts w:ascii="Gill Sans MT" w:hAnsi="Gill Sans MT"/>
          <w:b/>
          <w:sz w:val="52"/>
          <w:szCs w:val="52"/>
        </w:rPr>
      </w:pPr>
      <w:bookmarkStart w:id="0" w:name="_GoBack"/>
      <w:r w:rsidRPr="006D6F07">
        <w:rPr>
          <w:rFonts w:ascii="Gill Sans MT" w:hAnsi="Gill Sans MT"/>
          <w:b/>
          <w:sz w:val="52"/>
          <w:szCs w:val="52"/>
        </w:rPr>
        <w:t>Rapporto</w:t>
      </w:r>
    </w:p>
    <w:bookmarkEnd w:id="0"/>
    <w:p w:rsidR="008B4137" w:rsidRDefault="008B4137">
      <w:pPr>
        <w:rPr>
          <w:rFonts w:cs="Arial"/>
          <w:szCs w:val="24"/>
        </w:rPr>
      </w:pPr>
    </w:p>
    <w:p w:rsidR="00533F77" w:rsidRDefault="00533F77">
      <w:pPr>
        <w:rPr>
          <w:rFonts w:cs="Arial"/>
          <w:szCs w:val="24"/>
        </w:rPr>
      </w:pPr>
    </w:p>
    <w:p w:rsidR="00076E70" w:rsidRDefault="00076E70">
      <w:pPr>
        <w:rPr>
          <w:rFonts w:cs="Arial"/>
          <w:szCs w:val="24"/>
        </w:rPr>
      </w:pPr>
    </w:p>
    <w:p w:rsidR="00260C8C" w:rsidRDefault="00925117" w:rsidP="00260C8C">
      <w:pPr>
        <w:tabs>
          <w:tab w:val="left" w:pos="2098"/>
          <w:tab w:val="left" w:pos="4933"/>
        </w:tabs>
        <w:rPr>
          <w:rFonts w:cs="Arial"/>
          <w:szCs w:val="24"/>
        </w:rPr>
      </w:pPr>
      <w:r>
        <w:rPr>
          <w:rFonts w:cs="Arial"/>
          <w:b/>
          <w:sz w:val="32"/>
          <w:szCs w:val="32"/>
        </w:rPr>
        <w:t>7577</w:t>
      </w:r>
      <w:r w:rsidR="00260C8C" w:rsidRPr="008B4137">
        <w:rPr>
          <w:rFonts w:cs="Arial"/>
          <w:b/>
          <w:sz w:val="32"/>
          <w:szCs w:val="32"/>
        </w:rPr>
        <w:t xml:space="preserve"> R</w:t>
      </w:r>
      <w:r w:rsidR="00260C8C" w:rsidRPr="008B4137">
        <w:rPr>
          <w:rFonts w:cs="Arial"/>
          <w:sz w:val="28"/>
          <w:szCs w:val="28"/>
        </w:rPr>
        <w:tab/>
      </w:r>
      <w:r>
        <w:rPr>
          <w:rFonts w:cs="Arial"/>
          <w:sz w:val="28"/>
          <w:szCs w:val="28"/>
        </w:rPr>
        <w:t>5 febbraio 2019</w:t>
      </w:r>
      <w:r w:rsidR="00260C8C" w:rsidRPr="008B4137">
        <w:rPr>
          <w:rFonts w:cs="Arial"/>
          <w:sz w:val="28"/>
          <w:szCs w:val="28"/>
        </w:rPr>
        <w:tab/>
      </w:r>
      <w:r>
        <w:rPr>
          <w:sz w:val="28"/>
        </w:rPr>
        <w:t>FINANZE E ECONOMIA</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AD638B" w:rsidRPr="006967C3" w:rsidRDefault="00AD638B" w:rsidP="00AD638B">
      <w:pPr>
        <w:rPr>
          <w:rFonts w:cs="Arial"/>
          <w:b/>
          <w:sz w:val="28"/>
          <w:szCs w:val="28"/>
        </w:rPr>
      </w:pPr>
      <w:r w:rsidRPr="006967C3">
        <w:rPr>
          <w:rFonts w:cs="Arial"/>
          <w:b/>
          <w:sz w:val="28"/>
          <w:szCs w:val="28"/>
        </w:rPr>
        <w:t>della Commissione speciale energia</w:t>
      </w:r>
    </w:p>
    <w:p w:rsidR="00AD638B" w:rsidRPr="006967C3" w:rsidRDefault="00AD638B" w:rsidP="00AD638B">
      <w:pPr>
        <w:rPr>
          <w:rFonts w:cs="Arial"/>
          <w:b/>
          <w:sz w:val="28"/>
          <w:szCs w:val="28"/>
        </w:rPr>
      </w:pPr>
      <w:r w:rsidRPr="006967C3">
        <w:rPr>
          <w:rFonts w:cs="Arial"/>
          <w:b/>
          <w:sz w:val="28"/>
          <w:szCs w:val="28"/>
        </w:rPr>
        <w:t xml:space="preserve">sul messaggio </w:t>
      </w:r>
      <w:r>
        <w:rPr>
          <w:rFonts w:cs="Arial"/>
          <w:b/>
          <w:sz w:val="28"/>
          <w:szCs w:val="28"/>
        </w:rPr>
        <w:t>12</w:t>
      </w:r>
      <w:r w:rsidRPr="006967C3">
        <w:rPr>
          <w:rFonts w:cs="Arial"/>
          <w:b/>
          <w:sz w:val="28"/>
          <w:szCs w:val="28"/>
        </w:rPr>
        <w:t xml:space="preserve"> settembre 201</w:t>
      </w:r>
      <w:r>
        <w:rPr>
          <w:rFonts w:cs="Arial"/>
          <w:b/>
          <w:sz w:val="28"/>
          <w:szCs w:val="28"/>
        </w:rPr>
        <w:t>8</w:t>
      </w:r>
      <w:r w:rsidRPr="006967C3">
        <w:rPr>
          <w:rFonts w:cs="Arial"/>
          <w:b/>
          <w:sz w:val="28"/>
          <w:szCs w:val="28"/>
        </w:rPr>
        <w:t xml:space="preserve"> concernente l'approvazione del conto annuale per l’esercizio 201</w:t>
      </w:r>
      <w:r>
        <w:rPr>
          <w:rFonts w:cs="Arial"/>
          <w:b/>
          <w:sz w:val="28"/>
          <w:szCs w:val="28"/>
        </w:rPr>
        <w:t>7</w:t>
      </w:r>
      <w:r w:rsidRPr="006967C3">
        <w:rPr>
          <w:rFonts w:cs="Arial"/>
          <w:b/>
          <w:sz w:val="28"/>
          <w:szCs w:val="28"/>
        </w:rPr>
        <w:t xml:space="preserve"> dell'Azienda Elettrica Ticinese, il resoconto sulla vigilanza diretta e il rapporto sul raggiungimento degli obiettivi strategici</w:t>
      </w:r>
    </w:p>
    <w:p w:rsidR="00F97F52" w:rsidRPr="00B3467D" w:rsidRDefault="00F97F52" w:rsidP="00F97F52">
      <w:pPr>
        <w:rPr>
          <w:rFonts w:cs="Arial"/>
          <w:sz w:val="32"/>
          <w:szCs w:val="32"/>
        </w:rPr>
      </w:pPr>
    </w:p>
    <w:p w:rsidR="00F97F52" w:rsidRPr="00B3467D" w:rsidRDefault="00F97F52" w:rsidP="00F97F52">
      <w:pPr>
        <w:pStyle w:val="NormaleWeb"/>
        <w:spacing w:before="0" w:beforeAutospacing="0" w:after="0" w:afterAutospacing="0"/>
        <w:jc w:val="both"/>
        <w:rPr>
          <w:rFonts w:cs="Arial"/>
        </w:rPr>
      </w:pPr>
      <w:r w:rsidRPr="00B3467D">
        <w:rPr>
          <w:rFonts w:ascii="Arial" w:hAnsi="Arial" w:cs="Arial"/>
          <w:b/>
          <w:bCs/>
        </w:rPr>
        <w:t>Allegato: Rapporto della Commissione di controllo del mandato pubblico di AET</w:t>
      </w:r>
      <w:r>
        <w:rPr>
          <w:rFonts w:ascii="Arial" w:hAnsi="Arial" w:cs="Arial"/>
          <w:b/>
          <w:bCs/>
        </w:rPr>
        <w:t xml:space="preserve"> </w:t>
      </w:r>
      <w:r w:rsidRPr="00B3467D">
        <w:rPr>
          <w:rFonts w:ascii="Arial" w:hAnsi="Arial" w:cs="Arial"/>
          <w:b/>
          <w:bCs/>
        </w:rPr>
        <w:t>all’attenzione del Gran Consiglio sul grado di raggiungimento degli obiettivi di mandato pubblico dell’azienda e sugli esiti della vigilanza diretta per l’anno 201</w:t>
      </w:r>
      <w:r>
        <w:rPr>
          <w:rFonts w:ascii="Arial" w:hAnsi="Arial" w:cs="Arial"/>
          <w:b/>
          <w:bCs/>
        </w:rPr>
        <w:t>7</w:t>
      </w:r>
    </w:p>
    <w:p w:rsidR="00AD638B" w:rsidRPr="006967C3" w:rsidRDefault="00AD638B" w:rsidP="00AD638B">
      <w:pPr>
        <w:rPr>
          <w:rFonts w:cs="Arial"/>
          <w:szCs w:val="24"/>
        </w:rPr>
      </w:pPr>
    </w:p>
    <w:p w:rsidR="00AD638B" w:rsidRPr="006967C3" w:rsidRDefault="00AD638B" w:rsidP="00AD638B">
      <w:pPr>
        <w:rPr>
          <w:rFonts w:cs="Arial"/>
          <w:szCs w:val="24"/>
        </w:rPr>
      </w:pPr>
    </w:p>
    <w:p w:rsidR="00AD638B" w:rsidRPr="008A7E75" w:rsidRDefault="00AD638B" w:rsidP="00AD638B">
      <w:pPr>
        <w:rPr>
          <w:rFonts w:cs="Arial"/>
        </w:rPr>
      </w:pPr>
    </w:p>
    <w:p w:rsidR="00533F77" w:rsidRPr="006967C3" w:rsidRDefault="00533F77" w:rsidP="00533F77">
      <w:pPr>
        <w:pStyle w:val="Titolo1"/>
        <w:rPr>
          <w:rFonts w:cs="Arial"/>
        </w:rPr>
      </w:pPr>
      <w:bookmarkStart w:id="1" w:name="_Toc390264053"/>
      <w:bookmarkStart w:id="2" w:name="_Toc353800479"/>
      <w:bookmarkStart w:id="3" w:name="_Toc471834932"/>
      <w:r w:rsidRPr="006967C3">
        <w:rPr>
          <w:rFonts w:cs="Arial"/>
        </w:rPr>
        <w:t>Premessa</w:t>
      </w:r>
      <w:bookmarkEnd w:id="1"/>
      <w:bookmarkEnd w:id="2"/>
      <w:bookmarkEnd w:id="3"/>
    </w:p>
    <w:p w:rsidR="00533F77" w:rsidRDefault="00533F77" w:rsidP="00533F77">
      <w:pPr>
        <w:rPr>
          <w:rFonts w:cs="Arial"/>
          <w:szCs w:val="24"/>
        </w:rPr>
      </w:pPr>
      <w:r>
        <w:rPr>
          <w:rFonts w:cs="Arial"/>
          <w:szCs w:val="24"/>
        </w:rPr>
        <w:t>Con l</w:t>
      </w:r>
      <w:r w:rsidRPr="006967C3">
        <w:rPr>
          <w:rFonts w:cs="Arial"/>
          <w:szCs w:val="24"/>
        </w:rPr>
        <w:t>a nuova Legge sull’Azienda elettrica ticinese del 10 maggio 2016</w:t>
      </w:r>
      <w:r>
        <w:rPr>
          <w:rFonts w:cs="Arial"/>
          <w:szCs w:val="24"/>
        </w:rPr>
        <w:t xml:space="preserve"> sono stati</w:t>
      </w:r>
      <w:r w:rsidRPr="006967C3">
        <w:rPr>
          <w:rFonts w:cs="Arial"/>
          <w:szCs w:val="24"/>
        </w:rPr>
        <w:t xml:space="preserve"> implement</w:t>
      </w:r>
      <w:r>
        <w:rPr>
          <w:rFonts w:cs="Arial"/>
          <w:szCs w:val="24"/>
        </w:rPr>
        <w:t>i</w:t>
      </w:r>
      <w:r w:rsidRPr="006967C3">
        <w:rPr>
          <w:rFonts w:cs="Arial"/>
          <w:szCs w:val="24"/>
        </w:rPr>
        <w:t xml:space="preserve"> per la prima volta i principi moderni del </w:t>
      </w:r>
      <w:r w:rsidRPr="006967C3">
        <w:rPr>
          <w:rFonts w:cs="Arial"/>
          <w:i/>
          <w:szCs w:val="24"/>
        </w:rPr>
        <w:t xml:space="preserve">public corporate </w:t>
      </w:r>
      <w:proofErr w:type="spellStart"/>
      <w:r w:rsidRPr="006967C3">
        <w:rPr>
          <w:rFonts w:cs="Arial"/>
          <w:i/>
          <w:szCs w:val="24"/>
        </w:rPr>
        <w:t>governance</w:t>
      </w:r>
      <w:proofErr w:type="spellEnd"/>
      <w:r>
        <w:rPr>
          <w:rFonts w:cs="Arial"/>
          <w:szCs w:val="24"/>
        </w:rPr>
        <w:t xml:space="preserve">. </w:t>
      </w:r>
      <w:r w:rsidRPr="006967C3">
        <w:rPr>
          <w:rFonts w:cs="Arial"/>
          <w:szCs w:val="24"/>
        </w:rPr>
        <w:t>Tra le principali novità</w:t>
      </w:r>
      <w:r>
        <w:rPr>
          <w:rFonts w:cs="Arial"/>
          <w:szCs w:val="24"/>
        </w:rPr>
        <w:t xml:space="preserve"> – </w:t>
      </w:r>
      <w:r w:rsidRPr="006967C3">
        <w:rPr>
          <w:rFonts w:cs="Arial"/>
          <w:szCs w:val="24"/>
        </w:rPr>
        <w:t>lo ricordiamo</w:t>
      </w:r>
      <w:r>
        <w:rPr>
          <w:rFonts w:cs="Arial"/>
          <w:szCs w:val="24"/>
        </w:rPr>
        <w:t xml:space="preserve"> –</w:t>
      </w:r>
      <w:r w:rsidRPr="006967C3">
        <w:rPr>
          <w:rFonts w:cs="Arial"/>
          <w:szCs w:val="24"/>
        </w:rPr>
        <w:t xml:space="preserve"> </w:t>
      </w:r>
      <w:r>
        <w:rPr>
          <w:rFonts w:cs="Arial"/>
          <w:szCs w:val="24"/>
        </w:rPr>
        <w:t>sono state</w:t>
      </w:r>
      <w:r w:rsidRPr="006967C3">
        <w:rPr>
          <w:rFonts w:cs="Arial"/>
          <w:szCs w:val="24"/>
        </w:rPr>
        <w:t xml:space="preserve"> ridefinite le responsabilità e i compiti fra Gran Consiglio, Consiglio di Stato e vertici aziendali nell’elaborazione degli obiettivi strategici e nell’esercizio della vigilanza</w:t>
      </w:r>
      <w:r>
        <w:rPr>
          <w:rFonts w:cs="Arial"/>
          <w:szCs w:val="24"/>
        </w:rPr>
        <w:t xml:space="preserve">. </w:t>
      </w:r>
    </w:p>
    <w:p w:rsidR="00533F77" w:rsidRDefault="00533F77" w:rsidP="00533F77">
      <w:pPr>
        <w:rPr>
          <w:rFonts w:cs="Arial"/>
          <w:szCs w:val="24"/>
        </w:rPr>
      </w:pPr>
    </w:p>
    <w:p w:rsidR="00533F77" w:rsidRPr="006967C3" w:rsidRDefault="00533F77" w:rsidP="00533F77">
      <w:pPr>
        <w:rPr>
          <w:rFonts w:cs="Arial"/>
          <w:szCs w:val="24"/>
        </w:rPr>
      </w:pPr>
      <w:r>
        <w:rPr>
          <w:rFonts w:cs="Arial"/>
          <w:szCs w:val="24"/>
        </w:rPr>
        <w:t xml:space="preserve">Al </w:t>
      </w:r>
      <w:r w:rsidRPr="006967C3">
        <w:rPr>
          <w:rFonts w:cs="Arial"/>
          <w:szCs w:val="24"/>
        </w:rPr>
        <w:t>Governo</w:t>
      </w:r>
      <w:r>
        <w:rPr>
          <w:rFonts w:cs="Arial"/>
          <w:szCs w:val="24"/>
        </w:rPr>
        <w:t xml:space="preserve"> è stata attribuita</w:t>
      </w:r>
      <w:r w:rsidRPr="006967C3">
        <w:rPr>
          <w:rFonts w:cs="Arial"/>
          <w:szCs w:val="24"/>
        </w:rPr>
        <w:t xml:space="preserve"> la vigilanza diretta </w:t>
      </w:r>
      <w:r>
        <w:rPr>
          <w:rFonts w:cs="Arial"/>
          <w:szCs w:val="24"/>
        </w:rPr>
        <w:t xml:space="preserve">e </w:t>
      </w:r>
      <w:r w:rsidRPr="006967C3">
        <w:rPr>
          <w:rFonts w:cs="Arial"/>
          <w:szCs w:val="24"/>
        </w:rPr>
        <w:t xml:space="preserve">quindi </w:t>
      </w:r>
      <w:r>
        <w:rPr>
          <w:rFonts w:cs="Arial"/>
          <w:szCs w:val="24"/>
        </w:rPr>
        <w:t>anche la verifica della corretta realizzazione de</w:t>
      </w:r>
      <w:r w:rsidRPr="006967C3">
        <w:rPr>
          <w:rFonts w:cs="Arial"/>
          <w:szCs w:val="24"/>
        </w:rPr>
        <w:t xml:space="preserve">gli obiettivi strategici, </w:t>
      </w:r>
      <w:r>
        <w:rPr>
          <w:rFonts w:cs="Arial"/>
          <w:szCs w:val="24"/>
        </w:rPr>
        <w:t>mentre</w:t>
      </w:r>
      <w:r w:rsidRPr="006967C3">
        <w:rPr>
          <w:rFonts w:cs="Arial"/>
          <w:szCs w:val="24"/>
        </w:rPr>
        <w:t xml:space="preserve"> </w:t>
      </w:r>
      <w:r>
        <w:rPr>
          <w:rFonts w:cs="Arial"/>
          <w:szCs w:val="24"/>
        </w:rPr>
        <w:t>a</w:t>
      </w:r>
      <w:r w:rsidRPr="006967C3">
        <w:rPr>
          <w:rFonts w:cs="Arial"/>
          <w:szCs w:val="24"/>
        </w:rPr>
        <w:t xml:space="preserve">l Gran Consiglio </w:t>
      </w:r>
      <w:r>
        <w:rPr>
          <w:rFonts w:cs="Arial"/>
          <w:szCs w:val="24"/>
        </w:rPr>
        <w:t>compete</w:t>
      </w:r>
      <w:r w:rsidRPr="006967C3">
        <w:rPr>
          <w:rFonts w:cs="Arial"/>
          <w:szCs w:val="24"/>
        </w:rPr>
        <w:t xml:space="preserve"> invece </w:t>
      </w:r>
      <w:r>
        <w:rPr>
          <w:rFonts w:cs="Arial"/>
          <w:szCs w:val="24"/>
        </w:rPr>
        <w:t xml:space="preserve">l'esercizio </w:t>
      </w:r>
      <w:r w:rsidRPr="006967C3">
        <w:rPr>
          <w:rFonts w:cs="Arial"/>
          <w:szCs w:val="24"/>
        </w:rPr>
        <w:t>dell’alta vigilanza</w:t>
      </w:r>
      <w:r>
        <w:rPr>
          <w:rFonts w:cs="Arial"/>
          <w:szCs w:val="24"/>
        </w:rPr>
        <w:t xml:space="preserve"> </w:t>
      </w:r>
      <w:r w:rsidRPr="006967C3">
        <w:rPr>
          <w:rFonts w:cs="Arial"/>
          <w:szCs w:val="24"/>
        </w:rPr>
        <w:t>sull’adempimento degli obiettivi strategici fissati di comune accordo fra il Consiglio di Amministrazione e il Consiglio di Stato.</w:t>
      </w:r>
      <w:r>
        <w:rPr>
          <w:rFonts w:cs="Arial"/>
          <w:szCs w:val="24"/>
        </w:rPr>
        <w:t xml:space="preserve"> Come già lo scorso anno</w:t>
      </w:r>
      <w:r w:rsidRPr="006967C3">
        <w:rPr>
          <w:rFonts w:cs="Arial"/>
          <w:szCs w:val="24"/>
        </w:rPr>
        <w:t xml:space="preserve"> il presente rapporto esamina quindi, oltre al conto annuale, anche il resoconto sulla vigilanza diretta svolta dal Consiglio di Stato e il rapporto relativo al raggiungimento degli obiettivi strategici, previo rapporto della Commissione del controllo del mandato pubblico cosi come previsto dall’art. 6 della nuova LAET.</w:t>
      </w:r>
    </w:p>
    <w:p w:rsidR="00533F77" w:rsidRDefault="00533F77" w:rsidP="00533F77">
      <w:bookmarkStart w:id="4" w:name="_Toc390264054"/>
      <w:bookmarkStart w:id="5" w:name="_Toc353800480"/>
    </w:p>
    <w:p w:rsidR="00533F77" w:rsidRPr="006967C3" w:rsidRDefault="00533F77" w:rsidP="00533F77"/>
    <w:p w:rsidR="00533F77" w:rsidRPr="006967C3" w:rsidRDefault="00533F77" w:rsidP="00533F77">
      <w:pPr>
        <w:pStyle w:val="Titolo1"/>
        <w:rPr>
          <w:rFonts w:cs="Arial"/>
        </w:rPr>
      </w:pPr>
      <w:bookmarkStart w:id="6" w:name="_Toc471834933"/>
      <w:r w:rsidRPr="006967C3">
        <w:rPr>
          <w:rFonts w:cs="Arial"/>
        </w:rPr>
        <w:t>Considerazioni generali</w:t>
      </w:r>
      <w:bookmarkEnd w:id="4"/>
      <w:bookmarkEnd w:id="5"/>
      <w:bookmarkEnd w:id="6"/>
    </w:p>
    <w:p w:rsidR="00533F77" w:rsidRDefault="00533F77" w:rsidP="00533F77">
      <w:pPr>
        <w:rPr>
          <w:rFonts w:cs="Arial"/>
          <w:szCs w:val="24"/>
        </w:rPr>
      </w:pPr>
      <w:r>
        <w:rPr>
          <w:rFonts w:cs="Arial"/>
          <w:szCs w:val="24"/>
        </w:rPr>
        <w:t xml:space="preserve">Il perdurare della difficile </w:t>
      </w:r>
      <w:r w:rsidRPr="00B76567">
        <w:rPr>
          <w:rFonts w:cs="Arial"/>
          <w:szCs w:val="24"/>
        </w:rPr>
        <w:t xml:space="preserve">situazione di mercato </w:t>
      </w:r>
      <w:r>
        <w:rPr>
          <w:rFonts w:cs="Arial"/>
          <w:szCs w:val="24"/>
        </w:rPr>
        <w:t xml:space="preserve">unitamente </w:t>
      </w:r>
      <w:r w:rsidRPr="00B76567">
        <w:rPr>
          <w:rFonts w:cs="Arial"/>
          <w:szCs w:val="24"/>
        </w:rPr>
        <w:t>ad un anno particolarmente povero di precipitazioni</w:t>
      </w:r>
      <w:r>
        <w:rPr>
          <w:rFonts w:cs="Arial"/>
          <w:szCs w:val="24"/>
        </w:rPr>
        <w:t>, il quale</w:t>
      </w:r>
      <w:r w:rsidRPr="00B76567">
        <w:rPr>
          <w:rFonts w:cs="Arial"/>
          <w:szCs w:val="24"/>
        </w:rPr>
        <w:t xml:space="preserve"> ha</w:t>
      </w:r>
      <w:r>
        <w:rPr>
          <w:rFonts w:cs="Arial"/>
          <w:szCs w:val="24"/>
        </w:rPr>
        <w:t xml:space="preserve"> </w:t>
      </w:r>
      <w:r w:rsidRPr="00B76567">
        <w:rPr>
          <w:rFonts w:cs="Arial"/>
          <w:szCs w:val="24"/>
        </w:rPr>
        <w:t>influito negativamente sulla produzione idroelettrica</w:t>
      </w:r>
      <w:r>
        <w:rPr>
          <w:rFonts w:cs="Arial"/>
          <w:szCs w:val="24"/>
        </w:rPr>
        <w:t xml:space="preserve">, hanno portato AET </w:t>
      </w:r>
      <w:r w:rsidRPr="006967C3">
        <w:rPr>
          <w:rFonts w:cs="Arial"/>
          <w:szCs w:val="24"/>
        </w:rPr>
        <w:t xml:space="preserve">a chiudere l’esercizio in perdita per il </w:t>
      </w:r>
      <w:r>
        <w:rPr>
          <w:rFonts w:cs="Arial"/>
          <w:szCs w:val="24"/>
        </w:rPr>
        <w:t>terzo</w:t>
      </w:r>
      <w:r w:rsidRPr="006967C3">
        <w:rPr>
          <w:rFonts w:cs="Arial"/>
          <w:szCs w:val="24"/>
        </w:rPr>
        <w:t xml:space="preserve"> anno consecutivo. La perdita </w:t>
      </w:r>
      <w:r>
        <w:rPr>
          <w:rFonts w:cs="Arial"/>
          <w:szCs w:val="24"/>
        </w:rPr>
        <w:t>registrata quindi non sorprende, si rileva semmai essere inferiore all'esercizio precedente.</w:t>
      </w:r>
      <w:r w:rsidRPr="006967C3">
        <w:rPr>
          <w:rFonts w:cs="Arial"/>
          <w:szCs w:val="24"/>
        </w:rPr>
        <w:t xml:space="preserve"> </w:t>
      </w:r>
    </w:p>
    <w:p w:rsidR="00533F77" w:rsidRDefault="00533F77" w:rsidP="00533F77">
      <w:pPr>
        <w:rPr>
          <w:rFonts w:cs="Arial"/>
          <w:szCs w:val="24"/>
        </w:rPr>
      </w:pPr>
    </w:p>
    <w:p w:rsidR="00533F77" w:rsidRDefault="00533F77" w:rsidP="00533F77">
      <w:pPr>
        <w:rPr>
          <w:rFonts w:cs="Arial"/>
          <w:szCs w:val="24"/>
        </w:rPr>
      </w:pPr>
      <w:r>
        <w:rPr>
          <w:rFonts w:cs="Arial"/>
          <w:szCs w:val="24"/>
        </w:rPr>
        <w:t>I</w:t>
      </w:r>
      <w:r w:rsidRPr="006967C3">
        <w:rPr>
          <w:rFonts w:cs="Arial"/>
          <w:szCs w:val="24"/>
        </w:rPr>
        <w:t xml:space="preserve"> prezzi di mercato </w:t>
      </w:r>
      <w:r>
        <w:rPr>
          <w:rFonts w:cs="Arial"/>
          <w:szCs w:val="24"/>
        </w:rPr>
        <w:t>pur confermando l</w:t>
      </w:r>
      <w:r w:rsidRPr="00653FA9">
        <w:rPr>
          <w:rFonts w:cs="Arial"/>
          <w:szCs w:val="24"/>
        </w:rPr>
        <w:t xml:space="preserve">’inversione di tendenza osservata a partire dall’autunno del 2016 </w:t>
      </w:r>
      <w:r>
        <w:rPr>
          <w:rFonts w:cs="Arial"/>
          <w:szCs w:val="24"/>
        </w:rPr>
        <w:t xml:space="preserve">ed essendo generalmente aumentati anche nel corso dell'anno in esame non permettono ancora </w:t>
      </w:r>
      <w:r w:rsidRPr="00653FA9">
        <w:rPr>
          <w:rFonts w:cs="Arial"/>
          <w:szCs w:val="24"/>
        </w:rPr>
        <w:t>la copertura dei costi</w:t>
      </w:r>
      <w:r>
        <w:rPr>
          <w:rFonts w:cs="Arial"/>
          <w:szCs w:val="24"/>
        </w:rPr>
        <w:t xml:space="preserve"> </w:t>
      </w:r>
      <w:r w:rsidRPr="00653FA9">
        <w:rPr>
          <w:rFonts w:cs="Arial"/>
          <w:szCs w:val="24"/>
        </w:rPr>
        <w:t>di produzione sull’arco dell’intero anno.</w:t>
      </w:r>
    </w:p>
    <w:p w:rsidR="00533F77" w:rsidRPr="006967C3" w:rsidRDefault="00533F77" w:rsidP="00533F77">
      <w:pPr>
        <w:autoSpaceDE w:val="0"/>
        <w:autoSpaceDN w:val="0"/>
        <w:adjustRightInd w:val="0"/>
        <w:rPr>
          <w:rFonts w:cs="Arial"/>
          <w:szCs w:val="24"/>
        </w:rPr>
      </w:pPr>
    </w:p>
    <w:p w:rsidR="00533F77" w:rsidRDefault="00533F77" w:rsidP="00533F77">
      <w:pPr>
        <w:autoSpaceDE w:val="0"/>
        <w:autoSpaceDN w:val="0"/>
        <w:adjustRightInd w:val="0"/>
        <w:rPr>
          <w:rFonts w:cs="Arial"/>
          <w:szCs w:val="24"/>
        </w:rPr>
      </w:pPr>
      <w:r w:rsidRPr="006967C3">
        <w:rPr>
          <w:rFonts w:cs="Arial"/>
          <w:szCs w:val="24"/>
        </w:rPr>
        <w:lastRenderedPageBreak/>
        <w:t xml:space="preserve">La situazione attuale </w:t>
      </w:r>
      <w:r>
        <w:rPr>
          <w:rFonts w:cs="Arial"/>
          <w:szCs w:val="24"/>
        </w:rPr>
        <w:t>continua a presentare</w:t>
      </w:r>
      <w:r w:rsidRPr="006967C3">
        <w:rPr>
          <w:rFonts w:cs="Arial"/>
          <w:szCs w:val="24"/>
        </w:rPr>
        <w:t xml:space="preserve"> uno squilibrio tra domanda ed offert</w:t>
      </w:r>
      <w:r>
        <w:rPr>
          <w:rFonts w:cs="Arial"/>
          <w:szCs w:val="24"/>
        </w:rPr>
        <w:t>a riconducibile a diverse cause in merito alle quali la Commissione speciale Energia si era già soffermata con il rapporto relativo all'anno 2016, a cui si rimanda integralmente.</w:t>
      </w:r>
    </w:p>
    <w:p w:rsidR="00533F77" w:rsidRDefault="00533F77" w:rsidP="00533F77">
      <w:pPr>
        <w:autoSpaceDE w:val="0"/>
        <w:autoSpaceDN w:val="0"/>
        <w:adjustRightInd w:val="0"/>
        <w:rPr>
          <w:rFonts w:cs="Arial"/>
          <w:szCs w:val="24"/>
        </w:rPr>
      </w:pPr>
    </w:p>
    <w:p w:rsidR="00533F77" w:rsidRPr="001C5323" w:rsidRDefault="00533F77" w:rsidP="00533F77">
      <w:pPr>
        <w:autoSpaceDE w:val="0"/>
        <w:autoSpaceDN w:val="0"/>
        <w:adjustRightInd w:val="0"/>
        <w:rPr>
          <w:rFonts w:cs="Arial"/>
          <w:szCs w:val="24"/>
        </w:rPr>
      </w:pPr>
      <w:r>
        <w:rPr>
          <w:rFonts w:cs="Arial"/>
          <w:szCs w:val="24"/>
          <w:lang w:val="it-IT"/>
        </w:rPr>
        <w:t xml:space="preserve">Attraverso </w:t>
      </w:r>
      <w:r w:rsidRPr="00A94E6A">
        <w:rPr>
          <w:rFonts w:cs="Arial"/>
          <w:szCs w:val="24"/>
          <w:lang w:val="it-IT"/>
        </w:rPr>
        <w:t>l’approvazione popolare del primo pacchetto concernente la Strategia Energetica 2050 della Confederazione</w:t>
      </w:r>
      <w:r>
        <w:rPr>
          <w:rFonts w:cs="Arial"/>
          <w:szCs w:val="24"/>
          <w:lang w:val="it-IT"/>
        </w:rPr>
        <w:t xml:space="preserve"> </w:t>
      </w:r>
      <w:r w:rsidRPr="006967C3">
        <w:rPr>
          <w:rFonts w:cs="Arial"/>
          <w:szCs w:val="24"/>
        </w:rPr>
        <w:t xml:space="preserve">si è riconosciuta la necessità di riequilibrare </w:t>
      </w:r>
      <w:r>
        <w:rPr>
          <w:rFonts w:cs="Arial"/>
          <w:szCs w:val="24"/>
        </w:rPr>
        <w:t xml:space="preserve">almeno parzialmente </w:t>
      </w:r>
      <w:r w:rsidRPr="006967C3">
        <w:rPr>
          <w:rFonts w:cs="Arial"/>
          <w:szCs w:val="24"/>
        </w:rPr>
        <w:t>un sistema in cui i prezzi restano al di sotto dei costi di produzione</w:t>
      </w:r>
      <w:r>
        <w:rPr>
          <w:rFonts w:cs="Arial"/>
          <w:szCs w:val="24"/>
        </w:rPr>
        <w:t xml:space="preserve">, ad esempio </w:t>
      </w:r>
      <w:r w:rsidRPr="00A94E6A">
        <w:rPr>
          <w:rFonts w:cs="Arial"/>
          <w:szCs w:val="24"/>
          <w:lang w:val="it-IT"/>
        </w:rPr>
        <w:t>tra</w:t>
      </w:r>
      <w:r>
        <w:rPr>
          <w:rFonts w:cs="Arial"/>
          <w:szCs w:val="24"/>
          <w:lang w:val="it-IT"/>
        </w:rPr>
        <w:t>mite</w:t>
      </w:r>
      <w:r w:rsidRPr="00A94E6A">
        <w:rPr>
          <w:rFonts w:cs="Arial"/>
          <w:szCs w:val="24"/>
          <w:lang w:val="it-IT"/>
        </w:rPr>
        <w:t xml:space="preserve"> l’introduzione di un premio di mercato temporaneo in favore della produzione idroelettrica indigena</w:t>
      </w:r>
      <w:r>
        <w:rPr>
          <w:rFonts w:cs="Arial"/>
          <w:szCs w:val="24"/>
          <w:lang w:val="it-IT"/>
        </w:rPr>
        <w:t xml:space="preserve"> che</w:t>
      </w:r>
      <w:r>
        <w:rPr>
          <w:rFonts w:cs="Arial"/>
          <w:szCs w:val="24"/>
        </w:rPr>
        <w:t xml:space="preserve">, </w:t>
      </w:r>
      <w:r>
        <w:rPr>
          <w:rFonts w:cs="Arial"/>
          <w:szCs w:val="24"/>
          <w:lang w:val="it-IT"/>
        </w:rPr>
        <w:t xml:space="preserve">sancendo </w:t>
      </w:r>
      <w:r w:rsidRPr="00A94E6A">
        <w:rPr>
          <w:rFonts w:cs="Arial"/>
          <w:szCs w:val="24"/>
          <w:lang w:val="it-IT"/>
        </w:rPr>
        <w:t xml:space="preserve">la centralità̀ dell’idroelettrico nel </w:t>
      </w:r>
      <w:r>
        <w:rPr>
          <w:rFonts w:cs="Arial"/>
          <w:szCs w:val="24"/>
          <w:lang w:val="it-IT"/>
        </w:rPr>
        <w:t>quadro del futuro</w:t>
      </w:r>
      <w:r w:rsidRPr="00A94E6A">
        <w:rPr>
          <w:rFonts w:cs="Arial"/>
          <w:szCs w:val="24"/>
          <w:lang w:val="it-IT"/>
        </w:rPr>
        <w:t xml:space="preserve"> sistema energetico nazionale</w:t>
      </w:r>
      <w:r>
        <w:rPr>
          <w:rFonts w:cs="Arial"/>
          <w:szCs w:val="24"/>
          <w:lang w:val="it-IT"/>
        </w:rPr>
        <w:t>, permette anche ad AET di</w:t>
      </w:r>
      <w:r w:rsidRPr="00A94E6A">
        <w:rPr>
          <w:rFonts w:cs="Arial"/>
          <w:szCs w:val="24"/>
          <w:lang w:val="it-IT"/>
        </w:rPr>
        <w:t xml:space="preserve"> pianificare con maggiori certezze gli investimenti futuri.</w:t>
      </w:r>
    </w:p>
    <w:p w:rsidR="00533F77" w:rsidRDefault="00533F77" w:rsidP="00533F77">
      <w:pPr>
        <w:autoSpaceDE w:val="0"/>
        <w:autoSpaceDN w:val="0"/>
        <w:adjustRightInd w:val="0"/>
        <w:rPr>
          <w:rFonts w:cs="Arial"/>
          <w:szCs w:val="24"/>
        </w:rPr>
      </w:pPr>
    </w:p>
    <w:p w:rsidR="00533F77" w:rsidRPr="00831945" w:rsidRDefault="00533F77" w:rsidP="00533F77">
      <w:pPr>
        <w:autoSpaceDE w:val="0"/>
        <w:autoSpaceDN w:val="0"/>
        <w:adjustRightInd w:val="0"/>
        <w:rPr>
          <w:rFonts w:eastAsia="Arial" w:cs="Arial"/>
          <w:szCs w:val="24"/>
        </w:rPr>
      </w:pPr>
      <w:r w:rsidRPr="00831945">
        <w:rPr>
          <w:rFonts w:eastAsia="Arial" w:cs="Arial"/>
          <w:szCs w:val="24"/>
        </w:rPr>
        <w:t xml:space="preserve">A fronte delle difficili condizioni di mercato occorre comunque evidenziare l’ottimo ambiente collaborativo </w:t>
      </w:r>
      <w:r>
        <w:rPr>
          <w:rFonts w:eastAsia="Arial" w:cs="Arial"/>
          <w:szCs w:val="24"/>
        </w:rPr>
        <w:t xml:space="preserve">costruito </w:t>
      </w:r>
      <w:r w:rsidRPr="00831945">
        <w:rPr>
          <w:rFonts w:eastAsia="Arial" w:cs="Arial"/>
          <w:szCs w:val="24"/>
        </w:rPr>
        <w:t>nel corso degli ultimi anni tra AET, Consiglio di Stato e Commissione speciale Energia.</w:t>
      </w:r>
    </w:p>
    <w:p w:rsidR="00533F77" w:rsidRDefault="00533F77" w:rsidP="00533F77">
      <w:bookmarkStart w:id="7" w:name="_Toc353800481"/>
      <w:bookmarkStart w:id="8" w:name="_Toc390264055"/>
      <w:bookmarkStart w:id="9" w:name="_Toc471834934"/>
    </w:p>
    <w:p w:rsidR="00533F77" w:rsidRPr="006967C3" w:rsidRDefault="00533F77" w:rsidP="00533F77"/>
    <w:p w:rsidR="00533F77" w:rsidRPr="006967C3" w:rsidRDefault="00533F77" w:rsidP="00533F77">
      <w:pPr>
        <w:pStyle w:val="Titolo1"/>
        <w:rPr>
          <w:rFonts w:eastAsia="Arial" w:cs="Arial"/>
        </w:rPr>
      </w:pPr>
      <w:r w:rsidRPr="006967C3">
        <w:rPr>
          <w:rFonts w:eastAsia="Arial" w:cs="Arial"/>
        </w:rPr>
        <w:t>I Conti 201</w:t>
      </w:r>
      <w:bookmarkEnd w:id="7"/>
      <w:bookmarkEnd w:id="8"/>
      <w:bookmarkEnd w:id="9"/>
      <w:r>
        <w:rPr>
          <w:rFonts w:eastAsia="Arial" w:cs="Arial"/>
        </w:rPr>
        <w:t>7</w:t>
      </w:r>
    </w:p>
    <w:p w:rsidR="00533F77" w:rsidRDefault="00533F77" w:rsidP="00533F77">
      <w:pPr>
        <w:rPr>
          <w:rFonts w:cs="Arial"/>
          <w:szCs w:val="24"/>
        </w:rPr>
      </w:pPr>
      <w:r w:rsidRPr="006967C3">
        <w:rPr>
          <w:rFonts w:cs="Arial"/>
          <w:szCs w:val="24"/>
        </w:rPr>
        <w:t>AET chiude l’esercizio 201</w:t>
      </w:r>
      <w:r>
        <w:rPr>
          <w:rFonts w:cs="Arial"/>
          <w:szCs w:val="24"/>
        </w:rPr>
        <w:t>7</w:t>
      </w:r>
      <w:r w:rsidRPr="006967C3">
        <w:rPr>
          <w:rFonts w:cs="Arial"/>
          <w:szCs w:val="24"/>
        </w:rPr>
        <w:t xml:space="preserve"> con un disavanzo </w:t>
      </w:r>
      <w:r>
        <w:rPr>
          <w:rFonts w:cs="Arial"/>
          <w:szCs w:val="24"/>
        </w:rPr>
        <w:t xml:space="preserve">di 21.5 </w:t>
      </w:r>
      <w:r w:rsidRPr="006967C3">
        <w:rPr>
          <w:rFonts w:cs="Arial"/>
          <w:szCs w:val="24"/>
        </w:rPr>
        <w:t>mio di franchi</w:t>
      </w:r>
      <w:r>
        <w:rPr>
          <w:rFonts w:cs="Arial"/>
          <w:szCs w:val="24"/>
        </w:rPr>
        <w:t xml:space="preserve"> </w:t>
      </w:r>
      <w:r w:rsidRPr="008C4E3C">
        <w:rPr>
          <w:rFonts w:cs="Arial"/>
          <w:szCs w:val="24"/>
        </w:rPr>
        <w:t>(</w:t>
      </w:r>
      <w:r>
        <w:rPr>
          <w:rFonts w:cs="Arial"/>
          <w:szCs w:val="24"/>
        </w:rPr>
        <w:t xml:space="preserve">a fronte dei </w:t>
      </w:r>
      <w:r w:rsidRPr="008C4E3C">
        <w:rPr>
          <w:rFonts w:cs="Arial"/>
          <w:szCs w:val="24"/>
        </w:rPr>
        <w:t xml:space="preserve">-31.7 </w:t>
      </w:r>
      <w:r>
        <w:rPr>
          <w:rFonts w:cs="Arial"/>
          <w:szCs w:val="24"/>
        </w:rPr>
        <w:t>d</w:t>
      </w:r>
      <w:r w:rsidRPr="008C4E3C">
        <w:rPr>
          <w:rFonts w:cs="Arial"/>
          <w:szCs w:val="24"/>
        </w:rPr>
        <w:t>el 2016)</w:t>
      </w:r>
      <w:r w:rsidRPr="006967C3">
        <w:rPr>
          <w:rFonts w:cs="Arial"/>
          <w:szCs w:val="24"/>
        </w:rPr>
        <w:t xml:space="preserve">, </w:t>
      </w:r>
      <w:r>
        <w:rPr>
          <w:rFonts w:cs="Arial"/>
          <w:szCs w:val="24"/>
        </w:rPr>
        <w:t xml:space="preserve">frutto di un risultato </w:t>
      </w:r>
      <w:r w:rsidRPr="008C4E3C">
        <w:rPr>
          <w:rFonts w:cs="Arial"/>
          <w:szCs w:val="24"/>
        </w:rPr>
        <w:t xml:space="preserve">operativo </w:t>
      </w:r>
      <w:r>
        <w:rPr>
          <w:rFonts w:cs="Arial"/>
          <w:szCs w:val="24"/>
        </w:rPr>
        <w:t xml:space="preserve">pari </w:t>
      </w:r>
      <w:r w:rsidRPr="008C4E3C">
        <w:rPr>
          <w:rFonts w:cs="Arial"/>
          <w:szCs w:val="24"/>
        </w:rPr>
        <w:t xml:space="preserve">a -19.4 </w:t>
      </w:r>
      <w:r>
        <w:rPr>
          <w:rFonts w:cs="Arial"/>
          <w:szCs w:val="24"/>
        </w:rPr>
        <w:t>mio</w:t>
      </w:r>
      <w:r w:rsidRPr="008C4E3C">
        <w:rPr>
          <w:rFonts w:cs="Arial"/>
          <w:szCs w:val="24"/>
        </w:rPr>
        <w:t xml:space="preserve"> di franchi</w:t>
      </w:r>
      <w:r>
        <w:rPr>
          <w:rFonts w:cs="Arial"/>
          <w:szCs w:val="24"/>
        </w:rPr>
        <w:t xml:space="preserve"> (</w:t>
      </w:r>
      <w:r w:rsidRPr="008C4E3C">
        <w:rPr>
          <w:rFonts w:cs="Arial"/>
          <w:szCs w:val="24"/>
        </w:rPr>
        <w:t xml:space="preserve">-23 </w:t>
      </w:r>
      <w:r>
        <w:rPr>
          <w:rFonts w:cs="Arial"/>
          <w:szCs w:val="24"/>
        </w:rPr>
        <w:t>mio</w:t>
      </w:r>
      <w:r w:rsidRPr="008C4E3C">
        <w:rPr>
          <w:rFonts w:cs="Arial"/>
          <w:szCs w:val="24"/>
        </w:rPr>
        <w:t xml:space="preserve"> di franchi </w:t>
      </w:r>
      <w:r>
        <w:rPr>
          <w:rFonts w:cs="Arial"/>
          <w:szCs w:val="24"/>
        </w:rPr>
        <w:t>n</w:t>
      </w:r>
      <w:r w:rsidRPr="008C4E3C">
        <w:rPr>
          <w:rFonts w:cs="Arial"/>
          <w:szCs w:val="24"/>
        </w:rPr>
        <w:t>el</w:t>
      </w:r>
      <w:r>
        <w:rPr>
          <w:rFonts w:cs="Arial"/>
          <w:szCs w:val="24"/>
        </w:rPr>
        <w:t xml:space="preserve"> </w:t>
      </w:r>
      <w:r w:rsidRPr="008C4E3C">
        <w:rPr>
          <w:rFonts w:cs="Arial"/>
          <w:szCs w:val="24"/>
        </w:rPr>
        <w:t>2016</w:t>
      </w:r>
      <w:r>
        <w:rPr>
          <w:rFonts w:cs="Arial"/>
          <w:szCs w:val="24"/>
        </w:rPr>
        <w:t xml:space="preserve">), un </w:t>
      </w:r>
      <w:r w:rsidRPr="008C4E3C">
        <w:rPr>
          <w:rFonts w:cs="Arial"/>
          <w:szCs w:val="24"/>
        </w:rPr>
        <w:t xml:space="preserve">risultato finanziario di -3.2 </w:t>
      </w:r>
      <w:r>
        <w:rPr>
          <w:rFonts w:cs="Arial"/>
          <w:szCs w:val="24"/>
        </w:rPr>
        <w:t>mio</w:t>
      </w:r>
      <w:r w:rsidRPr="008C4E3C">
        <w:rPr>
          <w:rFonts w:cs="Arial"/>
          <w:szCs w:val="24"/>
        </w:rPr>
        <w:t xml:space="preserve"> di franchi (-3.9 nel 2016) e</w:t>
      </w:r>
      <w:r>
        <w:rPr>
          <w:rFonts w:cs="Arial"/>
          <w:szCs w:val="24"/>
        </w:rPr>
        <w:t xml:space="preserve"> un</w:t>
      </w:r>
      <w:r w:rsidRPr="008C4E3C">
        <w:rPr>
          <w:rFonts w:cs="Arial"/>
          <w:szCs w:val="24"/>
        </w:rPr>
        <w:t xml:space="preserve"> risultato straordinario di +1.1 </w:t>
      </w:r>
      <w:r>
        <w:rPr>
          <w:rFonts w:cs="Arial"/>
          <w:szCs w:val="24"/>
        </w:rPr>
        <w:t>mio</w:t>
      </w:r>
      <w:r w:rsidRPr="008C4E3C">
        <w:rPr>
          <w:rFonts w:cs="Arial"/>
          <w:szCs w:val="24"/>
        </w:rPr>
        <w:t xml:space="preserve"> di franchi (-4.8 nel 2016)</w:t>
      </w:r>
      <w:r>
        <w:rPr>
          <w:rFonts w:cs="Arial"/>
          <w:szCs w:val="24"/>
        </w:rPr>
        <w:t>.</w:t>
      </w:r>
    </w:p>
    <w:p w:rsidR="00533F77" w:rsidRDefault="00533F77" w:rsidP="00533F77">
      <w:pPr>
        <w:rPr>
          <w:rFonts w:cs="Arial"/>
          <w:szCs w:val="24"/>
        </w:rPr>
      </w:pPr>
    </w:p>
    <w:p w:rsidR="00533F77" w:rsidRPr="006967C3" w:rsidRDefault="00533F77" w:rsidP="00533F77">
      <w:pPr>
        <w:rPr>
          <w:rFonts w:cs="Arial"/>
          <w:szCs w:val="24"/>
        </w:rPr>
      </w:pPr>
      <w:r w:rsidRPr="007B504D">
        <w:rPr>
          <w:rFonts w:cs="Arial"/>
          <w:szCs w:val="24"/>
        </w:rPr>
        <w:t>Esaminando maggiormente nel dettaglio il conto economic</w:t>
      </w:r>
      <w:r>
        <w:rPr>
          <w:rFonts w:cs="Arial"/>
          <w:szCs w:val="24"/>
        </w:rPr>
        <w:t>o</w:t>
      </w:r>
      <w:r w:rsidRPr="007B504D">
        <w:rPr>
          <w:rFonts w:cs="Arial"/>
          <w:szCs w:val="24"/>
        </w:rPr>
        <w:t xml:space="preserve"> si rileva un</w:t>
      </w:r>
      <w:r>
        <w:rPr>
          <w:rFonts w:cs="Arial"/>
          <w:szCs w:val="24"/>
        </w:rPr>
        <w:t xml:space="preserve"> </w:t>
      </w:r>
      <w:r w:rsidRPr="007B504D">
        <w:rPr>
          <w:rFonts w:cs="Arial"/>
          <w:szCs w:val="24"/>
        </w:rPr>
        <w:t xml:space="preserve">incremento dei ricavi d’esercizio rispetto al 2016 di 98.7 </w:t>
      </w:r>
      <w:r>
        <w:rPr>
          <w:rFonts w:cs="Arial"/>
          <w:szCs w:val="24"/>
        </w:rPr>
        <w:t>mio</w:t>
      </w:r>
      <w:r w:rsidRPr="007B504D">
        <w:rPr>
          <w:rFonts w:cs="Arial"/>
          <w:szCs w:val="24"/>
        </w:rPr>
        <w:t xml:space="preserve"> di franchi (+12.8%), a</w:t>
      </w:r>
      <w:r>
        <w:rPr>
          <w:rFonts w:cs="Arial"/>
          <w:szCs w:val="24"/>
        </w:rPr>
        <w:t xml:space="preserve"> </w:t>
      </w:r>
      <w:r w:rsidRPr="007B504D">
        <w:rPr>
          <w:rFonts w:cs="Arial"/>
          <w:szCs w:val="24"/>
        </w:rPr>
        <w:t>seguito soprattutto d</w:t>
      </w:r>
      <w:r>
        <w:rPr>
          <w:rFonts w:cs="Arial"/>
          <w:szCs w:val="24"/>
        </w:rPr>
        <w:t>e</w:t>
      </w:r>
      <w:r w:rsidRPr="007B504D">
        <w:rPr>
          <w:rFonts w:cs="Arial"/>
          <w:szCs w:val="24"/>
        </w:rPr>
        <w:t>ll’aumento dei ricavi da</w:t>
      </w:r>
      <w:r>
        <w:rPr>
          <w:rFonts w:cs="Arial"/>
          <w:szCs w:val="24"/>
        </w:rPr>
        <w:t>lla</w:t>
      </w:r>
      <w:r w:rsidRPr="007B504D">
        <w:rPr>
          <w:rFonts w:cs="Arial"/>
          <w:szCs w:val="24"/>
        </w:rPr>
        <w:t xml:space="preserve"> vendita d</w:t>
      </w:r>
      <w:r>
        <w:rPr>
          <w:rFonts w:cs="Arial"/>
          <w:szCs w:val="24"/>
        </w:rPr>
        <w:t xml:space="preserve">i </w:t>
      </w:r>
      <w:r w:rsidRPr="007B504D">
        <w:rPr>
          <w:rFonts w:cs="Arial"/>
          <w:szCs w:val="24"/>
        </w:rPr>
        <w:t xml:space="preserve">energia (+104.5 </w:t>
      </w:r>
      <w:r>
        <w:rPr>
          <w:rFonts w:cs="Arial"/>
          <w:szCs w:val="24"/>
        </w:rPr>
        <w:t>mio</w:t>
      </w:r>
      <w:r w:rsidRPr="007B504D">
        <w:rPr>
          <w:rFonts w:cs="Arial"/>
          <w:szCs w:val="24"/>
        </w:rPr>
        <w:t xml:space="preserve"> di franchi;</w:t>
      </w:r>
      <w:r>
        <w:rPr>
          <w:rFonts w:cs="Arial"/>
          <w:szCs w:val="24"/>
        </w:rPr>
        <w:t xml:space="preserve"> ovvero</w:t>
      </w:r>
      <w:r w:rsidRPr="007B504D">
        <w:rPr>
          <w:rFonts w:cs="Arial"/>
          <w:szCs w:val="24"/>
        </w:rPr>
        <w:t xml:space="preserve"> +15%), conseguente anche all’aumento del prezzo dell’energia citato</w:t>
      </w:r>
      <w:r>
        <w:rPr>
          <w:rFonts w:cs="Arial"/>
          <w:szCs w:val="24"/>
        </w:rPr>
        <w:t xml:space="preserve"> </w:t>
      </w:r>
      <w:r w:rsidRPr="007B504D">
        <w:rPr>
          <w:rFonts w:cs="Arial"/>
          <w:szCs w:val="24"/>
        </w:rPr>
        <w:t>precedentemente.</w:t>
      </w:r>
      <w:r w:rsidRPr="007B504D">
        <w:t xml:space="preserve"> </w:t>
      </w:r>
      <w:r>
        <w:t xml:space="preserve">Anche </w:t>
      </w:r>
      <w:r>
        <w:rPr>
          <w:rFonts w:cs="Arial"/>
          <w:szCs w:val="24"/>
        </w:rPr>
        <w:t>i</w:t>
      </w:r>
      <w:r w:rsidRPr="007B504D">
        <w:rPr>
          <w:rFonts w:cs="Arial"/>
          <w:szCs w:val="24"/>
        </w:rPr>
        <w:t xml:space="preserve"> costi d’esercizio sono cresciuti di 95.1 milioni di franchi (+12%) </w:t>
      </w:r>
      <w:r>
        <w:rPr>
          <w:rFonts w:cs="Arial"/>
          <w:szCs w:val="24"/>
        </w:rPr>
        <w:t xml:space="preserve">soprattutto </w:t>
      </w:r>
      <w:r w:rsidRPr="007B504D">
        <w:rPr>
          <w:rFonts w:cs="Arial"/>
          <w:szCs w:val="24"/>
        </w:rPr>
        <w:t>a seguito dell’incremento dei costi per l’acquisto di energia</w:t>
      </w:r>
      <w:r>
        <w:rPr>
          <w:rFonts w:cs="Arial"/>
          <w:szCs w:val="24"/>
        </w:rPr>
        <w:t>.</w:t>
      </w:r>
    </w:p>
    <w:p w:rsidR="00533F77" w:rsidRPr="006967C3" w:rsidRDefault="00533F77" w:rsidP="00533F77">
      <w:pPr>
        <w:widowControl w:val="0"/>
        <w:autoSpaceDE w:val="0"/>
        <w:autoSpaceDN w:val="0"/>
        <w:adjustRightInd w:val="0"/>
        <w:jc w:val="left"/>
        <w:rPr>
          <w:rFonts w:cs="Arial"/>
          <w:szCs w:val="24"/>
        </w:rPr>
      </w:pPr>
    </w:p>
    <w:p w:rsidR="00533F77" w:rsidRDefault="00533F77" w:rsidP="00533F77">
      <w:pPr>
        <w:rPr>
          <w:rFonts w:eastAsia="Arial" w:cs="Arial"/>
          <w:szCs w:val="24"/>
        </w:rPr>
      </w:pPr>
      <w:r w:rsidRPr="006967C3">
        <w:rPr>
          <w:rFonts w:eastAsia="Arial" w:cs="Arial"/>
          <w:szCs w:val="24"/>
        </w:rPr>
        <w:t>Dal profilo idrologico, prima materia del “core business” di AET, il 201</w:t>
      </w:r>
      <w:r>
        <w:rPr>
          <w:rFonts w:eastAsia="Arial" w:cs="Arial"/>
          <w:szCs w:val="24"/>
        </w:rPr>
        <w:t>7</w:t>
      </w:r>
      <w:r w:rsidRPr="006967C3">
        <w:rPr>
          <w:rFonts w:eastAsia="Arial" w:cs="Arial"/>
          <w:szCs w:val="24"/>
        </w:rPr>
        <w:t xml:space="preserve"> </w:t>
      </w:r>
      <w:r>
        <w:rPr>
          <w:rFonts w:eastAsia="Arial" w:cs="Arial"/>
          <w:szCs w:val="24"/>
        </w:rPr>
        <w:t>ha visto protrarsi la</w:t>
      </w:r>
      <w:r w:rsidRPr="006967C3">
        <w:rPr>
          <w:rFonts w:eastAsia="Arial" w:cs="Arial"/>
          <w:szCs w:val="24"/>
        </w:rPr>
        <w:t xml:space="preserve"> siccità</w:t>
      </w:r>
      <w:r>
        <w:rPr>
          <w:rFonts w:eastAsia="Arial" w:cs="Arial"/>
          <w:szCs w:val="24"/>
        </w:rPr>
        <w:t xml:space="preserve"> che ha caratterizzato il 2016, portando l</w:t>
      </w:r>
      <w:r w:rsidRPr="006967C3">
        <w:rPr>
          <w:rFonts w:eastAsia="Arial" w:cs="Arial"/>
          <w:szCs w:val="24"/>
        </w:rPr>
        <w:t xml:space="preserve">a produzione idroelettrica del gruppo </w:t>
      </w:r>
      <w:r>
        <w:rPr>
          <w:rFonts w:eastAsia="Arial" w:cs="Arial"/>
          <w:szCs w:val="24"/>
        </w:rPr>
        <w:t>a calare ulteriormente del</w:t>
      </w:r>
      <w:r w:rsidRPr="006967C3">
        <w:rPr>
          <w:rFonts w:eastAsia="Arial" w:cs="Arial"/>
          <w:szCs w:val="24"/>
        </w:rPr>
        <w:t xml:space="preserve"> 6%</w:t>
      </w:r>
      <w:r>
        <w:rPr>
          <w:rFonts w:eastAsia="Arial" w:cs="Arial"/>
          <w:szCs w:val="24"/>
        </w:rPr>
        <w:t xml:space="preserve">, attestandosi a 773 </w:t>
      </w:r>
      <w:proofErr w:type="spellStart"/>
      <w:r>
        <w:rPr>
          <w:rFonts w:eastAsia="Arial" w:cs="Arial"/>
          <w:szCs w:val="24"/>
        </w:rPr>
        <w:t>GWh</w:t>
      </w:r>
      <w:proofErr w:type="spellEnd"/>
      <w:r w:rsidRPr="006967C3">
        <w:rPr>
          <w:rFonts w:eastAsia="Arial" w:cs="Arial"/>
          <w:szCs w:val="24"/>
        </w:rPr>
        <w:t xml:space="preserve">. </w:t>
      </w:r>
      <w:r>
        <w:rPr>
          <w:rFonts w:eastAsia="Arial" w:cs="Arial"/>
          <w:szCs w:val="24"/>
        </w:rPr>
        <w:t xml:space="preserve">La </w:t>
      </w:r>
      <w:r w:rsidRPr="006967C3">
        <w:rPr>
          <w:rFonts w:eastAsia="Arial" w:cs="Arial"/>
          <w:szCs w:val="24"/>
        </w:rPr>
        <w:t>produzione idroelettrica da partecipazioni</w:t>
      </w:r>
      <w:r>
        <w:rPr>
          <w:rFonts w:eastAsia="Arial" w:cs="Arial"/>
          <w:szCs w:val="24"/>
        </w:rPr>
        <w:t xml:space="preserve"> è invece cresciuta leggermente (+2%) </w:t>
      </w:r>
      <w:r w:rsidRPr="006967C3">
        <w:rPr>
          <w:rFonts w:eastAsia="Arial" w:cs="Arial"/>
          <w:szCs w:val="24"/>
        </w:rPr>
        <w:t>a 5</w:t>
      </w:r>
      <w:r>
        <w:rPr>
          <w:rFonts w:eastAsia="Arial" w:cs="Arial"/>
          <w:szCs w:val="24"/>
        </w:rPr>
        <w:t>39</w:t>
      </w:r>
      <w:r w:rsidRPr="006967C3">
        <w:rPr>
          <w:rFonts w:eastAsia="Arial" w:cs="Arial"/>
          <w:szCs w:val="24"/>
        </w:rPr>
        <w:t xml:space="preserve"> </w:t>
      </w:r>
      <w:proofErr w:type="spellStart"/>
      <w:r w:rsidRPr="006967C3">
        <w:rPr>
          <w:rFonts w:eastAsia="Arial" w:cs="Arial"/>
          <w:szCs w:val="24"/>
        </w:rPr>
        <w:t>GWh</w:t>
      </w:r>
      <w:proofErr w:type="spellEnd"/>
      <w:r>
        <w:rPr>
          <w:rFonts w:eastAsia="Arial" w:cs="Arial"/>
          <w:szCs w:val="24"/>
        </w:rPr>
        <w:t>.</w:t>
      </w:r>
    </w:p>
    <w:p w:rsidR="00533F77" w:rsidRDefault="00533F77" w:rsidP="00533F77">
      <w:pPr>
        <w:rPr>
          <w:rFonts w:eastAsia="Arial" w:cs="Arial"/>
          <w:szCs w:val="24"/>
        </w:rPr>
      </w:pPr>
    </w:p>
    <w:p w:rsidR="00533F77" w:rsidRDefault="00533F77" w:rsidP="00533F77">
      <w:pPr>
        <w:rPr>
          <w:rFonts w:eastAsia="Arial" w:cs="Arial"/>
          <w:szCs w:val="24"/>
          <w:lang w:val="it-IT"/>
        </w:rPr>
      </w:pPr>
      <w:r>
        <w:rPr>
          <w:rFonts w:eastAsia="Arial" w:cs="Arial"/>
          <w:szCs w:val="24"/>
        </w:rPr>
        <w:t>Anche l</w:t>
      </w:r>
      <w:r w:rsidRPr="00372BBE">
        <w:rPr>
          <w:rFonts w:eastAsia="Arial" w:cs="Arial"/>
          <w:szCs w:val="24"/>
        </w:rPr>
        <w:t xml:space="preserve">’impianto tedesco di </w:t>
      </w:r>
      <w:proofErr w:type="spellStart"/>
      <w:r w:rsidRPr="00372BBE">
        <w:rPr>
          <w:rFonts w:eastAsia="Arial" w:cs="Arial"/>
          <w:szCs w:val="24"/>
        </w:rPr>
        <w:t>Lünen</w:t>
      </w:r>
      <w:proofErr w:type="spellEnd"/>
      <w:r w:rsidRPr="00372BBE">
        <w:rPr>
          <w:rFonts w:eastAsia="Arial" w:cs="Arial"/>
          <w:szCs w:val="24"/>
        </w:rPr>
        <w:t xml:space="preserve"> ha fornito ad AET </w:t>
      </w:r>
      <w:r>
        <w:rPr>
          <w:rFonts w:eastAsia="Arial" w:cs="Arial"/>
          <w:szCs w:val="24"/>
        </w:rPr>
        <w:t xml:space="preserve">solo </w:t>
      </w:r>
      <w:r w:rsidRPr="00372BBE">
        <w:rPr>
          <w:rFonts w:eastAsia="Arial" w:cs="Arial"/>
          <w:szCs w:val="24"/>
        </w:rPr>
        <w:t xml:space="preserve">557 </w:t>
      </w:r>
      <w:proofErr w:type="spellStart"/>
      <w:r w:rsidRPr="00372BBE">
        <w:rPr>
          <w:rFonts w:eastAsia="Arial" w:cs="Arial"/>
          <w:szCs w:val="24"/>
        </w:rPr>
        <w:t>GWh</w:t>
      </w:r>
      <w:proofErr w:type="spellEnd"/>
      <w:r w:rsidRPr="00372BBE">
        <w:rPr>
          <w:rFonts w:eastAsia="Arial" w:cs="Arial"/>
          <w:szCs w:val="24"/>
        </w:rPr>
        <w:t xml:space="preserve"> rispetto ai 750 </w:t>
      </w:r>
      <w:proofErr w:type="spellStart"/>
      <w:r w:rsidRPr="00372BBE">
        <w:rPr>
          <w:rFonts w:eastAsia="Arial" w:cs="Arial"/>
          <w:szCs w:val="24"/>
        </w:rPr>
        <w:t>GWh</w:t>
      </w:r>
      <w:proofErr w:type="spellEnd"/>
      <w:r w:rsidRPr="00372BBE">
        <w:rPr>
          <w:rFonts w:eastAsia="Arial" w:cs="Arial"/>
          <w:szCs w:val="24"/>
        </w:rPr>
        <w:t xml:space="preserve"> attesi a causa di un problema tecnico </w:t>
      </w:r>
      <w:r>
        <w:rPr>
          <w:rFonts w:eastAsia="Arial" w:cs="Arial"/>
          <w:szCs w:val="24"/>
        </w:rPr>
        <w:t>verificatosi</w:t>
      </w:r>
      <w:r w:rsidRPr="00372BBE">
        <w:rPr>
          <w:rFonts w:eastAsia="Arial" w:cs="Arial"/>
          <w:szCs w:val="24"/>
        </w:rPr>
        <w:t xml:space="preserve"> negli ultimi mesi dell’anno</w:t>
      </w:r>
      <w:r>
        <w:rPr>
          <w:rFonts w:eastAsia="Arial" w:cs="Arial"/>
          <w:szCs w:val="24"/>
        </w:rPr>
        <w:t xml:space="preserve"> (</w:t>
      </w:r>
      <w:r w:rsidRPr="00372BBE">
        <w:rPr>
          <w:rFonts w:eastAsia="Arial" w:cs="Arial"/>
          <w:szCs w:val="24"/>
        </w:rPr>
        <w:t>i prezzi di mercato non hanno permesso di coprire</w:t>
      </w:r>
      <w:r>
        <w:rPr>
          <w:rFonts w:eastAsia="Arial" w:cs="Arial"/>
          <w:szCs w:val="24"/>
        </w:rPr>
        <w:t xml:space="preserve"> comunque</w:t>
      </w:r>
      <w:r w:rsidRPr="00372BBE">
        <w:rPr>
          <w:rFonts w:eastAsia="Arial" w:cs="Arial"/>
          <w:szCs w:val="24"/>
        </w:rPr>
        <w:t xml:space="preserve"> i costi di produzion</w:t>
      </w:r>
      <w:r>
        <w:rPr>
          <w:rFonts w:eastAsia="Arial" w:cs="Arial"/>
          <w:szCs w:val="24"/>
        </w:rPr>
        <w:t>e)</w:t>
      </w:r>
      <w:r w:rsidRPr="00372BBE">
        <w:rPr>
          <w:rFonts w:eastAsia="Arial" w:cs="Arial"/>
          <w:szCs w:val="24"/>
        </w:rPr>
        <w:t>.</w:t>
      </w:r>
      <w:r>
        <w:rPr>
          <w:rFonts w:eastAsia="Arial" w:cs="Arial"/>
          <w:szCs w:val="24"/>
        </w:rPr>
        <w:t xml:space="preserve"> Rileviamo invece che l</w:t>
      </w:r>
      <w:r w:rsidRPr="004B5F21">
        <w:rPr>
          <w:rFonts w:eastAsia="Arial" w:cs="Arial"/>
          <w:szCs w:val="24"/>
        </w:rPr>
        <w:t>a produzi</w:t>
      </w:r>
      <w:r>
        <w:rPr>
          <w:rFonts w:eastAsia="Arial" w:cs="Arial"/>
          <w:szCs w:val="24"/>
        </w:rPr>
        <w:t>one da partecipazioni nucleari</w:t>
      </w:r>
      <w:r w:rsidRPr="004B5F21">
        <w:rPr>
          <w:rFonts w:eastAsia="Arial" w:cs="Arial"/>
          <w:szCs w:val="24"/>
        </w:rPr>
        <w:t xml:space="preserve"> è </w:t>
      </w:r>
      <w:r>
        <w:rPr>
          <w:rFonts w:eastAsia="Arial" w:cs="Arial"/>
          <w:szCs w:val="24"/>
        </w:rPr>
        <w:t>cresciuta</w:t>
      </w:r>
      <w:r w:rsidRPr="004B5F21">
        <w:rPr>
          <w:rFonts w:eastAsia="Arial" w:cs="Arial"/>
          <w:szCs w:val="24"/>
        </w:rPr>
        <w:t xml:space="preserve"> del </w:t>
      </w:r>
      <w:r>
        <w:rPr>
          <w:rFonts w:eastAsia="Arial" w:cs="Arial"/>
          <w:szCs w:val="24"/>
        </w:rPr>
        <w:t>1</w:t>
      </w:r>
      <w:r w:rsidRPr="004B5F21">
        <w:rPr>
          <w:rFonts w:eastAsia="Arial" w:cs="Arial"/>
          <w:szCs w:val="24"/>
        </w:rPr>
        <w:t>4% rispetto all’anno</w:t>
      </w:r>
      <w:r>
        <w:rPr>
          <w:rFonts w:eastAsia="Arial" w:cs="Arial"/>
          <w:szCs w:val="24"/>
        </w:rPr>
        <w:t xml:space="preserve"> precedente, attestandosi </w:t>
      </w:r>
      <w:r w:rsidRPr="004B5F21">
        <w:rPr>
          <w:rFonts w:eastAsia="Arial" w:cs="Arial"/>
          <w:szCs w:val="24"/>
        </w:rPr>
        <w:t xml:space="preserve">a </w:t>
      </w:r>
      <w:r>
        <w:rPr>
          <w:rFonts w:eastAsia="Arial" w:cs="Arial"/>
          <w:szCs w:val="24"/>
        </w:rPr>
        <w:t>322</w:t>
      </w:r>
      <w:r w:rsidRPr="004B5F21">
        <w:rPr>
          <w:rFonts w:eastAsia="Arial" w:cs="Arial"/>
          <w:szCs w:val="24"/>
        </w:rPr>
        <w:t xml:space="preserve"> </w:t>
      </w:r>
      <w:proofErr w:type="spellStart"/>
      <w:r w:rsidRPr="004B5F21">
        <w:rPr>
          <w:rFonts w:eastAsia="Arial" w:cs="Arial"/>
          <w:szCs w:val="24"/>
        </w:rPr>
        <w:t>GWh</w:t>
      </w:r>
      <w:proofErr w:type="spellEnd"/>
      <w:r>
        <w:rPr>
          <w:rFonts w:eastAsia="Arial" w:cs="Arial"/>
          <w:szCs w:val="24"/>
        </w:rPr>
        <w:t>. Si ricorda tuttavia che nel 2016 (</w:t>
      </w:r>
      <w:r w:rsidRPr="00FF55C3">
        <w:rPr>
          <w:rFonts w:eastAsia="Arial" w:cs="Arial"/>
          <w:szCs w:val="24"/>
          <w:lang w:val="it-IT"/>
        </w:rPr>
        <w:t xml:space="preserve">282 </w:t>
      </w:r>
      <w:proofErr w:type="spellStart"/>
      <w:r w:rsidRPr="00FF55C3">
        <w:rPr>
          <w:rFonts w:eastAsia="Arial" w:cs="Arial"/>
          <w:szCs w:val="24"/>
          <w:lang w:val="it-IT"/>
        </w:rPr>
        <w:t>GWh</w:t>
      </w:r>
      <w:proofErr w:type="spellEnd"/>
      <w:r>
        <w:rPr>
          <w:rFonts w:eastAsia="Arial" w:cs="Arial"/>
          <w:szCs w:val="24"/>
        </w:rPr>
        <w:t xml:space="preserve">) questa produzione era calata </w:t>
      </w:r>
      <w:r w:rsidRPr="00FF55C3">
        <w:rPr>
          <w:rFonts w:eastAsia="Arial" w:cs="Arial"/>
          <w:szCs w:val="24"/>
          <w:lang w:val="it-IT"/>
        </w:rPr>
        <w:t>del 24% a causa delle fermate pianificate delle centrali francesi e della messa fuori servizio del reattore</w:t>
      </w:r>
      <w:r>
        <w:rPr>
          <w:rFonts w:eastAsia="Arial" w:cs="Arial"/>
          <w:szCs w:val="24"/>
        </w:rPr>
        <w:t xml:space="preserve"> </w:t>
      </w:r>
      <w:r w:rsidRPr="00FF55C3">
        <w:rPr>
          <w:rFonts w:eastAsia="Arial" w:cs="Arial"/>
          <w:szCs w:val="24"/>
          <w:lang w:val="it-IT"/>
        </w:rPr>
        <w:t xml:space="preserve">di </w:t>
      </w:r>
      <w:proofErr w:type="spellStart"/>
      <w:r w:rsidRPr="00FF55C3">
        <w:rPr>
          <w:rFonts w:eastAsia="Arial" w:cs="Arial"/>
          <w:szCs w:val="24"/>
          <w:lang w:val="it-IT"/>
        </w:rPr>
        <w:t>Leibstadt</w:t>
      </w:r>
      <w:proofErr w:type="spellEnd"/>
      <w:r>
        <w:rPr>
          <w:rFonts w:eastAsia="Arial" w:cs="Arial"/>
          <w:szCs w:val="24"/>
          <w:lang w:val="it-IT"/>
        </w:rPr>
        <w:t>.</w:t>
      </w:r>
    </w:p>
    <w:p w:rsidR="00533F77" w:rsidRDefault="00533F77" w:rsidP="00533F77">
      <w:pPr>
        <w:rPr>
          <w:rFonts w:eastAsia="Arial" w:cs="Arial"/>
          <w:szCs w:val="24"/>
          <w:lang w:val="it-IT"/>
        </w:rPr>
      </w:pPr>
    </w:p>
    <w:p w:rsidR="00533F77" w:rsidRPr="009833E7" w:rsidRDefault="00533F77" w:rsidP="00533F77">
      <w:pPr>
        <w:rPr>
          <w:rFonts w:eastAsia="Arial" w:cs="Arial"/>
          <w:szCs w:val="24"/>
          <w:lang w:val="it-IT"/>
        </w:rPr>
      </w:pPr>
      <w:r w:rsidRPr="009833E7">
        <w:rPr>
          <w:rFonts w:eastAsia="Arial" w:cs="Arial"/>
          <w:szCs w:val="24"/>
          <w:lang w:val="it-IT"/>
        </w:rPr>
        <w:t>Per quanto concerne la produzione degli impianti fotovoltaici di AET, nel 2017 non è entrato in funzione alcun nuovo impianto ma si è progettato l’impianto del Liceo di Locarno, entrato in funzione nel 2018. La tabella che segue illustra la situazione rispetto all’anno precedente. La differenza significativa tra produzione 2016 e 2017 è dovuta al fatto che nel 2016 sono entrati in produzione 4 impianti (FV Filippi, Centro Arti e Mestieri, Centro Manutenzione Strade e Autorimessa AET) nel corso dell’anno.</w:t>
      </w:r>
    </w:p>
    <w:p w:rsidR="00533F77" w:rsidRDefault="00533F77" w:rsidP="00533F77">
      <w:pPr>
        <w:rPr>
          <w:rFonts w:eastAsia="Arial" w:cs="Arial"/>
          <w:szCs w:val="24"/>
          <w:highlight w:val="yellow"/>
          <w:lang w:val="it-IT"/>
        </w:rPr>
      </w:pPr>
    </w:p>
    <w:p w:rsidR="00533F77" w:rsidRPr="00EE3334" w:rsidRDefault="00533F77" w:rsidP="00533F77">
      <w:pPr>
        <w:rPr>
          <w:rFonts w:eastAsia="Arial" w:cs="Arial"/>
          <w:szCs w:val="24"/>
          <w:highlight w:val="yellow"/>
          <w:lang w:val="it-IT"/>
        </w:rPr>
      </w:pPr>
    </w:p>
    <w:tbl>
      <w:tblPr>
        <w:tblW w:w="8897" w:type="dxa"/>
        <w:tblCellMar>
          <w:top w:w="57" w:type="dxa"/>
          <w:left w:w="0" w:type="dxa"/>
          <w:bottom w:w="57" w:type="dxa"/>
          <w:right w:w="0" w:type="dxa"/>
        </w:tblCellMar>
        <w:tblLook w:val="04A0" w:firstRow="1" w:lastRow="0" w:firstColumn="1" w:lastColumn="0" w:noHBand="0" w:noVBand="1"/>
      </w:tblPr>
      <w:tblGrid>
        <w:gridCol w:w="4908"/>
        <w:gridCol w:w="1437"/>
        <w:gridCol w:w="1276"/>
        <w:gridCol w:w="1276"/>
      </w:tblGrid>
      <w:tr w:rsidR="00533F77" w:rsidRPr="00533F77" w:rsidTr="004A18E8">
        <w:trPr>
          <w:cantSplit/>
          <w:trHeight w:val="397"/>
        </w:trPr>
        <w:tc>
          <w:tcPr>
            <w:tcW w:w="4908" w:type="dxa"/>
            <w:tcMar>
              <w:top w:w="0" w:type="dxa"/>
              <w:left w:w="108" w:type="dxa"/>
              <w:bottom w:w="0" w:type="dxa"/>
              <w:right w:w="108" w:type="dxa"/>
            </w:tcMar>
            <w:hideMark/>
          </w:tcPr>
          <w:p w:rsidR="00533F77" w:rsidRPr="00533F77" w:rsidRDefault="00533F77" w:rsidP="004A18E8">
            <w:pPr>
              <w:rPr>
                <w:rFonts w:eastAsia="Arial" w:cs="Arial"/>
                <w:sz w:val="22"/>
              </w:rPr>
            </w:pPr>
            <w:r w:rsidRPr="00533F77">
              <w:rPr>
                <w:rFonts w:eastAsia="Arial" w:cs="Arial"/>
                <w:sz w:val="22"/>
              </w:rPr>
              <w:lastRenderedPageBreak/>
              <w:t> </w:t>
            </w:r>
          </w:p>
        </w:tc>
        <w:tc>
          <w:tcPr>
            <w:tcW w:w="1437" w:type="dxa"/>
          </w:tcPr>
          <w:p w:rsidR="00533F77" w:rsidRPr="00533F77" w:rsidRDefault="00533F77" w:rsidP="00533F77">
            <w:pPr>
              <w:jc w:val="right"/>
              <w:rPr>
                <w:rFonts w:eastAsia="Arial" w:cs="Arial"/>
                <w:sz w:val="22"/>
              </w:rPr>
            </w:pPr>
            <w:r w:rsidRPr="00533F77">
              <w:rPr>
                <w:rFonts w:eastAsia="Arial" w:cs="Arial"/>
                <w:sz w:val="22"/>
              </w:rPr>
              <w:t xml:space="preserve"> 2017</w:t>
            </w:r>
          </w:p>
        </w:tc>
        <w:tc>
          <w:tcPr>
            <w:tcW w:w="1276" w:type="dxa"/>
            <w:tcMar>
              <w:top w:w="0" w:type="dxa"/>
              <w:left w:w="108" w:type="dxa"/>
              <w:bottom w:w="0" w:type="dxa"/>
              <w:right w:w="108" w:type="dxa"/>
            </w:tcMar>
            <w:hideMark/>
          </w:tcPr>
          <w:p w:rsidR="00533F77" w:rsidRPr="00533F77" w:rsidRDefault="00533F77" w:rsidP="00533F77">
            <w:pPr>
              <w:jc w:val="right"/>
              <w:rPr>
                <w:rFonts w:eastAsia="Arial" w:cs="Arial"/>
                <w:sz w:val="22"/>
              </w:rPr>
            </w:pPr>
            <w:r w:rsidRPr="00533F77">
              <w:rPr>
                <w:rFonts w:eastAsia="Arial" w:cs="Arial"/>
                <w:sz w:val="22"/>
              </w:rPr>
              <w:t>2016</w:t>
            </w:r>
          </w:p>
        </w:tc>
        <w:tc>
          <w:tcPr>
            <w:tcW w:w="1276" w:type="dxa"/>
            <w:tcMar>
              <w:top w:w="0" w:type="dxa"/>
              <w:left w:w="108" w:type="dxa"/>
              <w:bottom w:w="0" w:type="dxa"/>
              <w:right w:w="108" w:type="dxa"/>
            </w:tcMar>
            <w:hideMark/>
          </w:tcPr>
          <w:p w:rsidR="00533F77" w:rsidRPr="00533F77" w:rsidRDefault="00533F77" w:rsidP="00533F77">
            <w:pPr>
              <w:jc w:val="right"/>
              <w:rPr>
                <w:rFonts w:eastAsia="Arial" w:cs="Arial"/>
                <w:sz w:val="22"/>
              </w:rPr>
            </w:pPr>
            <w:proofErr w:type="spellStart"/>
            <w:r w:rsidRPr="00533F77">
              <w:rPr>
                <w:rFonts w:eastAsia="Arial" w:cs="Arial"/>
                <w:sz w:val="22"/>
              </w:rPr>
              <w:t>Diff</w:t>
            </w:r>
            <w:proofErr w:type="spellEnd"/>
            <w:r w:rsidRPr="00533F77">
              <w:rPr>
                <w:rFonts w:eastAsia="Arial" w:cs="Arial"/>
                <w:sz w:val="22"/>
              </w:rPr>
              <w:t>. %</w:t>
            </w:r>
          </w:p>
        </w:tc>
      </w:tr>
      <w:tr w:rsidR="00533F77" w:rsidRPr="00533F77" w:rsidTr="004A18E8">
        <w:trPr>
          <w:cantSplit/>
          <w:trHeight w:val="397"/>
        </w:trPr>
        <w:tc>
          <w:tcPr>
            <w:tcW w:w="4908" w:type="dxa"/>
            <w:tcMar>
              <w:top w:w="0" w:type="dxa"/>
              <w:left w:w="108" w:type="dxa"/>
              <w:bottom w:w="0" w:type="dxa"/>
              <w:right w:w="108" w:type="dxa"/>
            </w:tcMar>
            <w:hideMark/>
          </w:tcPr>
          <w:p w:rsidR="00533F77" w:rsidRPr="00533F77" w:rsidRDefault="00533F77" w:rsidP="004A18E8">
            <w:pPr>
              <w:rPr>
                <w:rFonts w:eastAsia="Arial" w:cs="Arial"/>
                <w:sz w:val="22"/>
              </w:rPr>
            </w:pPr>
            <w:r w:rsidRPr="00533F77">
              <w:rPr>
                <w:rFonts w:eastAsia="Arial" w:cs="Arial"/>
                <w:sz w:val="22"/>
              </w:rPr>
              <w:t>Impianti fotovoltaici partecipati da AET</w:t>
            </w:r>
          </w:p>
        </w:tc>
        <w:tc>
          <w:tcPr>
            <w:tcW w:w="1437" w:type="dxa"/>
          </w:tcPr>
          <w:p w:rsidR="00533F77" w:rsidRPr="00533F77" w:rsidRDefault="00533F77" w:rsidP="00533F77">
            <w:pPr>
              <w:jc w:val="right"/>
              <w:rPr>
                <w:rFonts w:eastAsia="Arial" w:cs="Arial"/>
                <w:sz w:val="22"/>
              </w:rPr>
            </w:pPr>
            <w:r w:rsidRPr="00533F77">
              <w:rPr>
                <w:rFonts w:eastAsia="Arial" w:cs="Arial"/>
                <w:sz w:val="22"/>
              </w:rPr>
              <w:t xml:space="preserve"> 26</w:t>
            </w:r>
          </w:p>
        </w:tc>
        <w:tc>
          <w:tcPr>
            <w:tcW w:w="1276" w:type="dxa"/>
            <w:tcMar>
              <w:top w:w="0" w:type="dxa"/>
              <w:left w:w="108" w:type="dxa"/>
              <w:bottom w:w="0" w:type="dxa"/>
              <w:right w:w="108" w:type="dxa"/>
            </w:tcMar>
            <w:hideMark/>
          </w:tcPr>
          <w:p w:rsidR="00533F77" w:rsidRPr="00533F77" w:rsidRDefault="00533F77" w:rsidP="00533F77">
            <w:pPr>
              <w:jc w:val="right"/>
              <w:rPr>
                <w:rFonts w:eastAsia="Arial" w:cs="Arial"/>
                <w:sz w:val="22"/>
              </w:rPr>
            </w:pPr>
            <w:r w:rsidRPr="00533F77">
              <w:rPr>
                <w:rFonts w:eastAsia="Arial" w:cs="Arial"/>
                <w:sz w:val="22"/>
              </w:rPr>
              <w:t>26</w:t>
            </w:r>
          </w:p>
        </w:tc>
        <w:tc>
          <w:tcPr>
            <w:tcW w:w="1276" w:type="dxa"/>
            <w:tcMar>
              <w:top w:w="0" w:type="dxa"/>
              <w:left w:w="108" w:type="dxa"/>
              <w:bottom w:w="0" w:type="dxa"/>
              <w:right w:w="108" w:type="dxa"/>
            </w:tcMar>
            <w:hideMark/>
          </w:tcPr>
          <w:p w:rsidR="00533F77" w:rsidRPr="00533F77" w:rsidRDefault="00533F77" w:rsidP="00533F77">
            <w:pPr>
              <w:jc w:val="right"/>
              <w:rPr>
                <w:rFonts w:eastAsia="Arial" w:cs="Arial"/>
                <w:sz w:val="22"/>
              </w:rPr>
            </w:pPr>
            <w:r w:rsidRPr="00533F77">
              <w:rPr>
                <w:rFonts w:eastAsia="Arial" w:cs="Arial"/>
                <w:sz w:val="22"/>
              </w:rPr>
              <w:t>0</w:t>
            </w:r>
          </w:p>
        </w:tc>
      </w:tr>
      <w:tr w:rsidR="00533F77" w:rsidRPr="00533F77" w:rsidTr="004A18E8">
        <w:trPr>
          <w:cantSplit/>
          <w:trHeight w:val="397"/>
        </w:trPr>
        <w:tc>
          <w:tcPr>
            <w:tcW w:w="4908" w:type="dxa"/>
            <w:tcMar>
              <w:top w:w="0" w:type="dxa"/>
              <w:left w:w="108" w:type="dxa"/>
              <w:bottom w:w="0" w:type="dxa"/>
              <w:right w:w="108" w:type="dxa"/>
            </w:tcMar>
            <w:hideMark/>
          </w:tcPr>
          <w:p w:rsidR="00533F77" w:rsidRPr="00533F77" w:rsidRDefault="00533F77" w:rsidP="004A18E8">
            <w:pPr>
              <w:rPr>
                <w:rFonts w:eastAsia="Arial" w:cs="Arial"/>
                <w:sz w:val="22"/>
              </w:rPr>
            </w:pPr>
            <w:r w:rsidRPr="00533F77">
              <w:rPr>
                <w:rFonts w:eastAsia="Arial" w:cs="Arial"/>
                <w:sz w:val="22"/>
              </w:rPr>
              <w:t>Potenza complessiva degli impianti partecipati da AET (compresa la quota relativa a partecipanti terzi) [kW]</w:t>
            </w:r>
          </w:p>
        </w:tc>
        <w:tc>
          <w:tcPr>
            <w:tcW w:w="1437" w:type="dxa"/>
          </w:tcPr>
          <w:p w:rsidR="00533F77" w:rsidRPr="00533F77" w:rsidRDefault="00533F77" w:rsidP="00533F77">
            <w:pPr>
              <w:jc w:val="right"/>
              <w:rPr>
                <w:rFonts w:eastAsia="Arial" w:cs="Arial"/>
                <w:sz w:val="22"/>
              </w:rPr>
            </w:pPr>
            <w:r w:rsidRPr="00533F77">
              <w:rPr>
                <w:rFonts w:eastAsia="Arial" w:cs="Arial"/>
                <w:sz w:val="22"/>
              </w:rPr>
              <w:t xml:space="preserve"> 4906</w:t>
            </w:r>
          </w:p>
        </w:tc>
        <w:tc>
          <w:tcPr>
            <w:tcW w:w="1276" w:type="dxa"/>
            <w:tcMar>
              <w:top w:w="0" w:type="dxa"/>
              <w:left w:w="108" w:type="dxa"/>
              <w:bottom w:w="0" w:type="dxa"/>
              <w:right w:w="108" w:type="dxa"/>
            </w:tcMar>
            <w:hideMark/>
          </w:tcPr>
          <w:p w:rsidR="00533F77" w:rsidRPr="00533F77" w:rsidRDefault="00533F77" w:rsidP="00533F77">
            <w:pPr>
              <w:jc w:val="right"/>
              <w:rPr>
                <w:rFonts w:eastAsia="Arial" w:cs="Arial"/>
                <w:sz w:val="22"/>
              </w:rPr>
            </w:pPr>
            <w:r w:rsidRPr="00533F77">
              <w:rPr>
                <w:rFonts w:eastAsia="Arial" w:cs="Arial"/>
                <w:sz w:val="22"/>
              </w:rPr>
              <w:t>4906</w:t>
            </w:r>
          </w:p>
        </w:tc>
        <w:tc>
          <w:tcPr>
            <w:tcW w:w="1276" w:type="dxa"/>
            <w:tcMar>
              <w:top w:w="0" w:type="dxa"/>
              <w:left w:w="108" w:type="dxa"/>
              <w:bottom w:w="0" w:type="dxa"/>
              <w:right w:w="108" w:type="dxa"/>
            </w:tcMar>
            <w:hideMark/>
          </w:tcPr>
          <w:p w:rsidR="00533F77" w:rsidRPr="00533F77" w:rsidRDefault="00533F77" w:rsidP="00533F77">
            <w:pPr>
              <w:jc w:val="right"/>
              <w:rPr>
                <w:rFonts w:eastAsia="Arial" w:cs="Arial"/>
                <w:sz w:val="22"/>
              </w:rPr>
            </w:pPr>
            <w:r w:rsidRPr="00533F77">
              <w:rPr>
                <w:rFonts w:eastAsia="Arial" w:cs="Arial"/>
                <w:sz w:val="22"/>
              </w:rPr>
              <w:t>0</w:t>
            </w:r>
          </w:p>
        </w:tc>
      </w:tr>
      <w:tr w:rsidR="00533F77" w:rsidRPr="00533F77" w:rsidTr="004A18E8">
        <w:trPr>
          <w:cantSplit/>
          <w:trHeight w:val="397"/>
        </w:trPr>
        <w:tc>
          <w:tcPr>
            <w:tcW w:w="4908" w:type="dxa"/>
            <w:tcMar>
              <w:top w:w="0" w:type="dxa"/>
              <w:left w:w="108" w:type="dxa"/>
              <w:bottom w:w="0" w:type="dxa"/>
              <w:right w:w="108" w:type="dxa"/>
            </w:tcMar>
            <w:hideMark/>
          </w:tcPr>
          <w:p w:rsidR="00533F77" w:rsidRPr="00533F77" w:rsidRDefault="00533F77" w:rsidP="004A18E8">
            <w:pPr>
              <w:rPr>
                <w:rFonts w:eastAsia="Arial" w:cs="Arial"/>
                <w:sz w:val="22"/>
              </w:rPr>
            </w:pPr>
            <w:r w:rsidRPr="00533F77">
              <w:rPr>
                <w:rFonts w:eastAsia="Arial" w:cs="Arial"/>
                <w:sz w:val="22"/>
              </w:rPr>
              <w:t>Volumi prodotti dagli impianti partecipati da AET (compresa la quota relativa a partecipanti terzi) [kWh] **</w:t>
            </w:r>
          </w:p>
        </w:tc>
        <w:tc>
          <w:tcPr>
            <w:tcW w:w="1437" w:type="dxa"/>
          </w:tcPr>
          <w:p w:rsidR="00533F77" w:rsidRPr="00533F77" w:rsidRDefault="00533F77" w:rsidP="00533F77">
            <w:pPr>
              <w:jc w:val="right"/>
              <w:rPr>
                <w:rFonts w:eastAsia="Arial" w:cs="Arial"/>
                <w:sz w:val="22"/>
              </w:rPr>
            </w:pPr>
            <w:r w:rsidRPr="00533F77">
              <w:rPr>
                <w:rFonts w:eastAsia="Arial" w:cs="Arial"/>
                <w:sz w:val="22"/>
              </w:rPr>
              <w:t xml:space="preserve"> 5'134’610</w:t>
            </w:r>
          </w:p>
        </w:tc>
        <w:tc>
          <w:tcPr>
            <w:tcW w:w="1276" w:type="dxa"/>
            <w:tcMar>
              <w:top w:w="0" w:type="dxa"/>
              <w:left w:w="108" w:type="dxa"/>
              <w:bottom w:w="0" w:type="dxa"/>
              <w:right w:w="108" w:type="dxa"/>
            </w:tcMar>
            <w:hideMark/>
          </w:tcPr>
          <w:p w:rsidR="00533F77" w:rsidRPr="00533F77" w:rsidRDefault="00533F77" w:rsidP="00533F77">
            <w:pPr>
              <w:jc w:val="right"/>
              <w:rPr>
                <w:rFonts w:eastAsia="Arial" w:cs="Arial"/>
                <w:sz w:val="22"/>
              </w:rPr>
            </w:pPr>
            <w:r w:rsidRPr="00533F77">
              <w:rPr>
                <w:rFonts w:eastAsia="Arial" w:cs="Arial"/>
                <w:sz w:val="22"/>
              </w:rPr>
              <w:t>4'642’535</w:t>
            </w:r>
          </w:p>
        </w:tc>
        <w:tc>
          <w:tcPr>
            <w:tcW w:w="1276" w:type="dxa"/>
            <w:tcMar>
              <w:top w:w="0" w:type="dxa"/>
              <w:left w:w="108" w:type="dxa"/>
              <w:bottom w:w="0" w:type="dxa"/>
              <w:right w:w="108" w:type="dxa"/>
            </w:tcMar>
            <w:hideMark/>
          </w:tcPr>
          <w:p w:rsidR="00533F77" w:rsidRPr="00533F77" w:rsidRDefault="00533F77" w:rsidP="00533F77">
            <w:pPr>
              <w:jc w:val="right"/>
              <w:rPr>
                <w:rFonts w:eastAsia="Arial" w:cs="Arial"/>
                <w:sz w:val="22"/>
              </w:rPr>
            </w:pPr>
            <w:r w:rsidRPr="00533F77">
              <w:rPr>
                <w:rFonts w:eastAsia="Arial" w:cs="Arial"/>
                <w:sz w:val="22"/>
              </w:rPr>
              <w:t>10.6</w:t>
            </w:r>
          </w:p>
        </w:tc>
      </w:tr>
      <w:tr w:rsidR="00533F77" w:rsidRPr="00533F77" w:rsidTr="004A18E8">
        <w:trPr>
          <w:cantSplit/>
          <w:trHeight w:val="397"/>
        </w:trPr>
        <w:tc>
          <w:tcPr>
            <w:tcW w:w="4908" w:type="dxa"/>
            <w:tcMar>
              <w:top w:w="0" w:type="dxa"/>
              <w:left w:w="108" w:type="dxa"/>
              <w:bottom w:w="0" w:type="dxa"/>
              <w:right w:w="108" w:type="dxa"/>
            </w:tcMar>
            <w:hideMark/>
          </w:tcPr>
          <w:p w:rsidR="00533F77" w:rsidRPr="00533F77" w:rsidRDefault="00533F77" w:rsidP="004A18E8">
            <w:pPr>
              <w:rPr>
                <w:rFonts w:eastAsia="Arial" w:cs="Arial"/>
                <w:sz w:val="22"/>
              </w:rPr>
            </w:pPr>
            <w:r w:rsidRPr="00533F77">
              <w:rPr>
                <w:rFonts w:eastAsia="Arial" w:cs="Arial"/>
                <w:sz w:val="22"/>
              </w:rPr>
              <w:t>Quota dei volumi prodotti per AET</w:t>
            </w:r>
          </w:p>
        </w:tc>
        <w:tc>
          <w:tcPr>
            <w:tcW w:w="1437" w:type="dxa"/>
          </w:tcPr>
          <w:p w:rsidR="00533F77" w:rsidRPr="00533F77" w:rsidRDefault="00533F77" w:rsidP="00533F77">
            <w:pPr>
              <w:jc w:val="right"/>
              <w:rPr>
                <w:rFonts w:eastAsia="Arial" w:cs="Arial"/>
                <w:sz w:val="22"/>
              </w:rPr>
            </w:pPr>
            <w:r w:rsidRPr="00533F77">
              <w:rPr>
                <w:rFonts w:eastAsia="Arial" w:cs="Arial"/>
                <w:sz w:val="22"/>
              </w:rPr>
              <w:t xml:space="preserve"> 3'163’630</w:t>
            </w:r>
          </w:p>
        </w:tc>
        <w:tc>
          <w:tcPr>
            <w:tcW w:w="1276" w:type="dxa"/>
            <w:tcMar>
              <w:top w:w="0" w:type="dxa"/>
              <w:left w:w="108" w:type="dxa"/>
              <w:bottom w:w="0" w:type="dxa"/>
              <w:right w:w="108" w:type="dxa"/>
            </w:tcMar>
            <w:hideMark/>
          </w:tcPr>
          <w:p w:rsidR="00533F77" w:rsidRPr="00533F77" w:rsidRDefault="00533F77" w:rsidP="00533F77">
            <w:pPr>
              <w:jc w:val="right"/>
              <w:rPr>
                <w:rFonts w:eastAsia="Arial" w:cs="Arial"/>
                <w:sz w:val="22"/>
              </w:rPr>
            </w:pPr>
            <w:r w:rsidRPr="00533F77">
              <w:rPr>
                <w:rFonts w:eastAsia="Arial" w:cs="Arial"/>
                <w:sz w:val="22"/>
              </w:rPr>
              <w:t>3'079’923</w:t>
            </w:r>
          </w:p>
        </w:tc>
        <w:tc>
          <w:tcPr>
            <w:tcW w:w="1276" w:type="dxa"/>
            <w:tcMar>
              <w:top w:w="0" w:type="dxa"/>
              <w:left w:w="108" w:type="dxa"/>
              <w:bottom w:w="0" w:type="dxa"/>
              <w:right w:w="108" w:type="dxa"/>
            </w:tcMar>
            <w:hideMark/>
          </w:tcPr>
          <w:p w:rsidR="00533F77" w:rsidRPr="00533F77" w:rsidRDefault="00533F77" w:rsidP="00533F77">
            <w:pPr>
              <w:jc w:val="right"/>
              <w:rPr>
                <w:rFonts w:eastAsia="Arial" w:cs="Arial"/>
                <w:sz w:val="22"/>
              </w:rPr>
            </w:pPr>
            <w:r w:rsidRPr="00533F77">
              <w:rPr>
                <w:rFonts w:eastAsia="Arial" w:cs="Arial"/>
                <w:sz w:val="22"/>
              </w:rPr>
              <w:t>2.7</w:t>
            </w:r>
          </w:p>
        </w:tc>
      </w:tr>
    </w:tbl>
    <w:p w:rsidR="00533F77" w:rsidRPr="009833E7" w:rsidRDefault="00533F77" w:rsidP="00533F77">
      <w:pPr>
        <w:rPr>
          <w:rFonts w:eastAsia="Arial" w:cs="Arial"/>
          <w:szCs w:val="24"/>
        </w:rPr>
      </w:pPr>
    </w:p>
    <w:p w:rsidR="00533F77" w:rsidRPr="009C7C14" w:rsidRDefault="00533F77" w:rsidP="00533F77">
      <w:pPr>
        <w:rPr>
          <w:rFonts w:eastAsia="Arial" w:cs="Arial"/>
          <w:szCs w:val="24"/>
        </w:rPr>
      </w:pPr>
      <w:r w:rsidRPr="009833E7">
        <w:rPr>
          <w:rFonts w:eastAsia="Arial" w:cs="Arial"/>
          <w:szCs w:val="24"/>
        </w:rPr>
        <w:t xml:space="preserve">AET ha concentrato le proprie attenzioni sugli edifici di proprietà dello Stato e in tal senso è in contatto con la Sezione della logistica del DFE, con la quale è stato firmato un accordo di collaborazione. AET ha già indicato alla Sezione della logistica una “short list” di possibili ubicazioni d’interesse e ulteriori approfondimenti sono in corso. Si deve sottolineare come AET progetti e metta in funzione solo impianti fotovoltaici i cui business </w:t>
      </w:r>
      <w:proofErr w:type="spellStart"/>
      <w:r w:rsidRPr="009833E7">
        <w:rPr>
          <w:rFonts w:eastAsia="Arial" w:cs="Arial"/>
          <w:szCs w:val="24"/>
        </w:rPr>
        <w:t>plan</w:t>
      </w:r>
      <w:proofErr w:type="spellEnd"/>
      <w:r w:rsidRPr="009833E7">
        <w:rPr>
          <w:rFonts w:eastAsia="Arial" w:cs="Arial"/>
          <w:szCs w:val="24"/>
        </w:rPr>
        <w:t xml:space="preserve"> evidenzino risultati positivi: per realizzare questi obiettivi necessitano superfici relativamente grandi, un’insolazione soddisfacente e buoni volumi di autoconsumo. In assenza di una delle componenti citate l’investimento non risulta redditizio ed AET non può permettersi di farsi carico di nuovi investimenti senza un debito riscontro finanziario. La strategia intrapresa da AET evita invece di promuovere nuovi impianti su grandi superfici di edifici privati, lasciando queste iniziative al distributore locale del comprensorio interessato. Se debitamente coinvolta dal distributore locale, AET valuta una partecipazione con il distributore stesso.</w:t>
      </w:r>
    </w:p>
    <w:p w:rsidR="00533F77" w:rsidRPr="006967C3" w:rsidRDefault="00533F77" w:rsidP="00533F77">
      <w:pPr>
        <w:rPr>
          <w:rFonts w:eastAsia="Arial"/>
        </w:rPr>
      </w:pPr>
    </w:p>
    <w:p w:rsidR="00533F77" w:rsidRPr="00453A50" w:rsidRDefault="00533F77" w:rsidP="00533F77">
      <w:pPr>
        <w:pStyle w:val="NormaleWeb"/>
        <w:spacing w:before="0" w:beforeAutospacing="0" w:after="0" w:afterAutospacing="0"/>
        <w:jc w:val="both"/>
        <w:rPr>
          <w:rFonts w:ascii="Arial" w:hAnsi="Arial" w:cs="Arial"/>
          <w:color w:val="000000" w:themeColor="text1"/>
        </w:rPr>
      </w:pPr>
      <w:r>
        <w:rPr>
          <w:rFonts w:ascii="Arial" w:hAnsi="Arial" w:cs="Arial"/>
          <w:color w:val="000000" w:themeColor="text1"/>
        </w:rPr>
        <w:t>L</w:t>
      </w:r>
      <w:r w:rsidRPr="006967C3">
        <w:rPr>
          <w:rFonts w:ascii="Arial" w:hAnsi="Arial" w:cs="Arial"/>
          <w:color w:val="000000" w:themeColor="text1"/>
        </w:rPr>
        <w:t xml:space="preserve">a produzione totale di energia del gruppo è </w:t>
      </w:r>
      <w:r>
        <w:rPr>
          <w:rFonts w:ascii="Arial" w:hAnsi="Arial" w:cs="Arial"/>
          <w:color w:val="000000" w:themeColor="text1"/>
        </w:rPr>
        <w:t>cresciuta leggermente attestandosi a</w:t>
      </w:r>
      <w:r w:rsidRPr="006967C3">
        <w:rPr>
          <w:rFonts w:ascii="Arial" w:hAnsi="Arial" w:cs="Arial"/>
          <w:color w:val="000000" w:themeColor="text1"/>
        </w:rPr>
        <w:t xml:space="preserve"> 2’</w:t>
      </w:r>
      <w:r>
        <w:rPr>
          <w:rFonts w:ascii="Arial" w:hAnsi="Arial" w:cs="Arial"/>
          <w:color w:val="000000" w:themeColor="text1"/>
        </w:rPr>
        <w:t>265</w:t>
      </w:r>
      <w:r w:rsidRPr="006967C3">
        <w:rPr>
          <w:rFonts w:ascii="Arial" w:hAnsi="Arial" w:cs="Arial"/>
          <w:color w:val="000000" w:themeColor="text1"/>
        </w:rPr>
        <w:t xml:space="preserve"> </w:t>
      </w:r>
      <w:proofErr w:type="spellStart"/>
      <w:r w:rsidRPr="006967C3">
        <w:rPr>
          <w:rFonts w:ascii="Arial" w:hAnsi="Arial" w:cs="Arial"/>
          <w:color w:val="000000" w:themeColor="text1"/>
        </w:rPr>
        <w:t>GWh</w:t>
      </w:r>
      <w:proofErr w:type="spellEnd"/>
      <w:r w:rsidRPr="006967C3">
        <w:rPr>
          <w:rFonts w:ascii="Arial" w:hAnsi="Arial" w:cs="Arial"/>
          <w:color w:val="000000" w:themeColor="text1"/>
        </w:rPr>
        <w:t xml:space="preserve"> </w:t>
      </w:r>
      <w:r>
        <w:rPr>
          <w:rFonts w:ascii="Arial" w:hAnsi="Arial" w:cs="Arial"/>
          <w:color w:val="000000" w:themeColor="text1"/>
        </w:rPr>
        <w:t>(</w:t>
      </w:r>
      <w:r w:rsidRPr="006967C3">
        <w:rPr>
          <w:rFonts w:ascii="Arial" w:hAnsi="Arial" w:cs="Arial"/>
          <w:color w:val="000000" w:themeColor="text1"/>
        </w:rPr>
        <w:t xml:space="preserve">2'182 </w:t>
      </w:r>
      <w:proofErr w:type="spellStart"/>
      <w:r w:rsidRPr="006967C3">
        <w:rPr>
          <w:rFonts w:ascii="Arial" w:hAnsi="Arial" w:cs="Arial"/>
          <w:color w:val="000000" w:themeColor="text1"/>
        </w:rPr>
        <w:t>GWh</w:t>
      </w:r>
      <w:proofErr w:type="spellEnd"/>
      <w:r w:rsidRPr="006967C3">
        <w:rPr>
          <w:rFonts w:ascii="Arial" w:hAnsi="Arial" w:cs="Arial"/>
          <w:color w:val="000000" w:themeColor="text1"/>
        </w:rPr>
        <w:t xml:space="preserve"> nel 201</w:t>
      </w:r>
      <w:r>
        <w:rPr>
          <w:rFonts w:ascii="Arial" w:hAnsi="Arial" w:cs="Arial"/>
          <w:color w:val="000000" w:themeColor="text1"/>
        </w:rPr>
        <w:t>6</w:t>
      </w:r>
      <w:r w:rsidRPr="006967C3">
        <w:rPr>
          <w:rFonts w:ascii="Arial" w:hAnsi="Arial" w:cs="Arial"/>
          <w:color w:val="000000" w:themeColor="text1"/>
        </w:rPr>
        <w:t xml:space="preserve">). </w:t>
      </w:r>
      <w:r>
        <w:rPr>
          <w:rFonts w:ascii="Arial" w:hAnsi="Arial" w:cs="Arial"/>
          <w:color w:val="000000" w:themeColor="text1"/>
        </w:rPr>
        <w:t>Rispetto all'esercizio precedente sono in</w:t>
      </w:r>
      <w:r w:rsidRPr="006967C3">
        <w:rPr>
          <w:rFonts w:ascii="Arial" w:hAnsi="Arial" w:cs="Arial"/>
          <w:color w:val="000000" w:themeColor="text1"/>
        </w:rPr>
        <w:t xml:space="preserve"> crescita anche le vendite passate da 1</w:t>
      </w:r>
      <w:r>
        <w:rPr>
          <w:rFonts w:ascii="Arial" w:hAnsi="Arial" w:cs="Arial"/>
          <w:color w:val="000000" w:themeColor="text1"/>
        </w:rPr>
        <w:t>5</w:t>
      </w:r>
      <w:r w:rsidRPr="006967C3">
        <w:rPr>
          <w:rFonts w:ascii="Arial" w:hAnsi="Arial" w:cs="Arial"/>
          <w:color w:val="000000" w:themeColor="text1"/>
        </w:rPr>
        <w:t>'</w:t>
      </w:r>
      <w:r>
        <w:rPr>
          <w:rFonts w:ascii="Arial" w:hAnsi="Arial" w:cs="Arial"/>
          <w:color w:val="000000" w:themeColor="text1"/>
        </w:rPr>
        <w:t>879</w:t>
      </w:r>
      <w:r w:rsidRPr="006967C3">
        <w:rPr>
          <w:rFonts w:ascii="Arial" w:hAnsi="Arial" w:cs="Arial"/>
          <w:color w:val="000000" w:themeColor="text1"/>
        </w:rPr>
        <w:t xml:space="preserve"> </w:t>
      </w:r>
      <w:proofErr w:type="spellStart"/>
      <w:r w:rsidRPr="006967C3">
        <w:rPr>
          <w:rFonts w:ascii="Arial" w:hAnsi="Arial" w:cs="Arial"/>
          <w:color w:val="000000" w:themeColor="text1"/>
        </w:rPr>
        <w:t>GWh</w:t>
      </w:r>
      <w:proofErr w:type="spellEnd"/>
      <w:r w:rsidRPr="006967C3">
        <w:rPr>
          <w:rFonts w:ascii="Arial" w:hAnsi="Arial" w:cs="Arial"/>
          <w:color w:val="000000" w:themeColor="text1"/>
        </w:rPr>
        <w:t xml:space="preserve"> (201</w:t>
      </w:r>
      <w:r>
        <w:rPr>
          <w:rFonts w:ascii="Arial" w:hAnsi="Arial" w:cs="Arial"/>
          <w:color w:val="000000" w:themeColor="text1"/>
        </w:rPr>
        <w:t>6</w:t>
      </w:r>
      <w:r w:rsidRPr="006967C3">
        <w:rPr>
          <w:rFonts w:ascii="Arial" w:hAnsi="Arial" w:cs="Arial"/>
          <w:color w:val="000000" w:themeColor="text1"/>
        </w:rPr>
        <w:t>) a 1</w:t>
      </w:r>
      <w:r>
        <w:rPr>
          <w:rFonts w:ascii="Arial" w:hAnsi="Arial" w:cs="Arial"/>
          <w:color w:val="000000" w:themeColor="text1"/>
        </w:rPr>
        <w:t>9</w:t>
      </w:r>
      <w:r w:rsidRPr="006967C3">
        <w:rPr>
          <w:rFonts w:ascii="Arial" w:hAnsi="Arial" w:cs="Arial"/>
          <w:color w:val="000000" w:themeColor="text1"/>
        </w:rPr>
        <w:t>'</w:t>
      </w:r>
      <w:r>
        <w:rPr>
          <w:rFonts w:ascii="Arial" w:hAnsi="Arial" w:cs="Arial"/>
          <w:color w:val="000000" w:themeColor="text1"/>
        </w:rPr>
        <w:t>766</w:t>
      </w:r>
      <w:r w:rsidRPr="006967C3">
        <w:rPr>
          <w:rFonts w:ascii="Arial" w:hAnsi="Arial" w:cs="Arial"/>
          <w:color w:val="000000" w:themeColor="text1"/>
        </w:rPr>
        <w:t xml:space="preserve"> </w:t>
      </w:r>
      <w:proofErr w:type="spellStart"/>
      <w:r w:rsidRPr="006967C3">
        <w:rPr>
          <w:rFonts w:ascii="Arial" w:hAnsi="Arial" w:cs="Arial"/>
          <w:color w:val="000000" w:themeColor="text1"/>
        </w:rPr>
        <w:t>GWh</w:t>
      </w:r>
      <w:proofErr w:type="spellEnd"/>
      <w:r w:rsidRPr="006967C3">
        <w:rPr>
          <w:rFonts w:ascii="Arial" w:hAnsi="Arial" w:cs="Arial"/>
          <w:color w:val="000000" w:themeColor="text1"/>
        </w:rPr>
        <w:t xml:space="preserve"> (201</w:t>
      </w:r>
      <w:r>
        <w:rPr>
          <w:rFonts w:ascii="Arial" w:hAnsi="Arial" w:cs="Arial"/>
          <w:color w:val="000000" w:themeColor="text1"/>
        </w:rPr>
        <w:t>7</w:t>
      </w:r>
      <w:r w:rsidRPr="006967C3">
        <w:rPr>
          <w:rFonts w:ascii="Arial" w:hAnsi="Arial" w:cs="Arial"/>
          <w:color w:val="000000" w:themeColor="text1"/>
        </w:rPr>
        <w:t xml:space="preserve">), </w:t>
      </w:r>
      <w:r>
        <w:rPr>
          <w:rFonts w:ascii="Arial" w:hAnsi="Arial" w:cs="Arial"/>
          <w:color w:val="000000" w:themeColor="text1"/>
        </w:rPr>
        <w:t xml:space="preserve">nonostante un calo dell'erogazione agli utenti finali sono aumentate sensibilmente soprattutto le vendite sul mercato (da 12'769 </w:t>
      </w:r>
      <w:proofErr w:type="spellStart"/>
      <w:r>
        <w:rPr>
          <w:rFonts w:ascii="Arial" w:hAnsi="Arial" w:cs="Arial"/>
          <w:color w:val="000000" w:themeColor="text1"/>
        </w:rPr>
        <w:t>GWh</w:t>
      </w:r>
      <w:proofErr w:type="spellEnd"/>
      <w:r>
        <w:rPr>
          <w:rFonts w:ascii="Arial" w:hAnsi="Arial" w:cs="Arial"/>
          <w:color w:val="000000" w:themeColor="text1"/>
        </w:rPr>
        <w:t xml:space="preserve"> nel 2016 a 17'117 </w:t>
      </w:r>
      <w:proofErr w:type="spellStart"/>
      <w:r>
        <w:rPr>
          <w:rFonts w:ascii="Arial" w:hAnsi="Arial" w:cs="Arial"/>
          <w:color w:val="000000" w:themeColor="text1"/>
        </w:rPr>
        <w:t>GWh</w:t>
      </w:r>
      <w:proofErr w:type="spellEnd"/>
      <w:r>
        <w:rPr>
          <w:rFonts w:ascii="Arial" w:hAnsi="Arial" w:cs="Arial"/>
          <w:color w:val="000000" w:themeColor="text1"/>
        </w:rPr>
        <w:t xml:space="preserve"> nel 2017).</w:t>
      </w:r>
    </w:p>
    <w:p w:rsidR="00533F77" w:rsidRPr="006967C3" w:rsidRDefault="00533F77" w:rsidP="00533F77"/>
    <w:p w:rsidR="00533F77" w:rsidRPr="002B6EA0" w:rsidRDefault="00533F77" w:rsidP="00533F77">
      <w:pPr>
        <w:rPr>
          <w:rFonts w:cs="Arial"/>
          <w:lang w:val="it-IT"/>
        </w:rPr>
      </w:pPr>
      <w:r w:rsidRPr="006967C3">
        <w:t>Per quanto riguarda le partecipazioni detenute da AET in alcune società di produzione attive all’estero, acquisite nei primi anni 2000 in virtù dell’obbligo vigente all’epoca di garantire l’approvvigionamento del Cantone</w:t>
      </w:r>
      <w:r>
        <w:t xml:space="preserve"> (addirittura in misura superiore al consumo), </w:t>
      </w:r>
      <w:r w:rsidRPr="006967C3">
        <w:t xml:space="preserve">la forte contrazione dei prezzi dell’energia e la conseguente perdita di valore di tali partecipazioni ha </w:t>
      </w:r>
      <w:r>
        <w:t xml:space="preserve">portato </w:t>
      </w:r>
      <w:r w:rsidRPr="002B6EA0">
        <w:rPr>
          <w:rFonts w:cs="Arial"/>
          <w:lang w:val="it-IT"/>
        </w:rPr>
        <w:t>negli scorsi anni a una loro graduale dismissione</w:t>
      </w:r>
      <w:r w:rsidRPr="006967C3">
        <w:t>.</w:t>
      </w:r>
      <w:r>
        <w:t xml:space="preserve"> I tempi e le modalità delle cessioni dipendono dalle opportunità offerte da un mercato tuttora sfavorevole, tuttavia questi investimenti esteri interamente svalutati non provocano più ripercussioni sostanziali sui conti di AET.</w:t>
      </w:r>
    </w:p>
    <w:p w:rsidR="00533F77" w:rsidRDefault="00533F77" w:rsidP="00533F77">
      <w:pPr>
        <w:rPr>
          <w:rFonts w:cs="Arial"/>
        </w:rPr>
      </w:pPr>
    </w:p>
    <w:p w:rsidR="00533F77" w:rsidRPr="00EC6176" w:rsidRDefault="00533F77" w:rsidP="00533F77">
      <w:pPr>
        <w:rPr>
          <w:rFonts w:cs="Arial"/>
        </w:rPr>
      </w:pPr>
      <w:r>
        <w:rPr>
          <w:rFonts w:cs="Arial"/>
        </w:rPr>
        <w:t xml:space="preserve">Uno dei fattori che penalizza la partecipazione di </w:t>
      </w:r>
      <w:proofErr w:type="spellStart"/>
      <w:r>
        <w:rPr>
          <w:rFonts w:cs="Arial"/>
        </w:rPr>
        <w:t>Lünen</w:t>
      </w:r>
      <w:proofErr w:type="spellEnd"/>
      <w:r>
        <w:rPr>
          <w:rFonts w:cs="Arial"/>
        </w:rPr>
        <w:t xml:space="preserve"> anche per l'esercizio 2017 è quello del prezzo eccessivamente basso dei certificati CO2: si tratta di un livello insufficiente a disincentivare la produzione di energia elettrica da centrali a carbone e lignite di vecchia generazione, estremamente inquinanti. I prezzi dei certificati CO2 hanno ripreso leggermente a crescere verso la fine dell'anno, confermando nel 2018 una crescita esponenziale fino a raggiungere i livelli di 25 euro/t del 2011 </w:t>
      </w:r>
    </w:p>
    <w:p w:rsidR="00533F77" w:rsidRDefault="00533F77" w:rsidP="00533F77">
      <w:pPr>
        <w:rPr>
          <w:rFonts w:ascii="Helvetica" w:hAnsi="Helvetica" w:cs="Times New Roman"/>
          <w:szCs w:val="24"/>
          <w:lang w:val="it-IT" w:eastAsia="it-IT"/>
        </w:rPr>
      </w:pPr>
    </w:p>
    <w:p w:rsidR="00533F77" w:rsidRDefault="00533F77" w:rsidP="00533F77">
      <w:pPr>
        <w:rPr>
          <w:rFonts w:cs="Arial"/>
          <w:color w:val="000000" w:themeColor="text1"/>
          <w:szCs w:val="24"/>
          <w:lang w:val="it-IT" w:eastAsia="it-IT"/>
        </w:rPr>
      </w:pPr>
      <w:r>
        <w:rPr>
          <w:rFonts w:cs="Arial"/>
          <w:color w:val="000000" w:themeColor="text1"/>
          <w:szCs w:val="24"/>
        </w:rPr>
        <w:t>Riguardo</w:t>
      </w:r>
      <w:r w:rsidRPr="0003783A">
        <w:rPr>
          <w:rFonts w:cs="Arial"/>
          <w:color w:val="000000" w:themeColor="text1"/>
          <w:szCs w:val="24"/>
        </w:rPr>
        <w:t xml:space="preserve"> le società partecipate da AET </w:t>
      </w:r>
      <w:r w:rsidRPr="007447B0">
        <w:rPr>
          <w:rFonts w:cs="Arial"/>
          <w:color w:val="000000" w:themeColor="text1"/>
          <w:szCs w:val="24"/>
          <w:lang w:val="it-IT" w:eastAsia="it-IT"/>
        </w:rPr>
        <w:t>alleghiamo</w:t>
      </w:r>
      <w:r w:rsidRPr="0003783A">
        <w:rPr>
          <w:rFonts w:cs="Arial"/>
          <w:color w:val="000000" w:themeColor="text1"/>
          <w:szCs w:val="24"/>
          <w:lang w:val="it-IT" w:eastAsia="it-IT"/>
        </w:rPr>
        <w:t xml:space="preserve"> al presente rapporto </w:t>
      </w:r>
      <w:r>
        <w:rPr>
          <w:rFonts w:cs="Arial"/>
          <w:color w:val="000000" w:themeColor="text1"/>
          <w:szCs w:val="24"/>
          <w:lang w:val="it-IT" w:eastAsia="it-IT"/>
        </w:rPr>
        <w:t>lo</w:t>
      </w:r>
      <w:r w:rsidRPr="0003783A">
        <w:rPr>
          <w:rFonts w:cs="Arial"/>
          <w:color w:val="000000" w:themeColor="text1"/>
          <w:szCs w:val="24"/>
          <w:lang w:val="it-IT" w:eastAsia="it-IT"/>
        </w:rPr>
        <w:t xml:space="preserve"> schem</w:t>
      </w:r>
      <w:r>
        <w:rPr>
          <w:rFonts w:cs="Arial"/>
          <w:color w:val="000000" w:themeColor="text1"/>
          <w:szCs w:val="24"/>
          <w:lang w:val="it-IT" w:eastAsia="it-IT"/>
        </w:rPr>
        <w:t>a</w:t>
      </w:r>
      <w:r w:rsidRPr="0003783A">
        <w:rPr>
          <w:rFonts w:cs="Arial"/>
          <w:color w:val="000000" w:themeColor="text1"/>
          <w:szCs w:val="24"/>
          <w:lang w:val="it-IT" w:eastAsia="it-IT"/>
        </w:rPr>
        <w:t xml:space="preserve"> riepilogativ</w:t>
      </w:r>
      <w:r>
        <w:rPr>
          <w:rFonts w:cs="Arial"/>
          <w:color w:val="000000" w:themeColor="text1"/>
          <w:szCs w:val="24"/>
          <w:lang w:val="it-IT" w:eastAsia="it-IT"/>
        </w:rPr>
        <w:t xml:space="preserve">o dell'organigramma </w:t>
      </w:r>
      <w:r w:rsidRPr="0003783A">
        <w:rPr>
          <w:rFonts w:cs="Arial"/>
          <w:color w:val="000000" w:themeColor="text1"/>
          <w:szCs w:val="24"/>
          <w:lang w:val="it-IT" w:eastAsia="it-IT"/>
        </w:rPr>
        <w:t>delle partecipate al 31.12.201</w:t>
      </w:r>
      <w:r>
        <w:rPr>
          <w:rFonts w:cs="Arial"/>
          <w:color w:val="000000" w:themeColor="text1"/>
          <w:szCs w:val="24"/>
          <w:lang w:val="it-IT" w:eastAsia="it-IT"/>
        </w:rPr>
        <w:t>7, rimasto praticamente invariato rispetto all'anno precedente. Tuttavia permette sempre di comprendere il</w:t>
      </w:r>
      <w:r w:rsidRPr="0003783A">
        <w:rPr>
          <w:rFonts w:cs="Arial"/>
          <w:color w:val="000000" w:themeColor="text1"/>
          <w:szCs w:val="24"/>
          <w:lang w:val="it-IT" w:eastAsia="it-IT"/>
        </w:rPr>
        <w:t xml:space="preserve"> </w:t>
      </w:r>
      <w:r w:rsidRPr="0003783A">
        <w:rPr>
          <w:rFonts w:cs="Arial"/>
          <w:color w:val="000000" w:themeColor="text1"/>
          <w:szCs w:val="24"/>
          <w:lang w:val="it-IT" w:eastAsia="it-IT"/>
        </w:rPr>
        <w:lastRenderedPageBreak/>
        <w:t xml:space="preserve">contesto in cui l’azienda si sta muovendo </w:t>
      </w:r>
      <w:r>
        <w:rPr>
          <w:rFonts w:cs="Arial"/>
          <w:color w:val="000000" w:themeColor="text1"/>
          <w:szCs w:val="24"/>
          <w:lang w:val="it-IT" w:eastAsia="it-IT"/>
        </w:rPr>
        <w:t xml:space="preserve">e un confronto nel corso degli anni evidenza la strategia </w:t>
      </w:r>
      <w:r w:rsidRPr="0003783A">
        <w:rPr>
          <w:rFonts w:cs="Arial"/>
          <w:color w:val="000000" w:themeColor="text1"/>
          <w:szCs w:val="24"/>
          <w:lang w:val="it-IT" w:eastAsia="it-IT"/>
        </w:rPr>
        <w:t xml:space="preserve">di dismettere gradualmente diverse partecipazioni all’estero per concentrarsi su investimenti di produzione di energia rinnovabile sul territorio cantonale. </w:t>
      </w:r>
    </w:p>
    <w:p w:rsidR="00533F77" w:rsidRDefault="00533F77" w:rsidP="00533F77">
      <w:pPr>
        <w:rPr>
          <w:rFonts w:cs="Arial"/>
          <w:color w:val="000000" w:themeColor="text1"/>
          <w:szCs w:val="24"/>
          <w:lang w:val="it-IT" w:eastAsia="it-IT"/>
        </w:rPr>
      </w:pPr>
    </w:p>
    <w:p w:rsidR="00533F77" w:rsidRDefault="00533F77" w:rsidP="00533F77">
      <w:pPr>
        <w:rPr>
          <w:rFonts w:cs="Arial"/>
          <w:color w:val="000000" w:themeColor="text1"/>
          <w:szCs w:val="24"/>
          <w:lang w:val="it-IT" w:eastAsia="it-IT"/>
        </w:rPr>
      </w:pPr>
      <w:r>
        <w:rPr>
          <w:rFonts w:cs="Arial"/>
          <w:color w:val="000000" w:themeColor="text1"/>
          <w:szCs w:val="24"/>
          <w:lang w:val="it-IT" w:eastAsia="it-IT"/>
        </w:rPr>
        <w:t xml:space="preserve">Per quanto concerne il gruppo </w:t>
      </w:r>
      <w:r w:rsidRPr="004D04B0">
        <w:rPr>
          <w:rFonts w:cs="Arial"/>
          <w:color w:val="000000" w:themeColor="text1"/>
          <w:szCs w:val="24"/>
          <w:lang w:val="it-IT" w:eastAsia="it-IT"/>
        </w:rPr>
        <w:t>CEG</w:t>
      </w:r>
      <w:r>
        <w:rPr>
          <w:rFonts w:cs="Arial"/>
          <w:color w:val="000000" w:themeColor="text1"/>
          <w:szCs w:val="24"/>
          <w:lang w:val="it-IT" w:eastAsia="it-IT"/>
        </w:rPr>
        <w:t>, il quale oggi</w:t>
      </w:r>
      <w:r w:rsidRPr="004D04B0">
        <w:rPr>
          <w:rFonts w:cs="Arial"/>
          <w:color w:val="000000" w:themeColor="text1"/>
          <w:szCs w:val="24"/>
          <w:lang w:val="it-IT" w:eastAsia="it-IT"/>
        </w:rPr>
        <w:t xml:space="preserve"> funge da veicolo di detenzione della partecipata </w:t>
      </w:r>
      <w:proofErr w:type="spellStart"/>
      <w:r w:rsidRPr="004D04B0">
        <w:rPr>
          <w:rFonts w:cs="Arial"/>
          <w:color w:val="000000" w:themeColor="text1"/>
          <w:szCs w:val="24"/>
          <w:lang w:val="it-IT" w:eastAsia="it-IT"/>
        </w:rPr>
        <w:t>Biogen</w:t>
      </w:r>
      <w:proofErr w:type="spellEnd"/>
      <w:r w:rsidRPr="004D04B0">
        <w:rPr>
          <w:rFonts w:cs="Arial"/>
          <w:color w:val="000000" w:themeColor="text1"/>
          <w:szCs w:val="24"/>
          <w:lang w:val="it-IT" w:eastAsia="it-IT"/>
        </w:rPr>
        <w:t xml:space="preserve"> Chivasso </w:t>
      </w:r>
      <w:proofErr w:type="spellStart"/>
      <w:r w:rsidRPr="004D04B0">
        <w:rPr>
          <w:rFonts w:cs="Arial"/>
          <w:color w:val="000000" w:themeColor="text1"/>
          <w:szCs w:val="24"/>
          <w:lang w:val="it-IT" w:eastAsia="it-IT"/>
        </w:rPr>
        <w:t>Srl</w:t>
      </w:r>
      <w:proofErr w:type="spellEnd"/>
      <w:r>
        <w:rPr>
          <w:rFonts w:cs="Arial"/>
          <w:color w:val="000000" w:themeColor="text1"/>
          <w:szCs w:val="24"/>
          <w:lang w:val="it-IT" w:eastAsia="it-IT"/>
        </w:rPr>
        <w:t>,</w:t>
      </w:r>
      <w:r w:rsidRPr="004D04B0">
        <w:rPr>
          <w:rFonts w:cs="Arial"/>
          <w:color w:val="000000" w:themeColor="text1"/>
          <w:szCs w:val="24"/>
          <w:lang w:val="it-IT" w:eastAsia="it-IT"/>
        </w:rPr>
        <w:t xml:space="preserve"> </w:t>
      </w:r>
      <w:r>
        <w:rPr>
          <w:rFonts w:cs="Arial"/>
          <w:color w:val="000000" w:themeColor="text1"/>
          <w:szCs w:val="24"/>
          <w:lang w:val="it-IT" w:eastAsia="it-IT"/>
        </w:rPr>
        <w:t>è</w:t>
      </w:r>
      <w:r w:rsidRPr="00DB69DB">
        <w:rPr>
          <w:rFonts w:cs="Arial"/>
          <w:color w:val="000000" w:themeColor="text1"/>
          <w:szCs w:val="24"/>
          <w:lang w:val="it-IT" w:eastAsia="it-IT"/>
        </w:rPr>
        <w:t xml:space="preserve"> tuttora in corso la cessione dello stabile di Occimiano</w:t>
      </w:r>
      <w:r>
        <w:rPr>
          <w:rFonts w:cs="Arial"/>
          <w:color w:val="000000" w:themeColor="text1"/>
          <w:szCs w:val="24"/>
          <w:lang w:val="it-IT" w:eastAsia="it-IT"/>
        </w:rPr>
        <w:t>, mentre</w:t>
      </w:r>
      <w:r w:rsidRPr="00DB69DB">
        <w:rPr>
          <w:rFonts w:cs="Arial"/>
          <w:color w:val="000000" w:themeColor="text1"/>
          <w:szCs w:val="24"/>
          <w:lang w:val="it-IT" w:eastAsia="it-IT"/>
        </w:rPr>
        <w:t xml:space="preserve"> la liquidazione della partecipata </w:t>
      </w:r>
      <w:proofErr w:type="spellStart"/>
      <w:r w:rsidRPr="00DB69DB">
        <w:rPr>
          <w:rFonts w:cs="Arial"/>
          <w:color w:val="000000" w:themeColor="text1"/>
          <w:szCs w:val="24"/>
          <w:lang w:val="it-IT" w:eastAsia="it-IT"/>
        </w:rPr>
        <w:t>Bio</w:t>
      </w:r>
      <w:proofErr w:type="spellEnd"/>
      <w:r w:rsidRPr="00DB69DB">
        <w:rPr>
          <w:rFonts w:cs="Arial"/>
          <w:color w:val="000000" w:themeColor="text1"/>
          <w:szCs w:val="24"/>
          <w:lang w:val="it-IT" w:eastAsia="it-IT"/>
        </w:rPr>
        <w:t xml:space="preserve"> </w:t>
      </w:r>
      <w:proofErr w:type="spellStart"/>
      <w:r w:rsidRPr="00DB69DB">
        <w:rPr>
          <w:rFonts w:cs="Arial"/>
          <w:color w:val="000000" w:themeColor="text1"/>
          <w:szCs w:val="24"/>
          <w:lang w:val="it-IT" w:eastAsia="it-IT"/>
        </w:rPr>
        <w:t>Elettricita</w:t>
      </w:r>
      <w:proofErr w:type="spellEnd"/>
      <w:r w:rsidRPr="00DB69DB">
        <w:rPr>
          <w:rFonts w:cs="Arial"/>
          <w:color w:val="000000" w:themeColor="text1"/>
          <w:szCs w:val="24"/>
          <w:lang w:val="it-IT" w:eastAsia="it-IT"/>
        </w:rPr>
        <w:t xml:space="preserve">̀ Occimiano </w:t>
      </w:r>
      <w:proofErr w:type="spellStart"/>
      <w:r w:rsidRPr="00DB69DB">
        <w:rPr>
          <w:rFonts w:cs="Arial"/>
          <w:color w:val="000000" w:themeColor="text1"/>
          <w:szCs w:val="24"/>
          <w:lang w:val="it-IT" w:eastAsia="it-IT"/>
        </w:rPr>
        <w:t>Srl</w:t>
      </w:r>
      <w:proofErr w:type="spellEnd"/>
      <w:r w:rsidRPr="00DB69DB">
        <w:rPr>
          <w:rFonts w:cs="Arial"/>
          <w:color w:val="000000" w:themeColor="text1"/>
          <w:szCs w:val="24"/>
          <w:lang w:val="it-IT" w:eastAsia="it-IT"/>
        </w:rPr>
        <w:t xml:space="preserve"> (BEO)</w:t>
      </w:r>
      <w:r>
        <w:rPr>
          <w:rFonts w:cs="Arial"/>
          <w:color w:val="000000" w:themeColor="text1"/>
          <w:szCs w:val="24"/>
          <w:lang w:val="it-IT" w:eastAsia="it-IT"/>
        </w:rPr>
        <w:t xml:space="preserve"> si è nel frattempo conclusa</w:t>
      </w:r>
      <w:r w:rsidRPr="00DB69DB">
        <w:rPr>
          <w:rFonts w:cs="Arial"/>
          <w:color w:val="000000" w:themeColor="text1"/>
          <w:szCs w:val="24"/>
          <w:lang w:val="it-IT" w:eastAsia="it-IT"/>
        </w:rPr>
        <w:t>.</w:t>
      </w:r>
      <w:r w:rsidRPr="004D04B0">
        <w:rPr>
          <w:rFonts w:cs="Arial"/>
          <w:color w:val="000000" w:themeColor="text1"/>
          <w:szCs w:val="24"/>
          <w:lang w:val="it-IT" w:eastAsia="it-IT"/>
        </w:rPr>
        <w:t xml:space="preserve"> Un’eventuale liquidazione o fusione con altre </w:t>
      </w:r>
      <w:proofErr w:type="spellStart"/>
      <w:r w:rsidRPr="004D04B0">
        <w:rPr>
          <w:rFonts w:cs="Arial"/>
          <w:color w:val="000000" w:themeColor="text1"/>
          <w:szCs w:val="24"/>
          <w:lang w:val="it-IT" w:eastAsia="it-IT"/>
        </w:rPr>
        <w:t>societa</w:t>
      </w:r>
      <w:proofErr w:type="spellEnd"/>
      <w:r w:rsidRPr="004D04B0">
        <w:rPr>
          <w:rFonts w:cs="Arial"/>
          <w:color w:val="000000" w:themeColor="text1"/>
          <w:szCs w:val="24"/>
          <w:lang w:val="it-IT" w:eastAsia="it-IT"/>
        </w:rPr>
        <w:t xml:space="preserve">̀ del gruppo </w:t>
      </w:r>
      <w:proofErr w:type="spellStart"/>
      <w:r w:rsidRPr="004D04B0">
        <w:rPr>
          <w:rFonts w:cs="Arial"/>
          <w:color w:val="000000" w:themeColor="text1"/>
          <w:szCs w:val="24"/>
          <w:lang w:val="it-IT" w:eastAsia="it-IT"/>
        </w:rPr>
        <w:t>sara</w:t>
      </w:r>
      <w:proofErr w:type="spellEnd"/>
      <w:r w:rsidRPr="004D04B0">
        <w:rPr>
          <w:rFonts w:cs="Arial"/>
          <w:color w:val="000000" w:themeColor="text1"/>
          <w:szCs w:val="24"/>
          <w:lang w:val="it-IT" w:eastAsia="it-IT"/>
        </w:rPr>
        <w:t>̀ valutata dopo la conclusione di queste attività̀.</w:t>
      </w:r>
    </w:p>
    <w:p w:rsidR="00533F77" w:rsidRPr="0003783A" w:rsidRDefault="00533F77" w:rsidP="00533F77">
      <w:pPr>
        <w:widowControl w:val="0"/>
        <w:autoSpaceDE w:val="0"/>
        <w:autoSpaceDN w:val="0"/>
        <w:adjustRightInd w:val="0"/>
        <w:rPr>
          <w:rFonts w:cs="Arial"/>
          <w:color w:val="000000" w:themeColor="text1"/>
          <w:szCs w:val="24"/>
          <w:lang w:val="it-IT"/>
        </w:rPr>
      </w:pPr>
    </w:p>
    <w:p w:rsidR="00533F77" w:rsidRDefault="00533F77" w:rsidP="00533F77">
      <w:pPr>
        <w:widowControl w:val="0"/>
        <w:autoSpaceDE w:val="0"/>
        <w:autoSpaceDN w:val="0"/>
        <w:adjustRightInd w:val="0"/>
        <w:rPr>
          <w:rFonts w:cs="Arial"/>
          <w:color w:val="000000" w:themeColor="text1"/>
          <w:szCs w:val="24"/>
          <w:lang w:val="it-IT"/>
        </w:rPr>
      </w:pPr>
      <w:r w:rsidRPr="0003783A">
        <w:rPr>
          <w:rFonts w:cs="Arial"/>
          <w:color w:val="000000" w:themeColor="text1"/>
          <w:szCs w:val="24"/>
          <w:lang w:val="it-IT"/>
        </w:rPr>
        <w:t xml:space="preserve">I parchi eolici greci finanziati tramite la partecipazione in </w:t>
      </w:r>
      <w:proofErr w:type="spellStart"/>
      <w:r w:rsidRPr="0003783A">
        <w:rPr>
          <w:rFonts w:cs="Arial"/>
          <w:color w:val="000000" w:themeColor="text1"/>
          <w:szCs w:val="24"/>
          <w:lang w:val="it-IT"/>
        </w:rPr>
        <w:t>Renewable</w:t>
      </w:r>
      <w:proofErr w:type="spellEnd"/>
      <w:r w:rsidRPr="0003783A">
        <w:rPr>
          <w:rFonts w:cs="Arial"/>
          <w:color w:val="000000" w:themeColor="text1"/>
          <w:szCs w:val="24"/>
          <w:lang w:val="it-IT"/>
        </w:rPr>
        <w:t xml:space="preserve"> Energy Investments SPC (REI) </w:t>
      </w:r>
      <w:r>
        <w:rPr>
          <w:rFonts w:cs="Arial"/>
          <w:color w:val="000000" w:themeColor="text1"/>
          <w:szCs w:val="24"/>
          <w:lang w:val="it-IT"/>
        </w:rPr>
        <w:t xml:space="preserve">– investimento svalutato completamente già a fine esercizio 2015 – continuano a soffrire della </w:t>
      </w:r>
      <w:r w:rsidRPr="0003783A">
        <w:rPr>
          <w:rFonts w:cs="Arial"/>
          <w:color w:val="000000" w:themeColor="text1"/>
          <w:szCs w:val="24"/>
          <w:lang w:val="it-IT"/>
        </w:rPr>
        <w:t>debolezza dell’intero sistema economico greco</w:t>
      </w:r>
      <w:r>
        <w:rPr>
          <w:rFonts w:cs="Arial"/>
          <w:color w:val="000000" w:themeColor="text1"/>
          <w:szCs w:val="24"/>
          <w:lang w:val="it-IT"/>
        </w:rPr>
        <w:t>, la quale</w:t>
      </w:r>
      <w:r w:rsidRPr="0003783A">
        <w:rPr>
          <w:rFonts w:cs="Arial"/>
          <w:color w:val="000000" w:themeColor="text1"/>
          <w:szCs w:val="24"/>
          <w:lang w:val="it-IT"/>
        </w:rPr>
        <w:t xml:space="preserve"> incide pesantemente sull’autonomia finanziaria delle società proprietarie dei parchi eolici</w:t>
      </w:r>
      <w:r>
        <w:rPr>
          <w:rFonts w:cs="Arial"/>
          <w:color w:val="000000" w:themeColor="text1"/>
          <w:szCs w:val="24"/>
          <w:lang w:val="it-IT"/>
        </w:rPr>
        <w:t>. A bilancio è indicata un</w:t>
      </w:r>
      <w:r w:rsidRPr="004D04B0">
        <w:rPr>
          <w:rFonts w:cs="Arial"/>
          <w:color w:val="000000" w:themeColor="text1"/>
          <w:szCs w:val="24"/>
          <w:lang w:val="it-IT"/>
        </w:rPr>
        <w:t>a rettifica per riduzione durevole di valore determinata in funzione delle criticità̀ economico-finanziarie cui l’investimento è esposto</w:t>
      </w:r>
      <w:r>
        <w:rPr>
          <w:rFonts w:cs="Arial"/>
          <w:color w:val="000000" w:themeColor="text1"/>
          <w:szCs w:val="24"/>
          <w:lang w:val="it-IT"/>
        </w:rPr>
        <w:t>, e vi si aggiunge che</w:t>
      </w:r>
      <w:r w:rsidRPr="004D04B0">
        <w:rPr>
          <w:rFonts w:cs="Arial"/>
          <w:color w:val="000000" w:themeColor="text1"/>
          <w:szCs w:val="24"/>
          <w:lang w:val="it-IT"/>
        </w:rPr>
        <w:t xml:space="preserve"> </w:t>
      </w:r>
      <w:r>
        <w:rPr>
          <w:rFonts w:cs="Arial"/>
          <w:color w:val="000000" w:themeColor="text1"/>
          <w:szCs w:val="24"/>
          <w:lang w:val="it-IT"/>
        </w:rPr>
        <w:t>i</w:t>
      </w:r>
      <w:r w:rsidRPr="004D04B0">
        <w:rPr>
          <w:rFonts w:cs="Arial"/>
          <w:color w:val="000000" w:themeColor="text1"/>
          <w:szCs w:val="24"/>
          <w:lang w:val="it-IT"/>
        </w:rPr>
        <w:t>l 31.01.2018 la società̀ è stata messa in liquidazione.</w:t>
      </w:r>
    </w:p>
    <w:p w:rsidR="00533F77" w:rsidRDefault="00533F77" w:rsidP="00533F77">
      <w:pPr>
        <w:widowControl w:val="0"/>
        <w:autoSpaceDE w:val="0"/>
        <w:autoSpaceDN w:val="0"/>
        <w:adjustRightInd w:val="0"/>
        <w:rPr>
          <w:rFonts w:cs="Arial"/>
          <w:noProof/>
        </w:rPr>
      </w:pPr>
    </w:p>
    <w:p w:rsidR="00533F77" w:rsidRDefault="00533F77" w:rsidP="00533F77">
      <w:pPr>
        <w:widowControl w:val="0"/>
        <w:autoSpaceDE w:val="0"/>
        <w:autoSpaceDN w:val="0"/>
        <w:adjustRightInd w:val="0"/>
        <w:rPr>
          <w:rFonts w:cs="Arial"/>
          <w:color w:val="000000" w:themeColor="text1"/>
          <w:szCs w:val="24"/>
          <w:lang w:val="it-IT"/>
        </w:rPr>
      </w:pPr>
      <w:r>
        <w:rPr>
          <w:rFonts w:cs="Arial"/>
          <w:noProof/>
          <w:lang w:eastAsia="it-CH"/>
        </w:rPr>
        <w:drawing>
          <wp:inline distT="0" distB="0" distL="0" distR="0" wp14:anchorId="5E00605C" wp14:editId="4F7D8E46">
            <wp:extent cx="5624655" cy="3337560"/>
            <wp:effectExtent l="0" t="0" r="1905"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18-12-17 alle 08.47.14.png"/>
                    <pic:cNvPicPr/>
                  </pic:nvPicPr>
                  <pic:blipFill>
                    <a:blip r:embed="rId9">
                      <a:extLst>
                        <a:ext uri="{28A0092B-C50C-407E-A947-70E740481C1C}">
                          <a14:useLocalDpi xmlns:a14="http://schemas.microsoft.com/office/drawing/2010/main" val="0"/>
                        </a:ext>
                      </a:extLst>
                    </a:blip>
                    <a:stretch>
                      <a:fillRect/>
                    </a:stretch>
                  </pic:blipFill>
                  <pic:spPr>
                    <a:xfrm>
                      <a:off x="0" y="0"/>
                      <a:ext cx="5642553" cy="3348181"/>
                    </a:xfrm>
                    <a:prstGeom prst="rect">
                      <a:avLst/>
                    </a:prstGeom>
                  </pic:spPr>
                </pic:pic>
              </a:graphicData>
            </a:graphic>
          </wp:inline>
        </w:drawing>
      </w:r>
    </w:p>
    <w:p w:rsidR="00533F77" w:rsidRDefault="00533F77" w:rsidP="00533F77">
      <w:pPr>
        <w:rPr>
          <w:rFonts w:cs="Arial"/>
          <w:color w:val="000000" w:themeColor="text1"/>
          <w:szCs w:val="24"/>
          <w:lang w:val="it-IT"/>
        </w:rPr>
      </w:pPr>
    </w:p>
    <w:p w:rsidR="00533F77" w:rsidRDefault="00533F77" w:rsidP="00533F77">
      <w:pPr>
        <w:rPr>
          <w:rFonts w:cs="Arial"/>
        </w:rPr>
      </w:pPr>
      <w:r>
        <w:rPr>
          <w:rFonts w:cs="Arial"/>
          <w:color w:val="000000" w:themeColor="text1"/>
          <w:szCs w:val="24"/>
          <w:lang w:val="it-IT"/>
        </w:rPr>
        <w:t>AET continua quindi a p</w:t>
      </w:r>
      <w:r w:rsidRPr="0003783A">
        <w:rPr>
          <w:rFonts w:cs="Arial"/>
          <w:color w:val="000000" w:themeColor="text1"/>
          <w:szCs w:val="24"/>
          <w:lang w:val="it-IT"/>
        </w:rPr>
        <w:t>ersegu</w:t>
      </w:r>
      <w:r>
        <w:rPr>
          <w:rFonts w:cs="Arial"/>
          <w:color w:val="000000" w:themeColor="text1"/>
          <w:szCs w:val="24"/>
          <w:lang w:val="it-IT"/>
        </w:rPr>
        <w:t>ire</w:t>
      </w:r>
      <w:r w:rsidRPr="0003783A">
        <w:rPr>
          <w:rFonts w:cs="Arial"/>
          <w:color w:val="000000" w:themeColor="text1"/>
          <w:szCs w:val="24"/>
          <w:lang w:val="it-IT"/>
        </w:rPr>
        <w:t xml:space="preserve"> lo scopo di focalizzarsi sulla valorizzazione delle risorse energetiche del Cantone Ticino e sullo sviluppo della sua produzione rinnovabile</w:t>
      </w:r>
      <w:r>
        <w:rPr>
          <w:rFonts w:cs="Arial"/>
          <w:color w:val="000000" w:themeColor="text1"/>
          <w:szCs w:val="24"/>
          <w:lang w:val="it-IT"/>
        </w:rPr>
        <w:t xml:space="preserve">, la quale è però purtroppo </w:t>
      </w:r>
      <w:r w:rsidRPr="00AD21F9">
        <w:rPr>
          <w:rFonts w:cs="Arial"/>
          <w:szCs w:val="24"/>
        </w:rPr>
        <w:t xml:space="preserve">penalizzata dagli attuali livelli di mercato </w:t>
      </w:r>
      <w:r>
        <w:rPr>
          <w:rFonts w:cs="Arial"/>
          <w:szCs w:val="24"/>
        </w:rPr>
        <w:t>che impediscono a t</w:t>
      </w:r>
      <w:r w:rsidRPr="00AD21F9">
        <w:rPr>
          <w:rFonts w:cs="Arial"/>
          <w:szCs w:val="24"/>
        </w:rPr>
        <w:t>utti i produttori</w:t>
      </w:r>
      <w:r>
        <w:rPr>
          <w:rFonts w:cs="Arial"/>
          <w:szCs w:val="24"/>
        </w:rPr>
        <w:t xml:space="preserve"> idroelettrici svizzeri di produrre marginalità.</w:t>
      </w:r>
      <w:r w:rsidRPr="006C7451">
        <w:rPr>
          <w:rFonts w:cs="Arial"/>
          <w:noProof/>
        </w:rPr>
        <w:t xml:space="preserve"> </w:t>
      </w:r>
    </w:p>
    <w:p w:rsidR="00533F77" w:rsidRDefault="00533F77" w:rsidP="00533F77">
      <w:pPr>
        <w:rPr>
          <w:rFonts w:cs="Arial"/>
          <w:szCs w:val="24"/>
        </w:rPr>
      </w:pPr>
    </w:p>
    <w:p w:rsidR="00533F77" w:rsidRPr="006967C3" w:rsidRDefault="00533F77" w:rsidP="00533F77">
      <w:pPr>
        <w:rPr>
          <w:rFonts w:cs="Arial"/>
          <w:szCs w:val="24"/>
        </w:rPr>
      </w:pPr>
      <w:r>
        <w:rPr>
          <w:rFonts w:cs="Arial"/>
          <w:szCs w:val="24"/>
        </w:rPr>
        <w:t xml:space="preserve">I </w:t>
      </w:r>
      <w:r w:rsidRPr="004B5F21">
        <w:rPr>
          <w:rFonts w:cs="Arial"/>
          <w:szCs w:val="24"/>
        </w:rPr>
        <w:t>ricavi d'esercizio</w:t>
      </w:r>
      <w:r>
        <w:rPr>
          <w:rFonts w:cs="Arial"/>
          <w:szCs w:val="24"/>
        </w:rPr>
        <w:t xml:space="preserve"> presentano un incremento di 98.7 mio di franchi (+12.8%) rispetto al 2016. Su questo risultato positivo incide particolarmente </w:t>
      </w:r>
      <w:r w:rsidRPr="004B5F21">
        <w:rPr>
          <w:rFonts w:cs="Arial"/>
          <w:szCs w:val="24"/>
        </w:rPr>
        <w:t xml:space="preserve">l’incasso dalla vendita di energia </w:t>
      </w:r>
      <w:r>
        <w:rPr>
          <w:rFonts w:cs="Arial"/>
          <w:szCs w:val="24"/>
        </w:rPr>
        <w:t>di 802 mio di franchi, superiore anche al risultato di fine 2015. I</w:t>
      </w:r>
      <w:r w:rsidRPr="006967C3">
        <w:rPr>
          <w:rFonts w:cs="Arial"/>
          <w:szCs w:val="24"/>
        </w:rPr>
        <w:t xml:space="preserve">l saldo tra ricavi e costi per utilizzo rete è </w:t>
      </w:r>
      <w:r>
        <w:rPr>
          <w:rFonts w:cs="Arial"/>
          <w:szCs w:val="24"/>
        </w:rPr>
        <w:t xml:space="preserve">invece </w:t>
      </w:r>
      <w:r w:rsidRPr="006967C3">
        <w:rPr>
          <w:rFonts w:cs="Arial"/>
          <w:szCs w:val="24"/>
        </w:rPr>
        <w:t>stato di CHF 2</w:t>
      </w:r>
      <w:r>
        <w:rPr>
          <w:rFonts w:cs="Arial"/>
          <w:szCs w:val="24"/>
        </w:rPr>
        <w:t>6</w:t>
      </w:r>
      <w:r w:rsidRPr="006967C3">
        <w:rPr>
          <w:rFonts w:cs="Arial"/>
          <w:szCs w:val="24"/>
        </w:rPr>
        <w:t>'</w:t>
      </w:r>
      <w:r>
        <w:rPr>
          <w:rFonts w:cs="Arial"/>
          <w:szCs w:val="24"/>
        </w:rPr>
        <w:t>339</w:t>
      </w:r>
      <w:r w:rsidRPr="006967C3">
        <w:rPr>
          <w:rFonts w:cs="Arial"/>
          <w:szCs w:val="24"/>
        </w:rPr>
        <w:t xml:space="preserve">'000. </w:t>
      </w:r>
    </w:p>
    <w:p w:rsidR="00533F77" w:rsidRPr="006967C3" w:rsidRDefault="00533F77" w:rsidP="00533F77"/>
    <w:p w:rsidR="00533F77" w:rsidRDefault="00533F77" w:rsidP="00533F77">
      <w:pPr>
        <w:rPr>
          <w:rFonts w:cs="Arial"/>
          <w:szCs w:val="24"/>
        </w:rPr>
      </w:pPr>
      <w:r w:rsidRPr="00583C9B">
        <w:rPr>
          <w:rFonts w:cs="Arial"/>
          <w:szCs w:val="24"/>
        </w:rPr>
        <w:t>I conti AET 2017 di gruppo chiudono con una perdita d’esercizio consolidata di 12.7 mio di franchi (-30.</w:t>
      </w:r>
      <w:r>
        <w:rPr>
          <w:rFonts w:cs="Arial"/>
          <w:szCs w:val="24"/>
        </w:rPr>
        <w:t>9</w:t>
      </w:r>
      <w:r w:rsidRPr="00583C9B">
        <w:rPr>
          <w:rFonts w:cs="Arial"/>
          <w:szCs w:val="24"/>
        </w:rPr>
        <w:t xml:space="preserve"> mio nel 2016).</w:t>
      </w:r>
    </w:p>
    <w:p w:rsidR="00533F77" w:rsidRDefault="00533F77" w:rsidP="00533F77"/>
    <w:p w:rsidR="00533F77" w:rsidRDefault="00533F77" w:rsidP="00533F77">
      <w:pPr>
        <w:rPr>
          <w:rFonts w:cs="Arial"/>
          <w:szCs w:val="24"/>
        </w:rPr>
      </w:pPr>
      <w:r w:rsidRPr="00583C9B">
        <w:rPr>
          <w:rFonts w:cs="Arial"/>
          <w:szCs w:val="24"/>
        </w:rPr>
        <w:lastRenderedPageBreak/>
        <w:t>Segnaliamo inoltre che anche per questo esercizio AET sarà in grado di riversare allo Stato unicamente gli interessi sul capitale in dotazione di 3.2 mio di franchi. Risale all’esercizio 2014 l’ultimo versamento del dividendo allo Stato, anno in cui si attinse alle riserve per un importo di 5.0 mio di franchi.</w:t>
      </w:r>
    </w:p>
    <w:p w:rsidR="00533F77" w:rsidRDefault="00533F77" w:rsidP="00533F77">
      <w:pPr>
        <w:rPr>
          <w:rFonts w:cs="Arial"/>
          <w:szCs w:val="24"/>
        </w:rPr>
      </w:pPr>
    </w:p>
    <w:p w:rsidR="00533F77" w:rsidRPr="00583C9B" w:rsidRDefault="00533F77" w:rsidP="00533F77">
      <w:pPr>
        <w:rPr>
          <w:rFonts w:cs="Arial"/>
          <w:szCs w:val="24"/>
        </w:rPr>
      </w:pPr>
      <w:r>
        <w:rPr>
          <w:rFonts w:cs="Arial"/>
          <w:szCs w:val="24"/>
        </w:rPr>
        <w:t xml:space="preserve">Si ricordano pure le </w:t>
      </w:r>
      <w:r w:rsidRPr="00583C9B">
        <w:rPr>
          <w:rFonts w:cs="Arial"/>
          <w:szCs w:val="24"/>
        </w:rPr>
        <w:t xml:space="preserve">diverse misure di razionalizzazione </w:t>
      </w:r>
      <w:r>
        <w:rPr>
          <w:rFonts w:cs="Arial"/>
          <w:szCs w:val="24"/>
        </w:rPr>
        <w:t xml:space="preserve">attuate negli scorsi anni dal </w:t>
      </w:r>
      <w:r w:rsidRPr="00583C9B">
        <w:rPr>
          <w:rFonts w:cs="Arial"/>
          <w:szCs w:val="24"/>
        </w:rPr>
        <w:t>Consiglio di Amministrazione</w:t>
      </w:r>
      <w:r>
        <w:rPr>
          <w:rFonts w:cs="Arial"/>
          <w:szCs w:val="24"/>
        </w:rPr>
        <w:t xml:space="preserve"> (per cui si rimanda al rapporto della Commissione speciale Energia relativo all'esercizio 2016). Provvedimenti </w:t>
      </w:r>
      <w:r w:rsidRPr="00583C9B">
        <w:rPr>
          <w:rFonts w:cs="Arial"/>
          <w:szCs w:val="24"/>
        </w:rPr>
        <w:t>volt</w:t>
      </w:r>
      <w:r>
        <w:rPr>
          <w:rFonts w:cs="Arial"/>
          <w:szCs w:val="24"/>
        </w:rPr>
        <w:t>i</w:t>
      </w:r>
      <w:r w:rsidRPr="00583C9B">
        <w:rPr>
          <w:rFonts w:cs="Arial"/>
          <w:szCs w:val="24"/>
        </w:rPr>
        <w:t xml:space="preserve"> a ridurre l’impatto economico della difficile situazione di mercato, affinché AET mantenga una struttura sufficientemente solida per superare il periodo di difficoltà.</w:t>
      </w:r>
    </w:p>
    <w:p w:rsidR="00533F77" w:rsidRPr="001A3146" w:rsidRDefault="00533F77" w:rsidP="00533F77"/>
    <w:p w:rsidR="00533F77" w:rsidRPr="001A3146" w:rsidRDefault="00533F77" w:rsidP="00533F77"/>
    <w:p w:rsidR="00533F77" w:rsidRPr="006967C3" w:rsidRDefault="00533F77" w:rsidP="00533F77">
      <w:pPr>
        <w:pStyle w:val="Titolo1"/>
        <w:rPr>
          <w:rFonts w:cs="Arial"/>
        </w:rPr>
      </w:pPr>
      <w:bookmarkStart w:id="10" w:name="_Toc471834935"/>
      <w:r w:rsidRPr="006967C3">
        <w:rPr>
          <w:rFonts w:cs="Arial"/>
        </w:rPr>
        <w:t>CIFRE DEL RENDICONTO 201</w:t>
      </w:r>
      <w:bookmarkEnd w:id="10"/>
      <w:r>
        <w:rPr>
          <w:rFonts w:cs="Arial"/>
        </w:rPr>
        <w:t>7</w:t>
      </w:r>
    </w:p>
    <w:p w:rsidR="00533F77" w:rsidRPr="00AF4F1D" w:rsidRDefault="00533F77" w:rsidP="00533F77">
      <w:pPr>
        <w:rPr>
          <w:rFonts w:cs="Arial"/>
          <w:szCs w:val="24"/>
        </w:rPr>
      </w:pPr>
      <w:r w:rsidRPr="00AF4F1D">
        <w:rPr>
          <w:rFonts w:cs="Arial"/>
          <w:szCs w:val="24"/>
        </w:rPr>
        <w:t>Il risultato d’esercizio per il 201</w:t>
      </w:r>
      <w:r>
        <w:rPr>
          <w:rFonts w:cs="Arial"/>
          <w:szCs w:val="24"/>
        </w:rPr>
        <w:t>7</w:t>
      </w:r>
      <w:r w:rsidRPr="00AF4F1D">
        <w:rPr>
          <w:rFonts w:cs="Arial"/>
          <w:szCs w:val="24"/>
        </w:rPr>
        <w:t xml:space="preserve"> ammonta a CHF -</w:t>
      </w:r>
      <w:r>
        <w:rPr>
          <w:rFonts w:cs="Arial"/>
          <w:szCs w:val="24"/>
        </w:rPr>
        <w:t>21</w:t>
      </w:r>
      <w:r w:rsidRPr="00AF4F1D">
        <w:rPr>
          <w:rFonts w:cs="Arial"/>
          <w:szCs w:val="24"/>
        </w:rPr>
        <w:t>'</w:t>
      </w:r>
      <w:r>
        <w:rPr>
          <w:rFonts w:cs="Arial"/>
          <w:szCs w:val="24"/>
        </w:rPr>
        <w:t>516</w:t>
      </w:r>
      <w:r w:rsidRPr="00AF4F1D">
        <w:rPr>
          <w:rFonts w:cs="Arial"/>
          <w:szCs w:val="24"/>
        </w:rPr>
        <w:t>'000; su base consolidata il risultato al 31.12.201</w:t>
      </w:r>
      <w:r>
        <w:rPr>
          <w:rFonts w:cs="Arial"/>
          <w:szCs w:val="24"/>
        </w:rPr>
        <w:t>7</w:t>
      </w:r>
      <w:r w:rsidRPr="00AF4F1D">
        <w:rPr>
          <w:rFonts w:cs="Arial"/>
          <w:szCs w:val="24"/>
        </w:rPr>
        <w:t xml:space="preserve"> ammonta a CHF -</w:t>
      </w:r>
      <w:r>
        <w:rPr>
          <w:rFonts w:cs="Arial"/>
          <w:szCs w:val="24"/>
        </w:rPr>
        <w:t>12</w:t>
      </w:r>
      <w:r w:rsidRPr="00AF4F1D">
        <w:rPr>
          <w:rFonts w:cs="Arial"/>
          <w:szCs w:val="24"/>
        </w:rPr>
        <w:t>.</w:t>
      </w:r>
      <w:r>
        <w:rPr>
          <w:rFonts w:cs="Arial"/>
          <w:szCs w:val="24"/>
        </w:rPr>
        <w:t>7</w:t>
      </w:r>
      <w:r w:rsidRPr="00AF4F1D">
        <w:rPr>
          <w:rFonts w:cs="Arial"/>
          <w:szCs w:val="24"/>
        </w:rPr>
        <w:t xml:space="preserve"> mio.</w:t>
      </w:r>
      <w:r>
        <w:rPr>
          <w:rFonts w:cs="Arial"/>
          <w:szCs w:val="24"/>
        </w:rPr>
        <w:t xml:space="preserve"> Lo specchio che segue riassume le cifre del bilancio AET (non consolidato).</w:t>
      </w:r>
    </w:p>
    <w:p w:rsidR="00533F77" w:rsidRPr="00AF4F1D" w:rsidRDefault="00533F77" w:rsidP="00533F77"/>
    <w:p w:rsidR="00533F77" w:rsidRPr="00D253D3" w:rsidRDefault="00533F77" w:rsidP="00533F77">
      <w:pPr>
        <w:tabs>
          <w:tab w:val="right" w:pos="5529"/>
          <w:tab w:val="right" w:pos="7655"/>
        </w:tabs>
        <w:rPr>
          <w:rFonts w:cs="Arial"/>
          <w:b/>
          <w:sz w:val="22"/>
          <w:u w:val="single"/>
        </w:rPr>
      </w:pPr>
      <w:r w:rsidRPr="00AF4F1D">
        <w:rPr>
          <w:rFonts w:cs="Arial"/>
          <w:b/>
          <w:sz w:val="22"/>
          <w:u w:val="single"/>
        </w:rPr>
        <w:t>Bilancio</w:t>
      </w:r>
      <w:r w:rsidRPr="00AF4F1D">
        <w:rPr>
          <w:rFonts w:cs="Arial"/>
          <w:b/>
          <w:sz w:val="22"/>
        </w:rPr>
        <w:tab/>
      </w:r>
      <w:r w:rsidRPr="00AF4F1D">
        <w:rPr>
          <w:rFonts w:cs="Arial"/>
          <w:b/>
          <w:sz w:val="22"/>
          <w:u w:val="single"/>
        </w:rPr>
        <w:t>31.12.201</w:t>
      </w:r>
      <w:r>
        <w:rPr>
          <w:rFonts w:cs="Arial"/>
          <w:b/>
          <w:sz w:val="22"/>
          <w:u w:val="single"/>
        </w:rPr>
        <w:t>7</w:t>
      </w:r>
      <w:r w:rsidRPr="00AF4F1D">
        <w:rPr>
          <w:rFonts w:cs="Arial"/>
          <w:b/>
          <w:sz w:val="22"/>
        </w:rPr>
        <w:tab/>
      </w:r>
      <w:r w:rsidRPr="00AF4F1D">
        <w:rPr>
          <w:rFonts w:cs="Arial"/>
          <w:b/>
          <w:sz w:val="22"/>
          <w:u w:val="single"/>
        </w:rPr>
        <w:t>31.12.201</w:t>
      </w:r>
      <w:r>
        <w:rPr>
          <w:rFonts w:cs="Arial"/>
          <w:b/>
          <w:sz w:val="22"/>
          <w:u w:val="single"/>
        </w:rPr>
        <w:t>6</w:t>
      </w:r>
    </w:p>
    <w:p w:rsidR="00533F77" w:rsidRPr="001A3146" w:rsidRDefault="00533F77" w:rsidP="00533F77">
      <w:pPr>
        <w:tabs>
          <w:tab w:val="right" w:pos="5529"/>
          <w:tab w:val="right" w:pos="7655"/>
        </w:tabs>
        <w:spacing w:before="40"/>
        <w:rPr>
          <w:rFonts w:cs="Arial"/>
          <w:i/>
          <w:sz w:val="16"/>
          <w:szCs w:val="24"/>
        </w:rPr>
      </w:pPr>
      <w:r w:rsidRPr="001A3146">
        <w:rPr>
          <w:rFonts w:cs="Arial"/>
          <w:i/>
          <w:sz w:val="16"/>
          <w:szCs w:val="24"/>
        </w:rPr>
        <w:t>in CHF 1’000</w:t>
      </w:r>
    </w:p>
    <w:p w:rsidR="00533F77" w:rsidRPr="001A3146" w:rsidRDefault="00533F77" w:rsidP="00533F77">
      <w:pPr>
        <w:tabs>
          <w:tab w:val="left" w:pos="3969"/>
          <w:tab w:val="right" w:pos="5245"/>
        </w:tabs>
        <w:rPr>
          <w:rFonts w:cs="Arial"/>
          <w:sz w:val="16"/>
          <w:szCs w:val="16"/>
        </w:rPr>
      </w:pPr>
    </w:p>
    <w:p w:rsidR="00533F77" w:rsidRPr="00D253D3" w:rsidRDefault="00533F77" w:rsidP="00533F77">
      <w:pPr>
        <w:tabs>
          <w:tab w:val="right" w:pos="5529"/>
          <w:tab w:val="right" w:pos="7655"/>
        </w:tabs>
        <w:spacing w:after="60"/>
        <w:rPr>
          <w:rFonts w:cs="Arial"/>
          <w:sz w:val="22"/>
        </w:rPr>
      </w:pPr>
      <w:r w:rsidRPr="00D253D3">
        <w:rPr>
          <w:rFonts w:cs="Arial"/>
          <w:sz w:val="22"/>
        </w:rPr>
        <w:t>S</w:t>
      </w:r>
      <w:r>
        <w:rPr>
          <w:rFonts w:cs="Arial"/>
          <w:sz w:val="22"/>
        </w:rPr>
        <w:t>OSTANZA FISSA MATERIALE</w:t>
      </w:r>
      <w:r>
        <w:rPr>
          <w:rFonts w:cs="Arial"/>
          <w:sz w:val="22"/>
        </w:rPr>
        <w:tab/>
        <w:t>286'607</w:t>
      </w:r>
      <w:r>
        <w:rPr>
          <w:rFonts w:cs="Arial"/>
          <w:sz w:val="22"/>
        </w:rPr>
        <w:tab/>
        <w:t>286'433</w:t>
      </w:r>
    </w:p>
    <w:p w:rsidR="00533F77" w:rsidRPr="00D253D3" w:rsidRDefault="00533F77" w:rsidP="00533F77">
      <w:pPr>
        <w:tabs>
          <w:tab w:val="right" w:pos="5529"/>
          <w:tab w:val="right" w:pos="7655"/>
        </w:tabs>
        <w:spacing w:after="60"/>
        <w:rPr>
          <w:rFonts w:cs="Arial"/>
          <w:sz w:val="22"/>
        </w:rPr>
      </w:pPr>
      <w:r w:rsidRPr="00D253D3">
        <w:rPr>
          <w:rFonts w:cs="Arial"/>
          <w:sz w:val="22"/>
        </w:rPr>
        <w:t>SOS</w:t>
      </w:r>
      <w:r>
        <w:rPr>
          <w:rFonts w:cs="Arial"/>
          <w:sz w:val="22"/>
        </w:rPr>
        <w:t>TANZA FISSA FINANZIARIA</w:t>
      </w:r>
      <w:r>
        <w:rPr>
          <w:rFonts w:cs="Arial"/>
          <w:sz w:val="22"/>
        </w:rPr>
        <w:tab/>
        <w:t>151'674</w:t>
      </w:r>
      <w:r>
        <w:rPr>
          <w:rFonts w:cs="Arial"/>
          <w:sz w:val="22"/>
        </w:rPr>
        <w:tab/>
        <w:t>148'925</w:t>
      </w:r>
    </w:p>
    <w:p w:rsidR="00533F77" w:rsidRPr="00D253D3" w:rsidRDefault="00533F77" w:rsidP="00533F77">
      <w:pPr>
        <w:tabs>
          <w:tab w:val="right" w:pos="5529"/>
          <w:tab w:val="right" w:pos="7655"/>
        </w:tabs>
        <w:spacing w:after="60"/>
        <w:rPr>
          <w:rFonts w:cs="Arial"/>
          <w:sz w:val="22"/>
        </w:rPr>
      </w:pPr>
      <w:r w:rsidRPr="00D253D3">
        <w:rPr>
          <w:rFonts w:cs="Arial"/>
          <w:sz w:val="22"/>
        </w:rPr>
        <w:t>SO</w:t>
      </w:r>
      <w:r>
        <w:rPr>
          <w:rFonts w:cs="Arial"/>
          <w:sz w:val="22"/>
        </w:rPr>
        <w:t>STANTA FISSA IMMATERIALE</w:t>
      </w:r>
      <w:r>
        <w:rPr>
          <w:rFonts w:cs="Arial"/>
          <w:sz w:val="22"/>
        </w:rPr>
        <w:tab/>
        <w:t>18'841</w:t>
      </w:r>
      <w:r>
        <w:rPr>
          <w:rFonts w:cs="Arial"/>
          <w:sz w:val="22"/>
        </w:rPr>
        <w:tab/>
        <w:t>20'158</w:t>
      </w:r>
    </w:p>
    <w:p w:rsidR="00533F77" w:rsidRPr="00D253D3" w:rsidRDefault="00533F77" w:rsidP="00533F77">
      <w:pPr>
        <w:tabs>
          <w:tab w:val="right" w:pos="5529"/>
          <w:tab w:val="right" w:pos="7655"/>
        </w:tabs>
        <w:rPr>
          <w:rFonts w:cs="Arial"/>
          <w:sz w:val="22"/>
        </w:rPr>
      </w:pPr>
      <w:r>
        <w:rPr>
          <w:rFonts w:cs="Arial"/>
          <w:sz w:val="22"/>
        </w:rPr>
        <w:t>SOSTANZA CIRCOLANTE</w:t>
      </w:r>
      <w:r>
        <w:rPr>
          <w:rFonts w:cs="Arial"/>
          <w:sz w:val="22"/>
        </w:rPr>
        <w:tab/>
        <w:t>260’091</w:t>
      </w:r>
      <w:r>
        <w:rPr>
          <w:rFonts w:cs="Arial"/>
          <w:sz w:val="22"/>
        </w:rPr>
        <w:tab/>
        <w:t>280’667</w:t>
      </w:r>
    </w:p>
    <w:p w:rsidR="00533F77" w:rsidRPr="001A3146" w:rsidRDefault="00533F77" w:rsidP="00533F77">
      <w:pPr>
        <w:tabs>
          <w:tab w:val="left" w:pos="3969"/>
          <w:tab w:val="right" w:pos="5245"/>
        </w:tabs>
        <w:rPr>
          <w:rFonts w:cs="Arial"/>
          <w:sz w:val="12"/>
          <w:szCs w:val="12"/>
        </w:rPr>
      </w:pPr>
    </w:p>
    <w:p w:rsidR="00533F77" w:rsidRPr="00D253D3" w:rsidRDefault="00533F77" w:rsidP="00533F77">
      <w:pPr>
        <w:tabs>
          <w:tab w:val="right" w:pos="5529"/>
          <w:tab w:val="right" w:pos="7655"/>
        </w:tabs>
        <w:rPr>
          <w:rFonts w:cs="Arial"/>
          <w:b/>
          <w:sz w:val="22"/>
        </w:rPr>
      </w:pPr>
      <w:r>
        <w:rPr>
          <w:rFonts w:cs="Arial"/>
          <w:b/>
          <w:sz w:val="22"/>
        </w:rPr>
        <w:t>Totale</w:t>
      </w:r>
      <w:r>
        <w:rPr>
          <w:rFonts w:cs="Arial"/>
          <w:b/>
          <w:sz w:val="22"/>
        </w:rPr>
        <w:tab/>
        <w:t>717'213</w:t>
      </w:r>
      <w:r>
        <w:rPr>
          <w:rFonts w:cs="Arial"/>
          <w:b/>
          <w:sz w:val="22"/>
        </w:rPr>
        <w:tab/>
        <w:t>736'183</w:t>
      </w:r>
    </w:p>
    <w:p w:rsidR="00533F77" w:rsidRPr="001A3146" w:rsidRDefault="00533F77" w:rsidP="00533F77">
      <w:pPr>
        <w:tabs>
          <w:tab w:val="left" w:pos="3969"/>
          <w:tab w:val="right" w:pos="5245"/>
        </w:tabs>
        <w:rPr>
          <w:rFonts w:cs="Arial"/>
          <w:sz w:val="12"/>
          <w:szCs w:val="12"/>
        </w:rPr>
      </w:pPr>
    </w:p>
    <w:p w:rsidR="00533F77" w:rsidRPr="00D253D3" w:rsidRDefault="00533F77" w:rsidP="00533F77">
      <w:pPr>
        <w:tabs>
          <w:tab w:val="right" w:pos="5529"/>
          <w:tab w:val="right" w:pos="7655"/>
        </w:tabs>
        <w:spacing w:after="60"/>
        <w:rPr>
          <w:rFonts w:cs="Arial"/>
          <w:sz w:val="22"/>
        </w:rPr>
      </w:pPr>
      <w:r>
        <w:rPr>
          <w:rFonts w:cs="Arial"/>
          <w:sz w:val="22"/>
        </w:rPr>
        <w:t>CAPITALE PROPRIO</w:t>
      </w:r>
      <w:r>
        <w:rPr>
          <w:rFonts w:cs="Arial"/>
          <w:sz w:val="22"/>
        </w:rPr>
        <w:tab/>
      </w:r>
      <w:r w:rsidRPr="00602BF9">
        <w:rPr>
          <w:rFonts w:cs="Arial"/>
          <w:sz w:val="22"/>
        </w:rPr>
        <w:t>273’531</w:t>
      </w:r>
      <w:r>
        <w:rPr>
          <w:rFonts w:cs="Arial"/>
          <w:sz w:val="22"/>
        </w:rPr>
        <w:tab/>
      </w:r>
      <w:r w:rsidRPr="00264E20">
        <w:rPr>
          <w:rFonts w:cs="Arial"/>
          <w:sz w:val="22"/>
        </w:rPr>
        <w:t>298’247</w:t>
      </w:r>
    </w:p>
    <w:p w:rsidR="00533F77" w:rsidRPr="00D253D3" w:rsidRDefault="00533F77" w:rsidP="00533F77">
      <w:pPr>
        <w:tabs>
          <w:tab w:val="right" w:pos="5529"/>
          <w:tab w:val="right" w:pos="7655"/>
        </w:tabs>
        <w:rPr>
          <w:rFonts w:cs="Arial"/>
          <w:sz w:val="22"/>
        </w:rPr>
      </w:pPr>
      <w:r>
        <w:rPr>
          <w:rFonts w:cs="Arial"/>
          <w:sz w:val="22"/>
        </w:rPr>
        <w:t>TOT. CAPITALE DI TERZI</w:t>
      </w:r>
      <w:r>
        <w:rPr>
          <w:rFonts w:cs="Arial"/>
          <w:sz w:val="22"/>
        </w:rPr>
        <w:tab/>
      </w:r>
      <w:r w:rsidRPr="00602BF9">
        <w:rPr>
          <w:rFonts w:cs="Arial"/>
          <w:sz w:val="22"/>
        </w:rPr>
        <w:t>443’682</w:t>
      </w:r>
      <w:r>
        <w:rPr>
          <w:rFonts w:cs="Arial"/>
          <w:sz w:val="22"/>
        </w:rPr>
        <w:tab/>
      </w:r>
      <w:r w:rsidRPr="00602BF9">
        <w:rPr>
          <w:rFonts w:cs="Arial"/>
          <w:sz w:val="22"/>
        </w:rPr>
        <w:t>437’936</w:t>
      </w:r>
    </w:p>
    <w:p w:rsidR="00533F77" w:rsidRPr="001A3146" w:rsidRDefault="00533F77" w:rsidP="00533F77">
      <w:pPr>
        <w:tabs>
          <w:tab w:val="right" w:pos="5529"/>
          <w:tab w:val="right" w:pos="7655"/>
        </w:tabs>
        <w:rPr>
          <w:rFonts w:cs="Arial"/>
          <w:sz w:val="12"/>
          <w:szCs w:val="12"/>
        </w:rPr>
      </w:pPr>
    </w:p>
    <w:p w:rsidR="00533F77" w:rsidRDefault="00533F77" w:rsidP="00533F77">
      <w:pPr>
        <w:tabs>
          <w:tab w:val="right" w:pos="5529"/>
          <w:tab w:val="right" w:pos="7655"/>
        </w:tabs>
        <w:rPr>
          <w:rFonts w:cs="Arial"/>
          <w:szCs w:val="24"/>
        </w:rPr>
      </w:pPr>
      <w:r>
        <w:rPr>
          <w:rFonts w:cs="Arial"/>
          <w:b/>
          <w:sz w:val="22"/>
        </w:rPr>
        <w:t>Totale</w:t>
      </w:r>
      <w:r>
        <w:rPr>
          <w:rFonts w:cs="Arial"/>
          <w:b/>
          <w:sz w:val="22"/>
        </w:rPr>
        <w:tab/>
        <w:t>717'213</w:t>
      </w:r>
      <w:r>
        <w:rPr>
          <w:rFonts w:cs="Arial"/>
          <w:b/>
          <w:sz w:val="22"/>
        </w:rPr>
        <w:tab/>
        <w:t>736'183</w:t>
      </w:r>
    </w:p>
    <w:p w:rsidR="00533F77" w:rsidRDefault="00533F77" w:rsidP="00533F77">
      <w:pPr>
        <w:jc w:val="left"/>
        <w:rPr>
          <w:rFonts w:cs="Arial"/>
          <w:szCs w:val="24"/>
        </w:rPr>
      </w:pPr>
    </w:p>
    <w:p w:rsidR="00533F77" w:rsidRPr="001A3146" w:rsidRDefault="00533F77" w:rsidP="00533F77">
      <w:pPr>
        <w:jc w:val="left"/>
      </w:pPr>
    </w:p>
    <w:p w:rsidR="00533F77" w:rsidRDefault="00533F77" w:rsidP="00533F77">
      <w:pPr>
        <w:pStyle w:val="Titolo1"/>
        <w:rPr>
          <w:rFonts w:eastAsia="Arial" w:cs="Arial"/>
        </w:rPr>
      </w:pPr>
      <w:bookmarkStart w:id="11" w:name="_Toc390264056"/>
      <w:bookmarkStart w:id="12" w:name="_Toc353800482"/>
      <w:bookmarkStart w:id="13" w:name="_Toc471834936"/>
      <w:r>
        <w:rPr>
          <w:rFonts w:eastAsia="Arial" w:cs="Arial"/>
        </w:rPr>
        <w:t>GRADO DI Raggiungimento degli obiettivi di mandato pubblico e resoconto sulla vigilanza diretta</w:t>
      </w:r>
    </w:p>
    <w:p w:rsidR="00533F77" w:rsidRDefault="00533F77" w:rsidP="00533F77">
      <w:pPr>
        <w:autoSpaceDE w:val="0"/>
        <w:autoSpaceDN w:val="0"/>
        <w:adjustRightInd w:val="0"/>
        <w:rPr>
          <w:rFonts w:cs="Arial"/>
          <w:color w:val="000000"/>
          <w:szCs w:val="24"/>
        </w:rPr>
      </w:pPr>
      <w:r w:rsidRPr="00977A44">
        <w:rPr>
          <w:rFonts w:cs="Arial"/>
          <w:color w:val="000000"/>
          <w:szCs w:val="24"/>
        </w:rPr>
        <w:t>Considerata conclusa la fase di rodaggio e di adozione della nuova procedura</w:t>
      </w:r>
      <w:r>
        <w:rPr>
          <w:rFonts w:cs="Arial"/>
          <w:color w:val="000000"/>
          <w:szCs w:val="24"/>
        </w:rPr>
        <w:t>,</w:t>
      </w:r>
      <w:r w:rsidRPr="00977A44">
        <w:rPr>
          <w:rFonts w:cs="Arial"/>
          <w:color w:val="000000"/>
          <w:szCs w:val="24"/>
        </w:rPr>
        <w:t xml:space="preserve"> la CCMP-AET h</w:t>
      </w:r>
      <w:r>
        <w:rPr>
          <w:rFonts w:cs="Arial"/>
          <w:color w:val="000000"/>
          <w:szCs w:val="24"/>
        </w:rPr>
        <w:t>a</w:t>
      </w:r>
      <w:r w:rsidRPr="00977A44">
        <w:rPr>
          <w:rFonts w:cs="Arial"/>
          <w:color w:val="000000"/>
          <w:szCs w:val="24"/>
        </w:rPr>
        <w:t xml:space="preserve"> potuto dedicarsi esclusivamente all’esame vero e proprio dei conti 2017 coinvolgendo </w:t>
      </w:r>
      <w:r>
        <w:rPr>
          <w:rFonts w:cs="Arial"/>
          <w:color w:val="000000"/>
          <w:szCs w:val="24"/>
        </w:rPr>
        <w:t xml:space="preserve">anche </w:t>
      </w:r>
      <w:r w:rsidRPr="00977A44">
        <w:rPr>
          <w:rFonts w:cs="Arial"/>
          <w:color w:val="000000"/>
          <w:szCs w:val="24"/>
        </w:rPr>
        <w:t xml:space="preserve">il Consigliere di Stato </w:t>
      </w:r>
      <w:r>
        <w:rPr>
          <w:rFonts w:cs="Arial"/>
          <w:color w:val="000000"/>
          <w:szCs w:val="24"/>
        </w:rPr>
        <w:t>direttore del DFE</w:t>
      </w:r>
      <w:r w:rsidRPr="00977A44">
        <w:rPr>
          <w:rFonts w:cs="Arial"/>
          <w:color w:val="000000"/>
          <w:szCs w:val="24"/>
        </w:rPr>
        <w:t xml:space="preserve"> e </w:t>
      </w:r>
      <w:r>
        <w:rPr>
          <w:rFonts w:cs="Arial"/>
          <w:color w:val="000000"/>
          <w:szCs w:val="24"/>
        </w:rPr>
        <w:t xml:space="preserve">in </w:t>
      </w:r>
      <w:r w:rsidRPr="00977A44">
        <w:rPr>
          <w:rFonts w:cs="Arial"/>
          <w:color w:val="000000"/>
          <w:szCs w:val="24"/>
        </w:rPr>
        <w:t>una seconda</w:t>
      </w:r>
      <w:r>
        <w:rPr>
          <w:rFonts w:cs="Arial"/>
          <w:color w:val="000000"/>
          <w:szCs w:val="24"/>
        </w:rPr>
        <w:t xml:space="preserve"> una delegazione del </w:t>
      </w:r>
      <w:proofErr w:type="spellStart"/>
      <w:r>
        <w:rPr>
          <w:rFonts w:cs="Arial"/>
          <w:color w:val="000000"/>
          <w:szCs w:val="24"/>
        </w:rPr>
        <w:t>CdA</w:t>
      </w:r>
      <w:proofErr w:type="spellEnd"/>
      <w:r>
        <w:rPr>
          <w:rFonts w:cs="Arial"/>
          <w:color w:val="000000"/>
          <w:szCs w:val="24"/>
        </w:rPr>
        <w:t xml:space="preserve"> e </w:t>
      </w:r>
      <w:r w:rsidRPr="00977A44">
        <w:rPr>
          <w:rFonts w:cs="Arial"/>
          <w:color w:val="000000"/>
          <w:szCs w:val="24"/>
        </w:rPr>
        <w:t>della Direzione</w:t>
      </w:r>
      <w:r>
        <w:rPr>
          <w:rFonts w:cs="Arial"/>
          <w:color w:val="000000"/>
          <w:szCs w:val="24"/>
        </w:rPr>
        <w:t xml:space="preserve"> di AET, permettendo</w:t>
      </w:r>
      <w:r w:rsidRPr="00977A44">
        <w:rPr>
          <w:rFonts w:cs="Arial"/>
          <w:color w:val="000000"/>
          <w:szCs w:val="24"/>
        </w:rPr>
        <w:t xml:space="preserve"> </w:t>
      </w:r>
      <w:r>
        <w:rPr>
          <w:rFonts w:cs="Arial"/>
          <w:color w:val="000000"/>
          <w:szCs w:val="24"/>
        </w:rPr>
        <w:t xml:space="preserve">così </w:t>
      </w:r>
      <w:r w:rsidRPr="00977A44">
        <w:rPr>
          <w:rFonts w:cs="Arial"/>
          <w:color w:val="000000"/>
          <w:szCs w:val="24"/>
        </w:rPr>
        <w:t>alla CCMP-AET di ottenere tutte le informazioni richieste</w:t>
      </w:r>
      <w:r>
        <w:rPr>
          <w:rFonts w:cs="Arial"/>
          <w:color w:val="000000"/>
          <w:szCs w:val="24"/>
        </w:rPr>
        <w:t>.</w:t>
      </w:r>
    </w:p>
    <w:p w:rsidR="00533F77" w:rsidRDefault="00533F77" w:rsidP="00533F77">
      <w:pPr>
        <w:autoSpaceDE w:val="0"/>
        <w:autoSpaceDN w:val="0"/>
        <w:adjustRightInd w:val="0"/>
        <w:rPr>
          <w:rFonts w:cs="Arial"/>
          <w:color w:val="000000"/>
          <w:szCs w:val="24"/>
        </w:rPr>
      </w:pPr>
    </w:p>
    <w:p w:rsidR="00533F77" w:rsidRPr="00977A44" w:rsidRDefault="00533F77" w:rsidP="00533F77">
      <w:pPr>
        <w:autoSpaceDE w:val="0"/>
        <w:autoSpaceDN w:val="0"/>
        <w:adjustRightInd w:val="0"/>
        <w:rPr>
          <w:rFonts w:cs="Arial"/>
          <w:color w:val="000000"/>
          <w:szCs w:val="24"/>
        </w:rPr>
      </w:pPr>
      <w:r>
        <w:rPr>
          <w:rFonts w:cs="Arial"/>
          <w:color w:val="000000"/>
          <w:szCs w:val="24"/>
        </w:rPr>
        <w:t>Nel suo rapporto (allegato) la CCMP-AET ritiene l</w:t>
      </w:r>
      <w:r w:rsidRPr="00977A44">
        <w:rPr>
          <w:rFonts w:cs="Arial"/>
          <w:color w:val="000000"/>
          <w:szCs w:val="24"/>
        </w:rPr>
        <w:t>a strategia aziendale di AET</w:t>
      </w:r>
      <w:r>
        <w:rPr>
          <w:rFonts w:cs="Arial"/>
          <w:color w:val="000000"/>
          <w:szCs w:val="24"/>
        </w:rPr>
        <w:t xml:space="preserve"> </w:t>
      </w:r>
      <w:r w:rsidRPr="00977A44">
        <w:rPr>
          <w:rFonts w:cs="Arial"/>
          <w:color w:val="000000"/>
          <w:szCs w:val="24"/>
        </w:rPr>
        <w:t>in</w:t>
      </w:r>
      <w:r>
        <w:rPr>
          <w:rFonts w:cs="Arial"/>
          <w:color w:val="000000"/>
          <w:szCs w:val="24"/>
        </w:rPr>
        <w:t xml:space="preserve"> </w:t>
      </w:r>
      <w:r w:rsidRPr="00977A44">
        <w:rPr>
          <w:rFonts w:cs="Arial"/>
          <w:color w:val="000000"/>
          <w:szCs w:val="24"/>
        </w:rPr>
        <w:t>linea con gli attuali documenti programmatici di riferimento (PEC e Piano Direttore)</w:t>
      </w:r>
      <w:r>
        <w:rPr>
          <w:rFonts w:cs="Arial"/>
          <w:color w:val="000000"/>
          <w:szCs w:val="24"/>
        </w:rPr>
        <w:t xml:space="preserve"> e che </w:t>
      </w:r>
      <w:r w:rsidRPr="00977A44">
        <w:rPr>
          <w:rFonts w:cs="Arial"/>
          <w:color w:val="000000"/>
          <w:szCs w:val="24"/>
        </w:rPr>
        <w:t xml:space="preserve">rispetti pienamente </w:t>
      </w:r>
      <w:r>
        <w:rPr>
          <w:rFonts w:cs="Arial"/>
          <w:color w:val="000000"/>
          <w:szCs w:val="24"/>
        </w:rPr>
        <w:t xml:space="preserve">gli </w:t>
      </w:r>
      <w:r w:rsidRPr="00977A44">
        <w:rPr>
          <w:rFonts w:cs="Arial"/>
          <w:color w:val="000000"/>
          <w:szCs w:val="24"/>
        </w:rPr>
        <w:t>obiettiv</w:t>
      </w:r>
      <w:r>
        <w:rPr>
          <w:rFonts w:cs="Arial"/>
          <w:color w:val="000000"/>
          <w:szCs w:val="24"/>
        </w:rPr>
        <w:t>i strategici</w:t>
      </w:r>
      <w:r w:rsidRPr="00977A44">
        <w:rPr>
          <w:rFonts w:cs="Arial"/>
          <w:color w:val="000000"/>
          <w:szCs w:val="24"/>
        </w:rPr>
        <w:t>.</w:t>
      </w:r>
      <w:r>
        <w:rPr>
          <w:rFonts w:cs="Arial"/>
          <w:color w:val="000000"/>
          <w:szCs w:val="24"/>
        </w:rPr>
        <w:t xml:space="preserve"> Dopo gli</w:t>
      </w:r>
      <w:r w:rsidRPr="00977A44">
        <w:rPr>
          <w:rFonts w:cs="Arial"/>
          <w:color w:val="000000"/>
          <w:szCs w:val="24"/>
        </w:rPr>
        <w:t xml:space="preserve"> importanti adattament</w:t>
      </w:r>
      <w:r>
        <w:rPr>
          <w:rFonts w:cs="Arial"/>
          <w:color w:val="000000"/>
          <w:szCs w:val="24"/>
        </w:rPr>
        <w:t>i</w:t>
      </w:r>
      <w:r w:rsidRPr="00977A44">
        <w:rPr>
          <w:rFonts w:cs="Arial"/>
          <w:color w:val="000000"/>
          <w:szCs w:val="24"/>
        </w:rPr>
        <w:t xml:space="preserve"> strategici e organizzativi implementati nel 2016</w:t>
      </w:r>
      <w:r>
        <w:rPr>
          <w:rFonts w:cs="Arial"/>
          <w:color w:val="000000"/>
          <w:szCs w:val="24"/>
        </w:rPr>
        <w:t>,</w:t>
      </w:r>
      <w:r w:rsidRPr="00977A44">
        <w:rPr>
          <w:rFonts w:cs="Arial"/>
          <w:color w:val="000000"/>
          <w:szCs w:val="24"/>
        </w:rPr>
        <w:t xml:space="preserve"> </w:t>
      </w:r>
      <w:r>
        <w:rPr>
          <w:rFonts w:cs="Arial"/>
          <w:color w:val="000000"/>
          <w:szCs w:val="24"/>
        </w:rPr>
        <w:t>in</w:t>
      </w:r>
      <w:r w:rsidRPr="00977A44">
        <w:rPr>
          <w:rFonts w:cs="Arial"/>
          <w:color w:val="000000"/>
          <w:szCs w:val="24"/>
        </w:rPr>
        <w:t xml:space="preserve"> parte dovut</w:t>
      </w:r>
      <w:r>
        <w:rPr>
          <w:rFonts w:cs="Arial"/>
          <w:color w:val="000000"/>
          <w:szCs w:val="24"/>
        </w:rPr>
        <w:t>i</w:t>
      </w:r>
      <w:r w:rsidRPr="00977A44">
        <w:rPr>
          <w:rFonts w:cs="Arial"/>
          <w:color w:val="000000"/>
          <w:szCs w:val="24"/>
        </w:rPr>
        <w:t xml:space="preserve"> alla difficile situazione del mercato elettrico</w:t>
      </w:r>
      <w:r>
        <w:rPr>
          <w:rFonts w:cs="Arial"/>
          <w:color w:val="000000"/>
          <w:szCs w:val="24"/>
        </w:rPr>
        <w:t>,</w:t>
      </w:r>
      <w:r w:rsidRPr="00977A44">
        <w:rPr>
          <w:rFonts w:cs="Arial"/>
          <w:color w:val="000000"/>
          <w:szCs w:val="24"/>
        </w:rPr>
        <w:t xml:space="preserve"> e </w:t>
      </w:r>
      <w:r>
        <w:rPr>
          <w:rFonts w:cs="Arial"/>
          <w:color w:val="000000"/>
          <w:szCs w:val="24"/>
        </w:rPr>
        <w:t xml:space="preserve">le </w:t>
      </w:r>
      <w:r w:rsidRPr="00977A44">
        <w:rPr>
          <w:rFonts w:cs="Arial"/>
          <w:color w:val="000000"/>
          <w:szCs w:val="24"/>
        </w:rPr>
        <w:t>conseguenti importanti perdite</w:t>
      </w:r>
      <w:r>
        <w:rPr>
          <w:rFonts w:cs="Arial"/>
          <w:color w:val="000000"/>
          <w:szCs w:val="24"/>
        </w:rPr>
        <w:t>,</w:t>
      </w:r>
      <w:r w:rsidRPr="00977A44">
        <w:rPr>
          <w:rFonts w:cs="Arial"/>
          <w:color w:val="000000"/>
          <w:szCs w:val="24"/>
        </w:rPr>
        <w:t xml:space="preserve"> nel </w:t>
      </w:r>
      <w:r>
        <w:rPr>
          <w:rFonts w:cs="Arial"/>
          <w:color w:val="000000"/>
          <w:szCs w:val="24"/>
        </w:rPr>
        <w:t xml:space="preserve">2017 </w:t>
      </w:r>
      <w:r w:rsidRPr="00977A44">
        <w:rPr>
          <w:rFonts w:cs="Arial"/>
          <w:color w:val="000000"/>
          <w:szCs w:val="24"/>
        </w:rPr>
        <w:t>AET ha potuto ritornare a lavorare in modo più lineare concentrand</w:t>
      </w:r>
      <w:r>
        <w:rPr>
          <w:rFonts w:cs="Arial"/>
          <w:color w:val="000000"/>
          <w:szCs w:val="24"/>
        </w:rPr>
        <w:t xml:space="preserve">osi </w:t>
      </w:r>
      <w:r w:rsidRPr="00977A44">
        <w:rPr>
          <w:rFonts w:cs="Arial"/>
          <w:color w:val="000000"/>
          <w:szCs w:val="24"/>
        </w:rPr>
        <w:t>sulla valorizzazione del proprio portafoglio idroelettrico.</w:t>
      </w:r>
    </w:p>
    <w:p w:rsidR="00533F77" w:rsidRPr="00977A44" w:rsidRDefault="00533F77" w:rsidP="00533F77">
      <w:pPr>
        <w:autoSpaceDE w:val="0"/>
        <w:autoSpaceDN w:val="0"/>
        <w:adjustRightInd w:val="0"/>
        <w:rPr>
          <w:rFonts w:cs="Arial"/>
          <w:color w:val="000000"/>
          <w:szCs w:val="24"/>
        </w:rPr>
      </w:pPr>
    </w:p>
    <w:p w:rsidR="00533F77" w:rsidRDefault="00533F77" w:rsidP="00533F77">
      <w:pPr>
        <w:autoSpaceDE w:val="0"/>
        <w:autoSpaceDN w:val="0"/>
        <w:adjustRightInd w:val="0"/>
        <w:rPr>
          <w:rFonts w:cs="Arial"/>
          <w:color w:val="000000"/>
          <w:szCs w:val="24"/>
        </w:rPr>
      </w:pPr>
      <w:r w:rsidRPr="001C388C">
        <w:rPr>
          <w:rFonts w:cs="Arial"/>
          <w:color w:val="000000"/>
          <w:szCs w:val="24"/>
        </w:rPr>
        <w:t xml:space="preserve">Nel corso del 2017 si è raggiunto un </w:t>
      </w:r>
      <w:r w:rsidRPr="001C388C">
        <w:rPr>
          <w:rFonts w:cs="Arial"/>
          <w:iCs/>
          <w:color w:val="000000"/>
          <w:szCs w:val="24"/>
        </w:rPr>
        <w:t>ulteriore aumento delle vendite di energia oltralpe (+25% rispetto al 2016)</w:t>
      </w:r>
      <w:r w:rsidRPr="001C388C">
        <w:rPr>
          <w:rFonts w:cs="Arial"/>
          <w:color w:val="000000"/>
          <w:szCs w:val="24"/>
        </w:rPr>
        <w:t xml:space="preserve"> e si è </w:t>
      </w:r>
      <w:r w:rsidRPr="001C388C">
        <w:rPr>
          <w:rFonts w:cs="Arial"/>
          <w:iCs/>
          <w:color w:val="000000"/>
          <w:szCs w:val="24"/>
        </w:rPr>
        <w:t xml:space="preserve">consolidato il </w:t>
      </w:r>
      <w:r w:rsidRPr="001C388C">
        <w:rPr>
          <w:rFonts w:cs="Arial"/>
          <w:color w:val="000000"/>
          <w:szCs w:val="24"/>
        </w:rPr>
        <w:t xml:space="preserve">crescente volume delle prestazioni di servizio svolte per terzi (a cominciare dal gestore della rete di trasporto nazionale </w:t>
      </w:r>
      <w:proofErr w:type="spellStart"/>
      <w:r w:rsidRPr="001C388C">
        <w:rPr>
          <w:rFonts w:cs="Arial"/>
          <w:color w:val="000000"/>
          <w:szCs w:val="24"/>
        </w:rPr>
        <w:t>Swissgrid</w:t>
      </w:r>
      <w:proofErr w:type="spellEnd"/>
      <w:r w:rsidRPr="001C388C">
        <w:rPr>
          <w:rFonts w:cs="Arial"/>
          <w:color w:val="000000"/>
          <w:szCs w:val="24"/>
        </w:rPr>
        <w:t>).</w:t>
      </w:r>
      <w:r w:rsidRPr="00997EA3">
        <w:rPr>
          <w:rFonts w:cs="Arial"/>
          <w:color w:val="000000"/>
          <w:szCs w:val="24"/>
        </w:rPr>
        <w:t xml:space="preserve"> </w:t>
      </w:r>
    </w:p>
    <w:p w:rsidR="00533F77" w:rsidRDefault="00533F77" w:rsidP="00533F77">
      <w:pPr>
        <w:autoSpaceDE w:val="0"/>
        <w:autoSpaceDN w:val="0"/>
        <w:adjustRightInd w:val="0"/>
        <w:rPr>
          <w:rFonts w:cs="Arial"/>
          <w:color w:val="000000"/>
          <w:szCs w:val="24"/>
        </w:rPr>
      </w:pPr>
    </w:p>
    <w:p w:rsidR="00533F77" w:rsidRDefault="00533F77">
      <w:pPr>
        <w:rPr>
          <w:rFonts w:cs="Arial"/>
          <w:color w:val="000000"/>
          <w:szCs w:val="24"/>
        </w:rPr>
      </w:pPr>
      <w:r>
        <w:rPr>
          <w:rFonts w:cs="Arial"/>
          <w:color w:val="000000"/>
          <w:szCs w:val="24"/>
        </w:rPr>
        <w:br w:type="page"/>
      </w:r>
    </w:p>
    <w:p w:rsidR="00533F77" w:rsidRDefault="00533F77" w:rsidP="00533F77">
      <w:pPr>
        <w:autoSpaceDE w:val="0"/>
        <w:autoSpaceDN w:val="0"/>
        <w:adjustRightInd w:val="0"/>
        <w:rPr>
          <w:rFonts w:cs="Arial"/>
          <w:iCs/>
          <w:color w:val="000000"/>
          <w:szCs w:val="24"/>
          <w:u w:val="single"/>
        </w:rPr>
      </w:pPr>
      <w:r>
        <w:rPr>
          <w:rFonts w:cs="Arial"/>
          <w:color w:val="000000"/>
          <w:szCs w:val="24"/>
        </w:rPr>
        <w:lastRenderedPageBreak/>
        <w:t>Diversi sono pure i progetti in corso, tra i quali:</w:t>
      </w:r>
    </w:p>
    <w:p w:rsidR="00533F77" w:rsidRDefault="00533F77" w:rsidP="00533F77">
      <w:pPr>
        <w:pStyle w:val="Paragrafoelenco"/>
        <w:numPr>
          <w:ilvl w:val="0"/>
          <w:numId w:val="6"/>
        </w:numPr>
        <w:autoSpaceDE w:val="0"/>
        <w:autoSpaceDN w:val="0"/>
        <w:adjustRightInd w:val="0"/>
        <w:spacing w:before="60"/>
        <w:ind w:left="284" w:hanging="284"/>
        <w:rPr>
          <w:rFonts w:cs="Arial"/>
          <w:color w:val="000000"/>
          <w:szCs w:val="24"/>
        </w:rPr>
      </w:pPr>
      <w:r w:rsidRPr="00997EA3">
        <w:rPr>
          <w:rFonts w:cs="Arial"/>
          <w:color w:val="000000"/>
          <w:szCs w:val="24"/>
        </w:rPr>
        <w:t xml:space="preserve">Nuova centrale del </w:t>
      </w:r>
      <w:proofErr w:type="spellStart"/>
      <w:r w:rsidRPr="00997EA3">
        <w:rPr>
          <w:rFonts w:cs="Arial"/>
          <w:color w:val="000000"/>
          <w:szCs w:val="24"/>
        </w:rPr>
        <w:t>Ritom</w:t>
      </w:r>
      <w:proofErr w:type="spellEnd"/>
      <w:r w:rsidRPr="00997EA3">
        <w:rPr>
          <w:rFonts w:cs="Arial"/>
          <w:color w:val="000000"/>
          <w:szCs w:val="24"/>
        </w:rPr>
        <w:t xml:space="preserve"> (la cui messa in esercizio è prevista nel 2022-2023)</w:t>
      </w:r>
      <w:r>
        <w:rPr>
          <w:rFonts w:cs="Arial"/>
          <w:color w:val="000000"/>
          <w:szCs w:val="24"/>
        </w:rPr>
        <w:t>;</w:t>
      </w:r>
    </w:p>
    <w:p w:rsidR="00533F77" w:rsidRDefault="00533F77" w:rsidP="00533F77">
      <w:pPr>
        <w:pStyle w:val="Paragrafoelenco"/>
        <w:numPr>
          <w:ilvl w:val="0"/>
          <w:numId w:val="6"/>
        </w:numPr>
        <w:autoSpaceDE w:val="0"/>
        <w:autoSpaceDN w:val="0"/>
        <w:adjustRightInd w:val="0"/>
        <w:spacing w:before="60"/>
        <w:ind w:left="284" w:hanging="284"/>
        <w:rPr>
          <w:rFonts w:cs="Arial"/>
          <w:color w:val="000000"/>
          <w:szCs w:val="24"/>
        </w:rPr>
      </w:pPr>
      <w:r w:rsidRPr="00997EA3">
        <w:rPr>
          <w:rFonts w:cs="Arial"/>
          <w:color w:val="000000"/>
          <w:szCs w:val="24"/>
        </w:rPr>
        <w:t>Parco eolico del San Gottardo (fermo per un nuovo ricorso della STAN, ma per il quale l’inizio dei lavori è previsto nel 2019)</w:t>
      </w:r>
      <w:r>
        <w:rPr>
          <w:rFonts w:cs="Arial"/>
          <w:color w:val="000000"/>
          <w:szCs w:val="24"/>
        </w:rPr>
        <w:t>;</w:t>
      </w:r>
    </w:p>
    <w:p w:rsidR="00533F77" w:rsidRDefault="00533F77" w:rsidP="00533F77">
      <w:pPr>
        <w:pStyle w:val="Paragrafoelenco"/>
        <w:numPr>
          <w:ilvl w:val="0"/>
          <w:numId w:val="6"/>
        </w:numPr>
        <w:autoSpaceDE w:val="0"/>
        <w:autoSpaceDN w:val="0"/>
        <w:adjustRightInd w:val="0"/>
        <w:spacing w:before="60"/>
        <w:ind w:left="284" w:hanging="284"/>
        <w:rPr>
          <w:rFonts w:cs="Arial"/>
          <w:color w:val="000000"/>
          <w:szCs w:val="24"/>
        </w:rPr>
      </w:pPr>
      <w:r w:rsidRPr="00997EA3">
        <w:rPr>
          <w:rFonts w:cs="Arial"/>
          <w:color w:val="000000"/>
          <w:szCs w:val="24"/>
        </w:rPr>
        <w:t xml:space="preserve">Rinnovo delle turbine della centrale Nuova </w:t>
      </w:r>
      <w:proofErr w:type="spellStart"/>
      <w:r w:rsidRPr="00997EA3">
        <w:rPr>
          <w:rFonts w:cs="Arial"/>
          <w:color w:val="000000"/>
          <w:szCs w:val="24"/>
        </w:rPr>
        <w:t>Biaschina</w:t>
      </w:r>
      <w:proofErr w:type="spellEnd"/>
      <w:r>
        <w:rPr>
          <w:rFonts w:cs="Arial"/>
          <w:color w:val="000000"/>
          <w:szCs w:val="24"/>
        </w:rPr>
        <w:t>;</w:t>
      </w:r>
    </w:p>
    <w:p w:rsidR="00533F77" w:rsidRDefault="00533F77" w:rsidP="00533F77">
      <w:pPr>
        <w:pStyle w:val="Paragrafoelenco"/>
        <w:numPr>
          <w:ilvl w:val="0"/>
          <w:numId w:val="6"/>
        </w:numPr>
        <w:autoSpaceDE w:val="0"/>
        <w:autoSpaceDN w:val="0"/>
        <w:adjustRightInd w:val="0"/>
        <w:spacing w:before="60"/>
        <w:ind w:left="284" w:hanging="284"/>
        <w:rPr>
          <w:rFonts w:cs="Arial"/>
          <w:color w:val="000000"/>
          <w:szCs w:val="24"/>
        </w:rPr>
      </w:pPr>
      <w:r w:rsidRPr="00997EA3">
        <w:rPr>
          <w:rFonts w:cs="Arial"/>
          <w:color w:val="000000"/>
          <w:szCs w:val="24"/>
        </w:rPr>
        <w:t xml:space="preserve">Centrale </w:t>
      </w:r>
      <w:proofErr w:type="spellStart"/>
      <w:r w:rsidRPr="00997EA3">
        <w:rPr>
          <w:rFonts w:cs="Arial"/>
          <w:color w:val="000000"/>
          <w:szCs w:val="24"/>
        </w:rPr>
        <w:t>Piottino</w:t>
      </w:r>
      <w:proofErr w:type="spellEnd"/>
      <w:r w:rsidRPr="00997EA3">
        <w:rPr>
          <w:rFonts w:cs="Arial"/>
          <w:color w:val="000000"/>
          <w:szCs w:val="24"/>
        </w:rPr>
        <w:t>: nuova automazione e revisione del generatore gruppo 2 (prevista nel 2018)</w:t>
      </w:r>
      <w:r>
        <w:rPr>
          <w:rFonts w:cs="Arial"/>
          <w:color w:val="000000"/>
          <w:szCs w:val="24"/>
        </w:rPr>
        <w:t>;</w:t>
      </w:r>
    </w:p>
    <w:p w:rsidR="00533F77" w:rsidRDefault="00533F77" w:rsidP="00533F77">
      <w:pPr>
        <w:pStyle w:val="Paragrafoelenco"/>
        <w:numPr>
          <w:ilvl w:val="0"/>
          <w:numId w:val="6"/>
        </w:numPr>
        <w:autoSpaceDE w:val="0"/>
        <w:autoSpaceDN w:val="0"/>
        <w:adjustRightInd w:val="0"/>
        <w:spacing w:before="60"/>
        <w:ind w:left="284" w:hanging="284"/>
        <w:rPr>
          <w:rFonts w:cs="Arial"/>
          <w:color w:val="000000"/>
          <w:szCs w:val="24"/>
        </w:rPr>
      </w:pPr>
      <w:r w:rsidRPr="00997EA3">
        <w:rPr>
          <w:rFonts w:cs="Arial"/>
          <w:color w:val="000000"/>
          <w:szCs w:val="24"/>
        </w:rPr>
        <w:t xml:space="preserve">Centrale </w:t>
      </w:r>
      <w:proofErr w:type="spellStart"/>
      <w:r w:rsidRPr="00997EA3">
        <w:rPr>
          <w:rFonts w:cs="Arial"/>
          <w:color w:val="000000"/>
          <w:szCs w:val="24"/>
        </w:rPr>
        <w:t>Lucendro</w:t>
      </w:r>
      <w:proofErr w:type="spellEnd"/>
      <w:r w:rsidRPr="00997EA3">
        <w:rPr>
          <w:rFonts w:cs="Arial"/>
          <w:color w:val="000000"/>
          <w:szCs w:val="24"/>
        </w:rPr>
        <w:t>: risanamento condotta pompe Tremola e nuova automazione gruppi 1 e 2 – Sella (prevista nel 2017-2018)</w:t>
      </w:r>
      <w:r>
        <w:rPr>
          <w:rFonts w:cs="Arial"/>
          <w:color w:val="000000"/>
          <w:szCs w:val="24"/>
        </w:rPr>
        <w:t>;</w:t>
      </w:r>
    </w:p>
    <w:p w:rsidR="00533F77" w:rsidRDefault="00533F77" w:rsidP="00533F77">
      <w:pPr>
        <w:pStyle w:val="Paragrafoelenco"/>
        <w:numPr>
          <w:ilvl w:val="0"/>
          <w:numId w:val="6"/>
        </w:numPr>
        <w:autoSpaceDE w:val="0"/>
        <w:autoSpaceDN w:val="0"/>
        <w:adjustRightInd w:val="0"/>
        <w:spacing w:before="60"/>
        <w:ind w:left="284" w:hanging="284"/>
        <w:rPr>
          <w:rFonts w:cs="Arial"/>
          <w:color w:val="000000"/>
          <w:szCs w:val="24"/>
        </w:rPr>
      </w:pPr>
      <w:r w:rsidRPr="00997EA3">
        <w:rPr>
          <w:rFonts w:cs="Arial"/>
          <w:color w:val="000000"/>
          <w:szCs w:val="24"/>
        </w:rPr>
        <w:t xml:space="preserve">Centrale </w:t>
      </w:r>
      <w:proofErr w:type="spellStart"/>
      <w:r w:rsidRPr="00997EA3">
        <w:rPr>
          <w:rFonts w:cs="Arial"/>
          <w:color w:val="000000"/>
          <w:szCs w:val="24"/>
        </w:rPr>
        <w:t>Tremorgio</w:t>
      </w:r>
      <w:proofErr w:type="spellEnd"/>
      <w:r w:rsidRPr="00997EA3">
        <w:rPr>
          <w:rFonts w:cs="Arial"/>
          <w:color w:val="000000"/>
          <w:szCs w:val="24"/>
        </w:rPr>
        <w:t>: revisione del generatore (prevista nel 2018)</w:t>
      </w:r>
      <w:r>
        <w:rPr>
          <w:rFonts w:cs="Arial"/>
          <w:color w:val="000000"/>
          <w:szCs w:val="24"/>
        </w:rPr>
        <w:t>;</w:t>
      </w:r>
    </w:p>
    <w:p w:rsidR="00533F77" w:rsidRDefault="00533F77" w:rsidP="00533F77">
      <w:pPr>
        <w:pStyle w:val="Paragrafoelenco"/>
        <w:numPr>
          <w:ilvl w:val="0"/>
          <w:numId w:val="6"/>
        </w:numPr>
        <w:autoSpaceDE w:val="0"/>
        <w:autoSpaceDN w:val="0"/>
        <w:adjustRightInd w:val="0"/>
        <w:spacing w:before="60"/>
        <w:ind w:left="284" w:hanging="284"/>
        <w:rPr>
          <w:rFonts w:cs="Arial"/>
          <w:color w:val="000000"/>
          <w:szCs w:val="24"/>
        </w:rPr>
      </w:pPr>
      <w:r w:rsidRPr="00997EA3">
        <w:rPr>
          <w:rFonts w:cs="Arial"/>
          <w:color w:val="000000"/>
          <w:szCs w:val="24"/>
        </w:rPr>
        <w:t xml:space="preserve">Centrale comando AET: </w:t>
      </w:r>
      <w:r>
        <w:rPr>
          <w:rFonts w:cs="Arial"/>
          <w:color w:val="000000"/>
          <w:szCs w:val="24"/>
        </w:rPr>
        <w:t>a</w:t>
      </w:r>
      <w:r w:rsidRPr="00997EA3">
        <w:rPr>
          <w:rFonts w:cs="Arial"/>
          <w:color w:val="000000"/>
          <w:szCs w:val="24"/>
        </w:rPr>
        <w:t>mpliamento comando (2017)</w:t>
      </w:r>
      <w:r>
        <w:rPr>
          <w:rFonts w:cs="Arial"/>
          <w:color w:val="000000"/>
          <w:szCs w:val="24"/>
        </w:rPr>
        <w:t>;</w:t>
      </w:r>
    </w:p>
    <w:p w:rsidR="00533F77" w:rsidRPr="00997EA3" w:rsidRDefault="00533F77" w:rsidP="00533F77">
      <w:pPr>
        <w:pStyle w:val="Paragrafoelenco"/>
        <w:numPr>
          <w:ilvl w:val="0"/>
          <w:numId w:val="6"/>
        </w:numPr>
        <w:autoSpaceDE w:val="0"/>
        <w:autoSpaceDN w:val="0"/>
        <w:adjustRightInd w:val="0"/>
        <w:spacing w:before="60"/>
        <w:ind w:left="284" w:hanging="284"/>
        <w:rPr>
          <w:rFonts w:cs="Arial"/>
          <w:color w:val="000000"/>
          <w:szCs w:val="24"/>
        </w:rPr>
      </w:pPr>
      <w:r w:rsidRPr="00997EA3">
        <w:rPr>
          <w:rFonts w:cs="Arial"/>
          <w:color w:val="000000"/>
          <w:szCs w:val="24"/>
        </w:rPr>
        <w:t>Campus formativo a Bodio (inaugurato)</w:t>
      </w:r>
      <w:r>
        <w:rPr>
          <w:rFonts w:cs="Arial"/>
          <w:color w:val="000000"/>
          <w:szCs w:val="24"/>
        </w:rPr>
        <w:t>.</w:t>
      </w:r>
    </w:p>
    <w:p w:rsidR="00533F77" w:rsidRDefault="00533F77" w:rsidP="00533F77">
      <w:pPr>
        <w:autoSpaceDE w:val="0"/>
        <w:autoSpaceDN w:val="0"/>
        <w:adjustRightInd w:val="0"/>
        <w:rPr>
          <w:rFonts w:cs="Arial"/>
          <w:color w:val="000000"/>
          <w:szCs w:val="24"/>
        </w:rPr>
      </w:pPr>
    </w:p>
    <w:p w:rsidR="00533F77" w:rsidRPr="006967C3" w:rsidRDefault="00533F77" w:rsidP="00533F77">
      <w:r w:rsidRPr="00977A44">
        <w:rPr>
          <w:rFonts w:cs="Arial"/>
          <w:color w:val="000000"/>
          <w:szCs w:val="24"/>
        </w:rPr>
        <w:t xml:space="preserve">Il resoconto sulla vigilanza diretta del </w:t>
      </w:r>
      <w:r>
        <w:rPr>
          <w:rFonts w:cs="Arial"/>
          <w:color w:val="000000"/>
          <w:szCs w:val="24"/>
        </w:rPr>
        <w:t>Consiglio di Stato</w:t>
      </w:r>
      <w:r w:rsidRPr="00977A44">
        <w:rPr>
          <w:rFonts w:cs="Arial"/>
          <w:color w:val="000000"/>
          <w:szCs w:val="24"/>
        </w:rPr>
        <w:t xml:space="preserve"> sull’attività di AET</w:t>
      </w:r>
      <w:r>
        <w:rPr>
          <w:rFonts w:cs="Arial"/>
          <w:color w:val="000000"/>
          <w:szCs w:val="24"/>
        </w:rPr>
        <w:t xml:space="preserve"> è contenuto </w:t>
      </w:r>
      <w:r w:rsidRPr="00977A44">
        <w:rPr>
          <w:rFonts w:cs="Arial"/>
          <w:color w:val="000000"/>
          <w:szCs w:val="24"/>
        </w:rPr>
        <w:t xml:space="preserve">nel </w:t>
      </w:r>
      <w:r>
        <w:rPr>
          <w:rFonts w:cs="Arial"/>
          <w:color w:val="000000"/>
          <w:szCs w:val="24"/>
        </w:rPr>
        <w:t>M</w:t>
      </w:r>
      <w:r w:rsidRPr="00977A44">
        <w:rPr>
          <w:rFonts w:cs="Arial"/>
          <w:color w:val="000000"/>
          <w:szCs w:val="24"/>
        </w:rPr>
        <w:t>essaggio</w:t>
      </w:r>
      <w:r>
        <w:rPr>
          <w:rFonts w:cs="Arial"/>
          <w:color w:val="000000"/>
          <w:szCs w:val="24"/>
        </w:rPr>
        <w:t xml:space="preserve"> e </w:t>
      </w:r>
      <w:r w:rsidRPr="00CF0ACC">
        <w:rPr>
          <w:rFonts w:cs="Arial"/>
          <w:color w:val="000000"/>
          <w:szCs w:val="24"/>
        </w:rPr>
        <w:t>r</w:t>
      </w:r>
      <w:r w:rsidRPr="00CF0ACC">
        <w:rPr>
          <w:rFonts w:cs="Arial"/>
          <w:szCs w:val="24"/>
        </w:rPr>
        <w:t>ispetto all’esercizio precedente è consolidato nella struttura e nel contenuto, implementando le regole e la metodica di vigilanza previsti dalla Legge.</w:t>
      </w:r>
    </w:p>
    <w:p w:rsidR="00533F77" w:rsidRDefault="00533F77" w:rsidP="00533F77">
      <w:pPr>
        <w:autoSpaceDE w:val="0"/>
        <w:autoSpaceDN w:val="0"/>
        <w:adjustRightInd w:val="0"/>
        <w:rPr>
          <w:rFonts w:cs="Arial"/>
          <w:color w:val="000000"/>
          <w:szCs w:val="24"/>
        </w:rPr>
      </w:pPr>
    </w:p>
    <w:p w:rsidR="00533F77" w:rsidRPr="00FD61B1" w:rsidRDefault="00533F77" w:rsidP="00533F77">
      <w:pPr>
        <w:autoSpaceDE w:val="0"/>
        <w:autoSpaceDN w:val="0"/>
        <w:adjustRightInd w:val="0"/>
        <w:rPr>
          <w:rFonts w:cs="Arial"/>
          <w:color w:val="000000"/>
          <w:szCs w:val="24"/>
        </w:rPr>
      </w:pPr>
      <w:r>
        <w:rPr>
          <w:rFonts w:cs="Arial"/>
          <w:color w:val="000000"/>
          <w:szCs w:val="24"/>
        </w:rPr>
        <w:t xml:space="preserve">Nei vari incontri sono state discusse in particolare </w:t>
      </w:r>
      <w:r w:rsidRPr="00FD61B1">
        <w:rPr>
          <w:rFonts w:cs="Arial"/>
          <w:color w:val="000000"/>
          <w:szCs w:val="24"/>
        </w:rPr>
        <w:t xml:space="preserve">le previsioni del mercato elettrico, le collaborazioni in Ticino, la riorganizzazione </w:t>
      </w:r>
      <w:proofErr w:type="spellStart"/>
      <w:r w:rsidRPr="00FD61B1">
        <w:rPr>
          <w:rFonts w:cs="Arial"/>
          <w:color w:val="000000"/>
          <w:szCs w:val="24"/>
        </w:rPr>
        <w:t>Ofima</w:t>
      </w:r>
      <w:proofErr w:type="spellEnd"/>
      <w:r w:rsidRPr="00FD61B1">
        <w:rPr>
          <w:rFonts w:cs="Arial"/>
          <w:color w:val="000000"/>
          <w:szCs w:val="24"/>
        </w:rPr>
        <w:t xml:space="preserve"> </w:t>
      </w:r>
      <w:proofErr w:type="spellStart"/>
      <w:r w:rsidRPr="00FD61B1">
        <w:rPr>
          <w:rFonts w:cs="Arial"/>
          <w:color w:val="000000"/>
          <w:szCs w:val="24"/>
        </w:rPr>
        <w:t>Ofible</w:t>
      </w:r>
      <w:proofErr w:type="spellEnd"/>
      <w:r w:rsidRPr="00FD61B1">
        <w:rPr>
          <w:rFonts w:cs="Arial"/>
          <w:color w:val="000000"/>
          <w:szCs w:val="24"/>
        </w:rPr>
        <w:t xml:space="preserve"> e le sinergie con AET (nel frattempo implementate), la politica energetica federale</w:t>
      </w:r>
      <w:r>
        <w:rPr>
          <w:rFonts w:cs="Arial"/>
          <w:color w:val="000000"/>
          <w:szCs w:val="24"/>
        </w:rPr>
        <w:t xml:space="preserve"> nonché</w:t>
      </w:r>
      <w:r w:rsidRPr="00FD61B1">
        <w:rPr>
          <w:rFonts w:cs="Arial"/>
          <w:color w:val="000000"/>
          <w:szCs w:val="24"/>
        </w:rPr>
        <w:t xml:space="preserve"> lo sviluppo del progetto della RITOM SA (nel frattempo in cantiere)</w:t>
      </w:r>
      <w:r>
        <w:rPr>
          <w:rFonts w:cs="Arial"/>
          <w:color w:val="000000"/>
          <w:szCs w:val="24"/>
        </w:rPr>
        <w:t>.</w:t>
      </w:r>
    </w:p>
    <w:p w:rsidR="00533F77" w:rsidRPr="00977A44" w:rsidRDefault="00533F77" w:rsidP="00533F77">
      <w:pPr>
        <w:autoSpaceDE w:val="0"/>
        <w:autoSpaceDN w:val="0"/>
        <w:adjustRightInd w:val="0"/>
        <w:rPr>
          <w:rFonts w:cs="Arial"/>
          <w:color w:val="000000"/>
          <w:szCs w:val="24"/>
        </w:rPr>
      </w:pPr>
    </w:p>
    <w:p w:rsidR="00533F77" w:rsidRDefault="00533F77" w:rsidP="00533F77">
      <w:pPr>
        <w:autoSpaceDE w:val="0"/>
        <w:autoSpaceDN w:val="0"/>
        <w:adjustRightInd w:val="0"/>
        <w:rPr>
          <w:rFonts w:cs="Arial"/>
          <w:color w:val="000000"/>
          <w:szCs w:val="24"/>
        </w:rPr>
      </w:pPr>
      <w:r>
        <w:rPr>
          <w:rFonts w:cs="Arial"/>
          <w:color w:val="000000"/>
          <w:szCs w:val="24"/>
        </w:rPr>
        <w:t xml:space="preserve">La CCMP-AET ritiene </w:t>
      </w:r>
      <w:r w:rsidRPr="00977A44">
        <w:rPr>
          <w:rFonts w:cs="Arial"/>
          <w:color w:val="000000"/>
          <w:szCs w:val="24"/>
        </w:rPr>
        <w:t>l’informazione sull’attivi</w:t>
      </w:r>
      <w:r>
        <w:rPr>
          <w:rFonts w:cs="Arial"/>
          <w:color w:val="000000"/>
          <w:szCs w:val="24"/>
        </w:rPr>
        <w:t xml:space="preserve">tà di vigilanza diretta del Consiglio di Stato </w:t>
      </w:r>
      <w:r w:rsidRPr="00977A44">
        <w:rPr>
          <w:rFonts w:cs="Arial"/>
          <w:color w:val="000000"/>
          <w:szCs w:val="24"/>
        </w:rPr>
        <w:t xml:space="preserve"> esauriente</w:t>
      </w:r>
      <w:r>
        <w:rPr>
          <w:rFonts w:cs="Arial"/>
          <w:color w:val="000000"/>
          <w:szCs w:val="24"/>
        </w:rPr>
        <w:t xml:space="preserve"> e</w:t>
      </w:r>
      <w:r w:rsidRPr="00977A44">
        <w:rPr>
          <w:rFonts w:cs="Arial"/>
          <w:color w:val="000000"/>
          <w:szCs w:val="24"/>
        </w:rPr>
        <w:t xml:space="preserve"> prende atto anche della regolare e trasparente informazione su diverse tematiche esposte nel messaggio.</w:t>
      </w:r>
      <w:r>
        <w:rPr>
          <w:rFonts w:cs="Arial"/>
          <w:color w:val="000000"/>
          <w:szCs w:val="24"/>
        </w:rPr>
        <w:t xml:space="preserve"> </w:t>
      </w:r>
    </w:p>
    <w:p w:rsidR="00533F77" w:rsidRDefault="00533F77" w:rsidP="00533F77">
      <w:pPr>
        <w:autoSpaceDE w:val="0"/>
        <w:autoSpaceDN w:val="0"/>
        <w:adjustRightInd w:val="0"/>
        <w:rPr>
          <w:rFonts w:cs="Arial"/>
          <w:color w:val="000000"/>
          <w:szCs w:val="24"/>
        </w:rPr>
      </w:pPr>
    </w:p>
    <w:p w:rsidR="00533F77" w:rsidRPr="00977A44" w:rsidRDefault="00533F77" w:rsidP="00533F77">
      <w:pPr>
        <w:autoSpaceDE w:val="0"/>
        <w:autoSpaceDN w:val="0"/>
        <w:adjustRightInd w:val="0"/>
        <w:rPr>
          <w:rFonts w:cs="Arial"/>
          <w:bCs/>
          <w:color w:val="000000"/>
          <w:szCs w:val="24"/>
        </w:rPr>
      </w:pPr>
      <w:r>
        <w:rPr>
          <w:rFonts w:cs="Arial"/>
          <w:color w:val="000000"/>
          <w:szCs w:val="24"/>
        </w:rPr>
        <w:t xml:space="preserve">In conclusione la CCMP-AET </w:t>
      </w:r>
      <w:r>
        <w:rPr>
          <w:rFonts w:cs="Arial"/>
          <w:bCs/>
          <w:color w:val="000000"/>
          <w:szCs w:val="24"/>
        </w:rPr>
        <w:t xml:space="preserve">ritiene </w:t>
      </w:r>
      <w:r w:rsidRPr="00977A44">
        <w:rPr>
          <w:rFonts w:cs="Arial"/>
          <w:bCs/>
          <w:color w:val="000000"/>
          <w:szCs w:val="24"/>
        </w:rPr>
        <w:t xml:space="preserve">di aver potuto verificare l’attività di vigilanza diretta del </w:t>
      </w:r>
      <w:r>
        <w:rPr>
          <w:rFonts w:cs="Arial"/>
          <w:bCs/>
          <w:color w:val="000000"/>
          <w:szCs w:val="24"/>
        </w:rPr>
        <w:t>Consiglio di Stato e</w:t>
      </w:r>
      <w:r w:rsidRPr="00977A44">
        <w:rPr>
          <w:rFonts w:cs="Arial"/>
          <w:bCs/>
          <w:color w:val="000000"/>
          <w:szCs w:val="24"/>
        </w:rPr>
        <w:t xml:space="preserve"> conferma</w:t>
      </w:r>
      <w:r>
        <w:rPr>
          <w:rFonts w:cs="Arial"/>
          <w:bCs/>
          <w:color w:val="000000"/>
          <w:szCs w:val="24"/>
        </w:rPr>
        <w:t xml:space="preserve"> </w:t>
      </w:r>
      <w:r w:rsidRPr="00977A44">
        <w:rPr>
          <w:rFonts w:cs="Arial"/>
          <w:bCs/>
          <w:color w:val="000000"/>
          <w:szCs w:val="24"/>
        </w:rPr>
        <w:t>il raggiungimento degli obiettivi di mandato pubblico.</w:t>
      </w:r>
    </w:p>
    <w:p w:rsidR="00533F77" w:rsidRDefault="00533F77" w:rsidP="00533F77">
      <w:pPr>
        <w:rPr>
          <w:rFonts w:cs="Arial"/>
          <w:color w:val="000000"/>
          <w:szCs w:val="24"/>
        </w:rPr>
      </w:pPr>
    </w:p>
    <w:p w:rsidR="00533F77" w:rsidRPr="006E3535" w:rsidRDefault="00533F77" w:rsidP="00533F77"/>
    <w:p w:rsidR="00533F77" w:rsidRPr="00745439" w:rsidRDefault="00533F77" w:rsidP="00533F77">
      <w:pPr>
        <w:pStyle w:val="Titolo1"/>
        <w:rPr>
          <w:rFonts w:cs="Arial"/>
        </w:rPr>
      </w:pPr>
      <w:r>
        <w:rPr>
          <w:rFonts w:cs="Arial"/>
        </w:rPr>
        <w:t xml:space="preserve">PROGETTI STRATEGICI </w:t>
      </w:r>
      <w:bookmarkEnd w:id="11"/>
      <w:bookmarkEnd w:id="12"/>
      <w:bookmarkEnd w:id="13"/>
      <w:r>
        <w:rPr>
          <w:rFonts w:cs="Arial"/>
        </w:rPr>
        <w:t>E SVILUPPI FUTURI</w:t>
      </w:r>
    </w:p>
    <w:p w:rsidR="00533F77" w:rsidRDefault="00533F77" w:rsidP="00533F77">
      <w:pPr>
        <w:rPr>
          <w:rFonts w:cs="Arial"/>
        </w:rPr>
      </w:pPr>
      <w:r w:rsidRPr="000643A8">
        <w:rPr>
          <w:rFonts w:cs="Arial"/>
        </w:rPr>
        <w:t xml:space="preserve">L’esercizio 2017 è stato caratterizzato da un’inversione di tendenza sul fronte dei prezzi all’ingrosso dell’energia elettrica, risaliti dopo otto anni di incessante calo. I livelli raggiunti nel corso dell’anno non garantiscono </w:t>
      </w:r>
      <w:r>
        <w:rPr>
          <w:rFonts w:cs="Arial"/>
        </w:rPr>
        <w:t xml:space="preserve">ancora </w:t>
      </w:r>
      <w:r w:rsidRPr="000643A8">
        <w:rPr>
          <w:rFonts w:cs="Arial"/>
        </w:rPr>
        <w:t>la copertura dei costi di produzione degli impianti di AET, ma</w:t>
      </w:r>
      <w:r>
        <w:rPr>
          <w:rFonts w:cs="Arial"/>
        </w:rPr>
        <w:t xml:space="preserve"> questi primi segnali di svolta </w:t>
      </w:r>
      <w:r w:rsidRPr="000643A8">
        <w:rPr>
          <w:rFonts w:cs="Arial"/>
        </w:rPr>
        <w:t xml:space="preserve"> lasciano intrav</w:t>
      </w:r>
      <w:r>
        <w:rPr>
          <w:rFonts w:cs="Arial"/>
        </w:rPr>
        <w:t>v</w:t>
      </w:r>
      <w:r w:rsidRPr="000643A8">
        <w:rPr>
          <w:rFonts w:cs="Arial"/>
        </w:rPr>
        <w:t xml:space="preserve">edere la </w:t>
      </w:r>
      <w:proofErr w:type="spellStart"/>
      <w:r w:rsidRPr="000643A8">
        <w:rPr>
          <w:rFonts w:cs="Arial"/>
        </w:rPr>
        <w:t>possibilita</w:t>
      </w:r>
      <w:proofErr w:type="spellEnd"/>
      <w:r w:rsidRPr="000643A8">
        <w:rPr>
          <w:rFonts w:cs="Arial"/>
        </w:rPr>
        <w:t>̀ di uscire dalle cifre rosse a medio termine.</w:t>
      </w:r>
    </w:p>
    <w:p w:rsidR="00533F77" w:rsidRPr="00A64BA9" w:rsidRDefault="00533F77" w:rsidP="00533F77">
      <w:pPr>
        <w:rPr>
          <w:rFonts w:cs="Arial"/>
          <w:lang w:val="it-IT"/>
        </w:rPr>
      </w:pPr>
    </w:p>
    <w:p w:rsidR="00533F77" w:rsidRDefault="00533F77" w:rsidP="00533F77">
      <w:pPr>
        <w:rPr>
          <w:rFonts w:cs="Arial"/>
        </w:rPr>
      </w:pPr>
      <w:r>
        <w:rPr>
          <w:rFonts w:cs="Arial"/>
        </w:rPr>
        <w:t xml:space="preserve">In queste condizioni </w:t>
      </w:r>
      <w:r w:rsidRPr="006E3535">
        <w:rPr>
          <w:rFonts w:cs="Arial"/>
        </w:rPr>
        <w:t xml:space="preserve">l’obbiettivo </w:t>
      </w:r>
      <w:r>
        <w:rPr>
          <w:rFonts w:cs="Arial"/>
        </w:rPr>
        <w:t xml:space="preserve">condiviso rimane </w:t>
      </w:r>
      <w:r w:rsidRPr="006E3535">
        <w:rPr>
          <w:rFonts w:cs="Arial"/>
        </w:rPr>
        <w:t xml:space="preserve">quello di </w:t>
      </w:r>
      <w:r>
        <w:rPr>
          <w:rFonts w:cs="Arial"/>
        </w:rPr>
        <w:t>valorizzare</w:t>
      </w:r>
      <w:r w:rsidRPr="006E3535">
        <w:rPr>
          <w:rFonts w:cs="Arial"/>
        </w:rPr>
        <w:t xml:space="preserve"> la produzione </w:t>
      </w:r>
      <w:r>
        <w:rPr>
          <w:rFonts w:cs="Arial"/>
        </w:rPr>
        <w:t xml:space="preserve">idroelettrica cantonale e più in generale le risorse energetiche presenti in Ticino. In questo senso l’Azienda si sta impegnando a realizzare </w:t>
      </w:r>
      <w:r w:rsidRPr="009B3C61">
        <w:rPr>
          <w:rFonts w:cs="Arial"/>
        </w:rPr>
        <w:t>i progetti e le collaborazioni</w:t>
      </w:r>
      <w:r>
        <w:rPr>
          <w:rFonts w:cs="Arial"/>
        </w:rPr>
        <w:t xml:space="preserve"> all’interno del nostro cantone. Tra questi vi sono in particolare l</w:t>
      </w:r>
      <w:r w:rsidRPr="009B3C61">
        <w:rPr>
          <w:rFonts w:cs="Arial"/>
        </w:rPr>
        <w:t>a</w:t>
      </w:r>
      <w:r>
        <w:rPr>
          <w:rFonts w:cs="Arial"/>
        </w:rPr>
        <w:t xml:space="preserve"> </w:t>
      </w:r>
      <w:r w:rsidRPr="009B3C61">
        <w:rPr>
          <w:rFonts w:cs="Arial"/>
        </w:rPr>
        <w:t xml:space="preserve">realizzazione della nuova centrale del </w:t>
      </w:r>
      <w:proofErr w:type="spellStart"/>
      <w:r w:rsidRPr="009B3C61">
        <w:rPr>
          <w:rFonts w:cs="Arial"/>
        </w:rPr>
        <w:t>Ritom</w:t>
      </w:r>
      <w:proofErr w:type="spellEnd"/>
      <w:r>
        <w:rPr>
          <w:rFonts w:cs="Arial"/>
        </w:rPr>
        <w:t xml:space="preserve"> (unitamente alle FFS)</w:t>
      </w:r>
      <w:r w:rsidRPr="009B3C61">
        <w:rPr>
          <w:rFonts w:cs="Arial"/>
        </w:rPr>
        <w:t>,</w:t>
      </w:r>
      <w:r>
        <w:rPr>
          <w:rFonts w:cs="Arial"/>
        </w:rPr>
        <w:t xml:space="preserve"> per cui nel frattempo è stato avviato il cantiere, e</w:t>
      </w:r>
      <w:r w:rsidRPr="009B3C61">
        <w:rPr>
          <w:rFonts w:cs="Arial"/>
        </w:rPr>
        <w:t xml:space="preserve"> il Parco eolico del San Gottardo</w:t>
      </w:r>
      <w:r>
        <w:rPr>
          <w:rFonts w:cs="Arial"/>
        </w:rPr>
        <w:t xml:space="preserve">, che nell’estate 2018 ha ricevuto “luce verde” dal </w:t>
      </w:r>
      <w:r w:rsidRPr="00FE6C32">
        <w:rPr>
          <w:rFonts w:cs="Arial"/>
        </w:rPr>
        <w:t>Consiglio di Stato</w:t>
      </w:r>
      <w:r>
        <w:rPr>
          <w:rFonts w:cs="Arial"/>
        </w:rPr>
        <w:t>,</w:t>
      </w:r>
      <w:r w:rsidRPr="00FE6C32">
        <w:rPr>
          <w:rFonts w:cs="Arial"/>
        </w:rPr>
        <w:t xml:space="preserve"> </w:t>
      </w:r>
      <w:r>
        <w:rPr>
          <w:rFonts w:cs="Arial"/>
        </w:rPr>
        <w:t xml:space="preserve">il quale ha respinto un ricorso presentato dalla </w:t>
      </w:r>
      <w:r w:rsidRPr="00FE6C32">
        <w:rPr>
          <w:rFonts w:cs="Arial"/>
        </w:rPr>
        <w:t xml:space="preserve">Società Ticinese per l’Arte e la Natura (STAN) </w:t>
      </w:r>
      <w:r>
        <w:rPr>
          <w:rFonts w:cs="Arial"/>
        </w:rPr>
        <w:t>c</w:t>
      </w:r>
      <w:r w:rsidRPr="00FE6C32">
        <w:rPr>
          <w:rFonts w:cs="Arial"/>
        </w:rPr>
        <w:t>ontro il rilascio della licenza edilizia</w:t>
      </w:r>
      <w:r>
        <w:rPr>
          <w:rFonts w:cs="Arial"/>
        </w:rPr>
        <w:t>.</w:t>
      </w:r>
    </w:p>
    <w:p w:rsidR="00533F77" w:rsidRDefault="00533F77" w:rsidP="00533F77">
      <w:pPr>
        <w:rPr>
          <w:rFonts w:cs="Arial"/>
          <w:lang w:val="it-IT"/>
        </w:rPr>
      </w:pPr>
    </w:p>
    <w:p w:rsidR="00533F77" w:rsidRPr="006814B4" w:rsidRDefault="00533F77" w:rsidP="00533F77">
      <w:pPr>
        <w:rPr>
          <w:rFonts w:cs="Arial"/>
          <w:lang w:val="it-IT"/>
        </w:rPr>
      </w:pPr>
      <w:r>
        <w:rPr>
          <w:rFonts w:eastAsia="Arial" w:cs="Arial"/>
          <w:szCs w:val="24"/>
        </w:rPr>
        <w:t xml:space="preserve">Un altro progetto strategico costituito da importanti collaborazioni riguarda il </w:t>
      </w:r>
      <w:r w:rsidRPr="00FE6C32">
        <w:rPr>
          <w:rFonts w:cs="Arial"/>
          <w:lang w:val="it-IT"/>
        </w:rPr>
        <w:t>Campus Formativo Bodio (CFB)</w:t>
      </w:r>
      <w:r>
        <w:rPr>
          <w:rFonts w:cs="Arial"/>
          <w:lang w:val="it-IT"/>
        </w:rPr>
        <w:t>,</w:t>
      </w:r>
      <w:r w:rsidRPr="00FE6C32">
        <w:rPr>
          <w:rFonts w:cs="Arial"/>
          <w:lang w:val="it-IT"/>
        </w:rPr>
        <w:t xml:space="preserve"> il nuovo centro di formazione interaziendale promosso da AET assieme alle principali industrie attive nella regione delle Tre Valli</w:t>
      </w:r>
      <w:r>
        <w:rPr>
          <w:rFonts w:cs="Arial"/>
          <w:lang w:val="it-IT"/>
        </w:rPr>
        <w:t xml:space="preserve"> (</w:t>
      </w:r>
      <w:proofErr w:type="spellStart"/>
      <w:r w:rsidRPr="00FE6C32">
        <w:rPr>
          <w:rFonts w:cs="Arial"/>
          <w:lang w:val="it-IT"/>
        </w:rPr>
        <w:t>Imerys</w:t>
      </w:r>
      <w:proofErr w:type="spellEnd"/>
      <w:r w:rsidRPr="00FE6C32">
        <w:rPr>
          <w:rFonts w:cs="Arial"/>
          <w:lang w:val="it-IT"/>
        </w:rPr>
        <w:t xml:space="preserve"> </w:t>
      </w:r>
      <w:proofErr w:type="spellStart"/>
      <w:r w:rsidRPr="00FE6C32">
        <w:rPr>
          <w:rFonts w:cs="Arial"/>
          <w:lang w:val="it-IT"/>
        </w:rPr>
        <w:t>Graphite</w:t>
      </w:r>
      <w:proofErr w:type="spellEnd"/>
      <w:r w:rsidRPr="00FE6C32">
        <w:rPr>
          <w:rFonts w:cs="Arial"/>
          <w:lang w:val="it-IT"/>
        </w:rPr>
        <w:t xml:space="preserve"> &amp; Carbon </w:t>
      </w:r>
      <w:proofErr w:type="spellStart"/>
      <w:r w:rsidRPr="00FE6C32">
        <w:rPr>
          <w:rFonts w:cs="Arial"/>
          <w:lang w:val="it-IT"/>
        </w:rPr>
        <w:t>Switzerland</w:t>
      </w:r>
      <w:proofErr w:type="spellEnd"/>
      <w:r w:rsidRPr="00FE6C32">
        <w:rPr>
          <w:rFonts w:cs="Arial"/>
          <w:lang w:val="it-IT"/>
        </w:rPr>
        <w:t xml:space="preserve"> SA, </w:t>
      </w:r>
      <w:proofErr w:type="spellStart"/>
      <w:r w:rsidRPr="00FE6C32">
        <w:rPr>
          <w:rFonts w:cs="Arial"/>
          <w:lang w:val="it-IT"/>
        </w:rPr>
        <w:t>Tenconi</w:t>
      </w:r>
      <w:proofErr w:type="spellEnd"/>
      <w:r w:rsidRPr="00FE6C32">
        <w:rPr>
          <w:rFonts w:cs="Arial"/>
          <w:lang w:val="it-IT"/>
        </w:rPr>
        <w:t xml:space="preserve"> SA e </w:t>
      </w:r>
      <w:proofErr w:type="spellStart"/>
      <w:r w:rsidRPr="00FE6C32">
        <w:rPr>
          <w:rFonts w:cs="Arial"/>
          <w:lang w:val="it-IT"/>
        </w:rPr>
        <w:t>Tensol</w:t>
      </w:r>
      <w:proofErr w:type="spellEnd"/>
      <w:r w:rsidRPr="00FE6C32">
        <w:rPr>
          <w:rFonts w:cs="Arial"/>
          <w:lang w:val="it-IT"/>
        </w:rPr>
        <w:t xml:space="preserve"> </w:t>
      </w:r>
      <w:proofErr w:type="spellStart"/>
      <w:r w:rsidRPr="00FE6C32">
        <w:rPr>
          <w:rFonts w:cs="Arial"/>
          <w:lang w:val="it-IT"/>
        </w:rPr>
        <w:t>Rail</w:t>
      </w:r>
      <w:proofErr w:type="spellEnd"/>
      <w:r w:rsidRPr="00FE6C32">
        <w:rPr>
          <w:rFonts w:cs="Arial"/>
          <w:lang w:val="it-IT"/>
        </w:rPr>
        <w:t xml:space="preserve"> SA</w:t>
      </w:r>
      <w:r>
        <w:rPr>
          <w:rFonts w:cs="Arial"/>
          <w:lang w:val="it-IT"/>
        </w:rPr>
        <w:t xml:space="preserve">) </w:t>
      </w:r>
      <w:r>
        <w:rPr>
          <w:rFonts w:eastAsia="Arial" w:cs="Arial"/>
          <w:szCs w:val="24"/>
        </w:rPr>
        <w:t xml:space="preserve">inaugurato ufficialmente </w:t>
      </w:r>
      <w:r>
        <w:rPr>
          <w:rFonts w:cs="Arial"/>
          <w:lang w:val="it-IT"/>
        </w:rPr>
        <w:t>n</w:t>
      </w:r>
      <w:r w:rsidRPr="00FE6C32">
        <w:rPr>
          <w:rFonts w:cs="Arial"/>
          <w:lang w:val="it-IT"/>
        </w:rPr>
        <w:t>el</w:t>
      </w:r>
      <w:r>
        <w:rPr>
          <w:rFonts w:cs="Arial"/>
          <w:lang w:val="it-IT"/>
        </w:rPr>
        <w:t xml:space="preserve">la </w:t>
      </w:r>
      <w:r>
        <w:rPr>
          <w:rFonts w:cs="Arial"/>
          <w:lang w:val="it-IT"/>
        </w:rPr>
        <w:lastRenderedPageBreak/>
        <w:t>primavera</w:t>
      </w:r>
      <w:r w:rsidRPr="00FE6C32">
        <w:rPr>
          <w:rFonts w:cs="Arial"/>
          <w:lang w:val="it-IT"/>
        </w:rPr>
        <w:t xml:space="preserve"> </w:t>
      </w:r>
      <w:r>
        <w:rPr>
          <w:rFonts w:cs="Arial"/>
          <w:lang w:val="it-IT"/>
        </w:rPr>
        <w:t>2017</w:t>
      </w:r>
      <w:r w:rsidRPr="00FE6C32">
        <w:rPr>
          <w:rFonts w:cs="Arial"/>
          <w:lang w:val="it-IT"/>
        </w:rPr>
        <w:t xml:space="preserve">. Nato con il sostegno del DECS il </w:t>
      </w:r>
      <w:r>
        <w:rPr>
          <w:rFonts w:cs="Arial"/>
          <w:lang w:val="it-IT"/>
        </w:rPr>
        <w:t>nuovo campus</w:t>
      </w:r>
      <w:r w:rsidRPr="00FE6C32">
        <w:rPr>
          <w:rFonts w:cs="Arial"/>
          <w:lang w:val="it-IT"/>
        </w:rPr>
        <w:t xml:space="preserve"> pu</w:t>
      </w:r>
      <w:r>
        <w:rPr>
          <w:rFonts w:cs="Arial"/>
          <w:lang w:val="it-IT"/>
        </w:rPr>
        <w:t>ò</w:t>
      </w:r>
      <w:r w:rsidRPr="00FE6C32">
        <w:rPr>
          <w:rFonts w:cs="Arial"/>
          <w:lang w:val="it-IT"/>
        </w:rPr>
        <w:t xml:space="preserve"> formare fino a 32 apprendisti operatori in automazione e </w:t>
      </w:r>
      <w:proofErr w:type="spellStart"/>
      <w:r w:rsidRPr="00FE6C32">
        <w:rPr>
          <w:rFonts w:cs="Arial"/>
          <w:lang w:val="it-IT"/>
        </w:rPr>
        <w:t>polimeccanici</w:t>
      </w:r>
      <w:proofErr w:type="spellEnd"/>
      <w:r w:rsidRPr="00FE6C32">
        <w:rPr>
          <w:rFonts w:cs="Arial"/>
          <w:lang w:val="it-IT"/>
        </w:rPr>
        <w:t xml:space="preserve"> provenienti dalle aziende promotrici e da ditte terze. Il </w:t>
      </w:r>
      <w:r>
        <w:rPr>
          <w:rFonts w:cs="Arial"/>
          <w:lang w:val="it-IT"/>
        </w:rPr>
        <w:t>CFB</w:t>
      </w:r>
      <w:r w:rsidRPr="00FE6C32">
        <w:rPr>
          <w:rFonts w:cs="Arial"/>
          <w:lang w:val="it-IT"/>
        </w:rPr>
        <w:t xml:space="preserve"> sostituisce il precedente centro per apprendisti di AET e trova spazio nel complesso di edifici legati alla storica centrale della Vecchia </w:t>
      </w:r>
      <w:proofErr w:type="spellStart"/>
      <w:r w:rsidRPr="00FE6C32">
        <w:rPr>
          <w:rFonts w:cs="Arial"/>
          <w:lang w:val="it-IT"/>
        </w:rPr>
        <w:t>Biaschina</w:t>
      </w:r>
      <w:proofErr w:type="spellEnd"/>
      <w:r w:rsidRPr="00FE6C32">
        <w:rPr>
          <w:rFonts w:cs="Arial"/>
          <w:lang w:val="it-IT"/>
        </w:rPr>
        <w:t xml:space="preserve">. </w:t>
      </w:r>
      <w:r>
        <w:rPr>
          <w:rFonts w:cs="Arial"/>
          <w:lang w:val="it-IT"/>
        </w:rPr>
        <w:t>Si tratta di u</w:t>
      </w:r>
      <w:r w:rsidRPr="00FE6C32">
        <w:rPr>
          <w:rFonts w:cs="Arial"/>
          <w:lang w:val="it-IT"/>
        </w:rPr>
        <w:t>n progetto creato per contribuire, assieme ad altri, alla rinascita del comparto industriale del Comune di Bodio.</w:t>
      </w:r>
      <w:r>
        <w:rPr>
          <w:rFonts w:cs="Arial"/>
          <w:lang w:val="it-IT"/>
        </w:rPr>
        <w:t xml:space="preserve"> Alle quattro società promotrici del CFB si è aggiunta in un secondo tempo l’Azienda Cantonale dei Rifiuti.</w:t>
      </w:r>
    </w:p>
    <w:p w:rsidR="00533F77" w:rsidRDefault="00533F77" w:rsidP="00533F77">
      <w:pPr>
        <w:widowControl w:val="0"/>
        <w:autoSpaceDE w:val="0"/>
        <w:autoSpaceDN w:val="0"/>
        <w:adjustRightInd w:val="0"/>
        <w:rPr>
          <w:rFonts w:eastAsia="Arial" w:cs="Arial"/>
          <w:szCs w:val="24"/>
        </w:rPr>
      </w:pPr>
    </w:p>
    <w:p w:rsidR="00533F77" w:rsidRDefault="00533F77" w:rsidP="00533F77">
      <w:pPr>
        <w:widowControl w:val="0"/>
        <w:autoSpaceDE w:val="0"/>
        <w:autoSpaceDN w:val="0"/>
        <w:adjustRightInd w:val="0"/>
        <w:rPr>
          <w:rFonts w:eastAsia="Arial" w:cs="Arial"/>
          <w:szCs w:val="24"/>
          <w:lang w:val="it-IT"/>
        </w:rPr>
      </w:pPr>
      <w:r>
        <w:rPr>
          <w:rFonts w:eastAsia="Arial" w:cs="Arial"/>
          <w:szCs w:val="24"/>
          <w:lang w:val="it-IT"/>
        </w:rPr>
        <w:t>G</w:t>
      </w:r>
      <w:r w:rsidRPr="00A64BA9">
        <w:rPr>
          <w:rFonts w:eastAsia="Arial" w:cs="Arial"/>
          <w:szCs w:val="24"/>
          <w:lang w:val="it-IT"/>
        </w:rPr>
        <w:t xml:space="preserve">li accordi conclusi con </w:t>
      </w:r>
      <w:proofErr w:type="spellStart"/>
      <w:r w:rsidRPr="00A64BA9">
        <w:rPr>
          <w:rFonts w:eastAsia="Arial" w:cs="Arial"/>
          <w:szCs w:val="24"/>
          <w:lang w:val="it-IT"/>
        </w:rPr>
        <w:t>Ofima</w:t>
      </w:r>
      <w:proofErr w:type="spellEnd"/>
      <w:r w:rsidRPr="00A64BA9">
        <w:rPr>
          <w:rFonts w:eastAsia="Arial" w:cs="Arial"/>
          <w:szCs w:val="24"/>
          <w:lang w:val="it-IT"/>
        </w:rPr>
        <w:t xml:space="preserve"> e </w:t>
      </w:r>
      <w:proofErr w:type="spellStart"/>
      <w:r w:rsidRPr="00A64BA9">
        <w:rPr>
          <w:rFonts w:eastAsia="Arial" w:cs="Arial"/>
          <w:szCs w:val="24"/>
          <w:lang w:val="it-IT"/>
        </w:rPr>
        <w:t>Ofible</w:t>
      </w:r>
      <w:proofErr w:type="spellEnd"/>
      <w:r w:rsidRPr="00A64BA9">
        <w:rPr>
          <w:rFonts w:eastAsia="Arial" w:cs="Arial"/>
          <w:szCs w:val="24"/>
          <w:lang w:val="it-IT"/>
        </w:rPr>
        <w:t xml:space="preserve"> per portare in AET il centro comando dei loro impianti nonché́ parte del loro personale </w:t>
      </w:r>
      <w:r>
        <w:rPr>
          <w:rFonts w:eastAsia="Arial" w:cs="Arial"/>
          <w:szCs w:val="24"/>
          <w:lang w:val="it-IT"/>
        </w:rPr>
        <w:t xml:space="preserve">permettono di </w:t>
      </w:r>
      <w:r w:rsidRPr="00A64BA9">
        <w:rPr>
          <w:rFonts w:eastAsia="Arial" w:cs="Arial"/>
          <w:szCs w:val="24"/>
          <w:lang w:val="it-IT"/>
        </w:rPr>
        <w:t>mantenere in Ticino il controllo della produzione e numerose competenze professionali</w:t>
      </w:r>
      <w:r>
        <w:rPr>
          <w:rFonts w:eastAsia="Arial" w:cs="Arial"/>
          <w:szCs w:val="24"/>
          <w:lang w:val="it-IT"/>
        </w:rPr>
        <w:t xml:space="preserve">. </w:t>
      </w:r>
    </w:p>
    <w:p w:rsidR="00533F77" w:rsidRDefault="00533F77" w:rsidP="00533F77">
      <w:pPr>
        <w:widowControl w:val="0"/>
        <w:autoSpaceDE w:val="0"/>
        <w:autoSpaceDN w:val="0"/>
        <w:adjustRightInd w:val="0"/>
        <w:rPr>
          <w:rFonts w:eastAsia="Arial" w:cs="Arial"/>
          <w:szCs w:val="24"/>
        </w:rPr>
      </w:pPr>
    </w:p>
    <w:p w:rsidR="00533F77" w:rsidRDefault="00533F77" w:rsidP="00533F77">
      <w:pPr>
        <w:widowControl w:val="0"/>
        <w:autoSpaceDE w:val="0"/>
        <w:autoSpaceDN w:val="0"/>
        <w:adjustRightInd w:val="0"/>
        <w:rPr>
          <w:rFonts w:eastAsia="Arial" w:cs="Arial"/>
          <w:szCs w:val="24"/>
        </w:rPr>
      </w:pPr>
      <w:r>
        <w:rPr>
          <w:rFonts w:eastAsia="Arial" w:cs="Arial"/>
          <w:szCs w:val="24"/>
        </w:rPr>
        <w:t xml:space="preserve">Si ricorda pure l'accordo sfociato dal </w:t>
      </w:r>
      <w:r w:rsidRPr="00E07F3F">
        <w:rPr>
          <w:rFonts w:eastAsia="Arial" w:cs="Arial"/>
          <w:szCs w:val="24"/>
        </w:rPr>
        <w:t>tavolo di discussione sul settore elettrico cantonale convocato</w:t>
      </w:r>
      <w:r>
        <w:rPr>
          <w:rFonts w:eastAsia="Arial" w:cs="Arial"/>
          <w:szCs w:val="24"/>
        </w:rPr>
        <w:t xml:space="preserve"> dal </w:t>
      </w:r>
      <w:r w:rsidRPr="00E07F3F">
        <w:rPr>
          <w:rFonts w:eastAsia="Arial" w:cs="Arial"/>
          <w:szCs w:val="24"/>
        </w:rPr>
        <w:t>DFE</w:t>
      </w:r>
      <w:r>
        <w:rPr>
          <w:rFonts w:eastAsia="Arial" w:cs="Arial"/>
          <w:szCs w:val="24"/>
        </w:rPr>
        <w:t xml:space="preserve"> per la fornitura</w:t>
      </w:r>
      <w:r w:rsidRPr="00DD4927">
        <w:rPr>
          <w:rFonts w:eastAsia="Arial" w:cs="Arial"/>
          <w:szCs w:val="24"/>
        </w:rPr>
        <w:t xml:space="preserve"> a lungo termine</w:t>
      </w:r>
      <w:r>
        <w:rPr>
          <w:rFonts w:eastAsia="Arial" w:cs="Arial"/>
          <w:szCs w:val="24"/>
        </w:rPr>
        <w:t xml:space="preserve"> </w:t>
      </w:r>
      <w:r w:rsidRPr="00DD4927">
        <w:rPr>
          <w:rFonts w:eastAsia="Arial" w:cs="Arial"/>
          <w:szCs w:val="24"/>
        </w:rPr>
        <w:t>di energia idroelettrica proveniente da centrali ticinesi</w:t>
      </w:r>
      <w:r>
        <w:rPr>
          <w:rFonts w:eastAsia="Arial" w:cs="Arial"/>
          <w:szCs w:val="24"/>
        </w:rPr>
        <w:t xml:space="preserve">, </w:t>
      </w:r>
      <w:r w:rsidRPr="00E07F3F">
        <w:rPr>
          <w:rFonts w:eastAsia="Arial" w:cs="Arial"/>
          <w:szCs w:val="24"/>
        </w:rPr>
        <w:t>ad un prezz</w:t>
      </w:r>
      <w:r>
        <w:rPr>
          <w:rFonts w:eastAsia="Arial" w:cs="Arial"/>
          <w:szCs w:val="24"/>
        </w:rPr>
        <w:t>o legato direttamente ai costi di produzione. Questo accordo</w:t>
      </w:r>
      <w:r w:rsidRPr="00E07F3F">
        <w:rPr>
          <w:rFonts w:eastAsia="Arial" w:cs="Arial"/>
          <w:szCs w:val="24"/>
        </w:rPr>
        <w:t xml:space="preserve"> </w:t>
      </w:r>
      <w:r w:rsidRPr="00DD4927">
        <w:rPr>
          <w:rFonts w:eastAsia="Arial" w:cs="Arial"/>
          <w:szCs w:val="24"/>
        </w:rPr>
        <w:t>interessa</w:t>
      </w:r>
      <w:r>
        <w:rPr>
          <w:rFonts w:eastAsia="Arial" w:cs="Arial"/>
          <w:szCs w:val="24"/>
        </w:rPr>
        <w:t xml:space="preserve"> oggi 10 aziende di distribuzione delle</w:t>
      </w:r>
      <w:r w:rsidRPr="00DD4927">
        <w:rPr>
          <w:rFonts w:eastAsia="Arial" w:cs="Arial"/>
          <w:szCs w:val="24"/>
        </w:rPr>
        <w:t xml:space="preserve"> 11</w:t>
      </w:r>
      <w:r>
        <w:rPr>
          <w:rFonts w:eastAsia="Arial" w:cs="Arial"/>
          <w:szCs w:val="24"/>
        </w:rPr>
        <w:t xml:space="preserve"> che operano in Ticino e offre </w:t>
      </w:r>
      <w:r w:rsidRPr="00E07F3F">
        <w:rPr>
          <w:rFonts w:eastAsia="Arial" w:cs="Arial"/>
          <w:szCs w:val="24"/>
        </w:rPr>
        <w:t>uno sbocco sicuro a un’importante quota</w:t>
      </w:r>
      <w:r>
        <w:rPr>
          <w:rFonts w:eastAsia="Arial" w:cs="Arial"/>
          <w:szCs w:val="24"/>
        </w:rPr>
        <w:t xml:space="preserve"> </w:t>
      </w:r>
      <w:r w:rsidRPr="00E07F3F">
        <w:rPr>
          <w:rFonts w:eastAsia="Arial" w:cs="Arial"/>
          <w:szCs w:val="24"/>
        </w:rPr>
        <w:t xml:space="preserve">della produzione idroelettrica di AET, </w:t>
      </w:r>
      <w:r>
        <w:rPr>
          <w:rFonts w:eastAsia="Arial" w:cs="Arial"/>
          <w:szCs w:val="24"/>
        </w:rPr>
        <w:t>salvaguardando posti di lavoro qualificati situati in regioni periferiche.</w:t>
      </w:r>
    </w:p>
    <w:p w:rsidR="00533F77" w:rsidRDefault="00533F77" w:rsidP="00533F77">
      <w:pPr>
        <w:rPr>
          <w:rFonts w:cs="Arial"/>
          <w:szCs w:val="24"/>
        </w:rPr>
      </w:pPr>
    </w:p>
    <w:p w:rsidR="00533F77" w:rsidRPr="00841C60" w:rsidRDefault="00533F77" w:rsidP="00533F77">
      <w:pPr>
        <w:rPr>
          <w:rFonts w:cs="Arial"/>
          <w:szCs w:val="24"/>
        </w:rPr>
      </w:pPr>
      <w:r w:rsidRPr="008A3140">
        <w:rPr>
          <w:rFonts w:cs="Arial"/>
          <w:szCs w:val="24"/>
        </w:rPr>
        <w:t xml:space="preserve">Il rafforzamento del settore idroelettrico ticinese e della posizione di AET al suo interno permetteranno al Cantone di tornare a valorizzare questa preziosa risorsa sul mercato elettrico del futuro. Un mercato che, quando inizieranno le dismissioni delle prime centrali nucleari e a carbone in tutta Europa, </w:t>
      </w:r>
      <w:proofErr w:type="spellStart"/>
      <w:r w:rsidRPr="008A3140">
        <w:rPr>
          <w:rFonts w:cs="Arial"/>
          <w:szCs w:val="24"/>
        </w:rPr>
        <w:t>avra</w:t>
      </w:r>
      <w:proofErr w:type="spellEnd"/>
      <w:r w:rsidRPr="008A3140">
        <w:rPr>
          <w:rFonts w:cs="Arial"/>
          <w:szCs w:val="24"/>
        </w:rPr>
        <w:t xml:space="preserve">̀ sempre </w:t>
      </w:r>
      <w:proofErr w:type="spellStart"/>
      <w:r w:rsidRPr="008A3140">
        <w:rPr>
          <w:rFonts w:cs="Arial"/>
          <w:szCs w:val="24"/>
        </w:rPr>
        <w:t>piu</w:t>
      </w:r>
      <w:proofErr w:type="spellEnd"/>
      <w:r w:rsidRPr="008A3140">
        <w:rPr>
          <w:rFonts w:cs="Arial"/>
          <w:szCs w:val="24"/>
        </w:rPr>
        <w:t xml:space="preserve">̀ bisogno della </w:t>
      </w:r>
      <w:proofErr w:type="spellStart"/>
      <w:r w:rsidRPr="008A3140">
        <w:rPr>
          <w:rFonts w:cs="Arial"/>
          <w:szCs w:val="24"/>
        </w:rPr>
        <w:t>flessibilita</w:t>
      </w:r>
      <w:proofErr w:type="spellEnd"/>
      <w:r w:rsidRPr="008A3140">
        <w:rPr>
          <w:rFonts w:cs="Arial"/>
          <w:szCs w:val="24"/>
        </w:rPr>
        <w:t>̀ garantita dalla produzione idroelettrica.</w:t>
      </w:r>
    </w:p>
    <w:p w:rsidR="00533F77" w:rsidRPr="001A3146" w:rsidRDefault="00533F77" w:rsidP="00533F77">
      <w:pPr>
        <w:rPr>
          <w:rFonts w:cs="Arial"/>
          <w:szCs w:val="24"/>
        </w:rPr>
      </w:pPr>
    </w:p>
    <w:p w:rsidR="00533F77" w:rsidRPr="001A3146" w:rsidRDefault="00533F77" w:rsidP="00533F77">
      <w:pPr>
        <w:rPr>
          <w:rFonts w:cs="Arial"/>
          <w:szCs w:val="24"/>
        </w:rPr>
      </w:pPr>
      <w:bookmarkStart w:id="14" w:name="_Toc390264058"/>
      <w:bookmarkEnd w:id="14"/>
    </w:p>
    <w:p w:rsidR="00533F77" w:rsidRPr="006967C3" w:rsidRDefault="00533F77" w:rsidP="00533F77">
      <w:pPr>
        <w:pStyle w:val="Titolo1"/>
        <w:rPr>
          <w:rFonts w:cs="Arial"/>
        </w:rPr>
      </w:pPr>
      <w:bookmarkStart w:id="15" w:name="_Toc471834937"/>
      <w:r w:rsidRPr="006967C3">
        <w:rPr>
          <w:rFonts w:cs="Arial"/>
        </w:rPr>
        <w:t>CONCLUSIONI</w:t>
      </w:r>
      <w:bookmarkEnd w:id="15"/>
    </w:p>
    <w:p w:rsidR="00533F77" w:rsidRDefault="00533F77" w:rsidP="00533F77">
      <w:pPr>
        <w:rPr>
          <w:rFonts w:cs="Arial"/>
          <w:szCs w:val="24"/>
        </w:rPr>
      </w:pPr>
      <w:r w:rsidRPr="002E3D8B">
        <w:rPr>
          <w:rFonts w:cs="Arial"/>
          <w:szCs w:val="24"/>
        </w:rPr>
        <w:t>Richiamati i contenuti del presente rapp</w:t>
      </w:r>
      <w:r>
        <w:rPr>
          <w:rFonts w:cs="Arial"/>
          <w:szCs w:val="24"/>
        </w:rPr>
        <w:t xml:space="preserve">orto e ribadendo che i conti 2017 continuano a risentire pesantemente della sfavorevole situazione di mercato, </w:t>
      </w:r>
      <w:r w:rsidRPr="002E3D8B">
        <w:rPr>
          <w:rFonts w:cs="Arial"/>
          <w:szCs w:val="24"/>
        </w:rPr>
        <w:t>ringraziamo Maestranze, Direzione e Consiglio d’amministrazione di AET per il lavoro svolto</w:t>
      </w:r>
      <w:r>
        <w:rPr>
          <w:rFonts w:cs="Arial"/>
          <w:szCs w:val="24"/>
        </w:rPr>
        <w:t xml:space="preserve">. </w:t>
      </w:r>
    </w:p>
    <w:p w:rsidR="00533F77" w:rsidRDefault="00533F77" w:rsidP="00533F77">
      <w:pPr>
        <w:rPr>
          <w:rFonts w:cs="Arial"/>
          <w:szCs w:val="24"/>
        </w:rPr>
      </w:pPr>
    </w:p>
    <w:p w:rsidR="00533F77" w:rsidRDefault="00533F77" w:rsidP="00533F77">
      <w:pPr>
        <w:rPr>
          <w:rFonts w:cs="Arial"/>
          <w:szCs w:val="24"/>
        </w:rPr>
      </w:pPr>
      <w:r>
        <w:rPr>
          <w:rFonts w:cs="Arial"/>
          <w:szCs w:val="24"/>
        </w:rPr>
        <w:t xml:space="preserve">Prendendo atto, oltre che </w:t>
      </w:r>
      <w:r w:rsidRPr="00987A3B">
        <w:rPr>
          <w:rFonts w:cs="Arial"/>
          <w:szCs w:val="24"/>
        </w:rPr>
        <w:t>del rapporto di gestione e del rapporto di revisione</w:t>
      </w:r>
      <w:r>
        <w:rPr>
          <w:rFonts w:cs="Arial"/>
          <w:szCs w:val="24"/>
        </w:rPr>
        <w:t>, anche del r</w:t>
      </w:r>
      <w:r w:rsidRPr="005F0A16">
        <w:rPr>
          <w:rFonts w:cs="Arial"/>
          <w:szCs w:val="24"/>
        </w:rPr>
        <w:t>esoconto sulla vigilanza diretta</w:t>
      </w:r>
      <w:r>
        <w:rPr>
          <w:rFonts w:cs="Arial"/>
          <w:szCs w:val="24"/>
        </w:rPr>
        <w:t xml:space="preserve"> </w:t>
      </w:r>
      <w:r w:rsidRPr="005F0A16">
        <w:rPr>
          <w:rFonts w:cs="Arial"/>
          <w:szCs w:val="24"/>
        </w:rPr>
        <w:t xml:space="preserve">e </w:t>
      </w:r>
      <w:r>
        <w:rPr>
          <w:rFonts w:cs="Arial"/>
          <w:szCs w:val="24"/>
        </w:rPr>
        <w:t xml:space="preserve">del </w:t>
      </w:r>
      <w:r w:rsidRPr="005F0A16">
        <w:rPr>
          <w:rFonts w:cs="Arial"/>
          <w:szCs w:val="24"/>
        </w:rPr>
        <w:t>rapporto sul raggiungimento degli obiettivi strategici</w:t>
      </w:r>
      <w:r>
        <w:rPr>
          <w:rFonts w:cs="Arial"/>
          <w:szCs w:val="24"/>
        </w:rPr>
        <w:t xml:space="preserve"> del Consiglio di Stato invitiamo il Gran Consiglio ad approvare il conto annuale di AET per l’esercizio 2017, dando scarico agli organi dell’azienda.</w:t>
      </w:r>
    </w:p>
    <w:p w:rsidR="00533F77" w:rsidRDefault="00533F77" w:rsidP="00533F77"/>
    <w:p w:rsidR="00533F77" w:rsidRDefault="00533F77" w:rsidP="00533F77"/>
    <w:p w:rsidR="00533F77" w:rsidRPr="001A3146" w:rsidRDefault="00533F77" w:rsidP="00533F77"/>
    <w:p w:rsidR="00533F77" w:rsidRPr="008A7E75" w:rsidRDefault="00533F77" w:rsidP="00533F77">
      <w:pPr>
        <w:spacing w:after="120"/>
        <w:rPr>
          <w:rFonts w:cs="Arial"/>
          <w:szCs w:val="24"/>
        </w:rPr>
      </w:pPr>
      <w:r w:rsidRPr="008A7E75">
        <w:rPr>
          <w:rFonts w:cs="Arial"/>
          <w:szCs w:val="24"/>
        </w:rPr>
        <w:t>Per la Commissione speciale energia:</w:t>
      </w:r>
    </w:p>
    <w:p w:rsidR="00533F77" w:rsidRPr="008A7E75" w:rsidRDefault="00533F77" w:rsidP="00533F77">
      <w:pPr>
        <w:rPr>
          <w:szCs w:val="24"/>
        </w:rPr>
      </w:pPr>
      <w:r w:rsidRPr="008A7E75">
        <w:rPr>
          <w:szCs w:val="24"/>
        </w:rPr>
        <w:t xml:space="preserve">Fabio Käppeli, </w:t>
      </w:r>
      <w:r w:rsidRPr="008A7E75">
        <w:rPr>
          <w:rFonts w:cs="Arial"/>
          <w:szCs w:val="24"/>
        </w:rPr>
        <w:t>relatore</w:t>
      </w:r>
    </w:p>
    <w:p w:rsidR="00533F77" w:rsidRDefault="00533F77" w:rsidP="00533F77">
      <w:r>
        <w:t xml:space="preserve">Badasci - Bang - Bignasca - </w:t>
      </w:r>
    </w:p>
    <w:p w:rsidR="00533F77" w:rsidRDefault="00533F77" w:rsidP="00533F77">
      <w:r>
        <w:t xml:space="preserve">Crugnola - Dadò - Filippini - Gianora - </w:t>
      </w:r>
    </w:p>
    <w:p w:rsidR="00533F77" w:rsidRDefault="00533F77" w:rsidP="00533F77">
      <w:r>
        <w:t xml:space="preserve">Jelmini - Lepori - Maggi - Minotti - </w:t>
      </w:r>
    </w:p>
    <w:p w:rsidR="00533F77" w:rsidRDefault="00533F77" w:rsidP="00533F77">
      <w:r>
        <w:t>Peduzzi - Robbiani - Storni - Terraneo</w:t>
      </w:r>
    </w:p>
    <w:p w:rsidR="00533F77" w:rsidRDefault="00533F77" w:rsidP="00533F77">
      <w:pPr>
        <w:rPr>
          <w:rFonts w:cs="Arial"/>
          <w:sz w:val="22"/>
          <w:u w:val="single"/>
        </w:rPr>
      </w:pPr>
    </w:p>
    <w:p w:rsidR="00AD638B" w:rsidRPr="008A7E75" w:rsidRDefault="00AD638B" w:rsidP="00AD638B">
      <w:pPr>
        <w:rPr>
          <w:rFonts w:cs="Arial"/>
          <w:szCs w:val="24"/>
          <w:u w:val="single"/>
        </w:rPr>
      </w:pPr>
    </w:p>
    <w:p w:rsidR="00AD638B" w:rsidRPr="008A7E75" w:rsidRDefault="00AD638B" w:rsidP="00AD638B">
      <w:pPr>
        <w:rPr>
          <w:rFonts w:cs="Arial"/>
          <w:szCs w:val="24"/>
          <w:u w:val="single"/>
        </w:rPr>
      </w:pPr>
    </w:p>
    <w:p w:rsidR="00AD638B" w:rsidRPr="008A7E75" w:rsidRDefault="00AD638B" w:rsidP="00AD638B">
      <w:pPr>
        <w:rPr>
          <w:rFonts w:cs="Arial"/>
          <w:szCs w:val="24"/>
          <w:u w:val="single"/>
        </w:rPr>
      </w:pPr>
    </w:p>
    <w:p w:rsidR="00AD638B" w:rsidRPr="00533F77" w:rsidRDefault="00AD638B" w:rsidP="00AD638B">
      <w:pPr>
        <w:rPr>
          <w:rFonts w:cs="Arial"/>
          <w:sz w:val="22"/>
        </w:rPr>
      </w:pPr>
      <w:r w:rsidRPr="00533F77">
        <w:rPr>
          <w:rFonts w:cs="Arial"/>
          <w:sz w:val="22"/>
          <w:u w:val="single"/>
        </w:rPr>
        <w:t>Allegati:</w:t>
      </w:r>
    </w:p>
    <w:p w:rsidR="00AD638B" w:rsidRPr="00533F77" w:rsidRDefault="00AD638B" w:rsidP="00925117">
      <w:pPr>
        <w:pStyle w:val="Paragrafoelenco"/>
        <w:numPr>
          <w:ilvl w:val="0"/>
          <w:numId w:val="5"/>
        </w:numPr>
        <w:spacing w:before="80"/>
        <w:ind w:left="284" w:hanging="284"/>
        <w:rPr>
          <w:rFonts w:cs="Arial"/>
          <w:sz w:val="22"/>
        </w:rPr>
      </w:pPr>
      <w:r w:rsidRPr="00533F77">
        <w:rPr>
          <w:rFonts w:cs="Arial"/>
          <w:sz w:val="22"/>
        </w:rPr>
        <w:t>Rapporto della Commissione di controllo del mandato pubblico</w:t>
      </w:r>
    </w:p>
    <w:p w:rsidR="00AD638B" w:rsidRPr="00533F77" w:rsidRDefault="00AD638B" w:rsidP="00AD638B">
      <w:pPr>
        <w:pStyle w:val="Paragrafoelenco"/>
        <w:numPr>
          <w:ilvl w:val="0"/>
          <w:numId w:val="5"/>
        </w:numPr>
        <w:spacing w:before="80"/>
        <w:ind w:left="284" w:hanging="284"/>
        <w:rPr>
          <w:rFonts w:cs="Arial"/>
          <w:sz w:val="22"/>
        </w:rPr>
      </w:pPr>
      <w:r w:rsidRPr="00533F77">
        <w:rPr>
          <w:rFonts w:cs="Arial"/>
          <w:sz w:val="22"/>
        </w:rPr>
        <w:t>Organigramma delle società partecipate da AET a fine 2017.</w:t>
      </w:r>
    </w:p>
    <w:sectPr w:rsidR="00AD638B" w:rsidRPr="00533F77" w:rsidSect="00533F77">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8F" w:rsidRDefault="003B0F8F" w:rsidP="008E77C6">
      <w:r>
        <w:separator/>
      </w:r>
    </w:p>
  </w:endnote>
  <w:endnote w:type="continuationSeparator" w:id="0">
    <w:p w:rsidR="003B0F8F" w:rsidRDefault="003B0F8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D6F07" w:rsidRPr="006D6F0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8F" w:rsidRDefault="003B0F8F" w:rsidP="008E77C6">
      <w:r>
        <w:separator/>
      </w:r>
    </w:p>
  </w:footnote>
  <w:footnote w:type="continuationSeparator" w:id="0">
    <w:p w:rsidR="003B0F8F" w:rsidRDefault="003B0F8F"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3140BCC2"/>
    <w:lvl w:ilvl="0" w:tplc="DFCA05B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5D56E30"/>
    <w:multiLevelType w:val="hybridMultilevel"/>
    <w:tmpl w:val="ED86E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643DFD"/>
    <w:multiLevelType w:val="hybridMultilevel"/>
    <w:tmpl w:val="B694C8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07A1B"/>
    <w:rsid w:val="001574D7"/>
    <w:rsid w:val="00260C8C"/>
    <w:rsid w:val="002E5E40"/>
    <w:rsid w:val="003B0F8F"/>
    <w:rsid w:val="0052425A"/>
    <w:rsid w:val="00533F77"/>
    <w:rsid w:val="00586A8D"/>
    <w:rsid w:val="006D6F07"/>
    <w:rsid w:val="006D7A3B"/>
    <w:rsid w:val="007352D3"/>
    <w:rsid w:val="007B5462"/>
    <w:rsid w:val="008034BD"/>
    <w:rsid w:val="00876352"/>
    <w:rsid w:val="008B2655"/>
    <w:rsid w:val="008B4137"/>
    <w:rsid w:val="008C767A"/>
    <w:rsid w:val="008E77C6"/>
    <w:rsid w:val="00925117"/>
    <w:rsid w:val="009770BB"/>
    <w:rsid w:val="009E008D"/>
    <w:rsid w:val="00A5465F"/>
    <w:rsid w:val="00A77678"/>
    <w:rsid w:val="00AD638B"/>
    <w:rsid w:val="00BC4C95"/>
    <w:rsid w:val="00BD5944"/>
    <w:rsid w:val="00CF6858"/>
    <w:rsid w:val="00D377B5"/>
    <w:rsid w:val="00D93B31"/>
    <w:rsid w:val="00E505DB"/>
    <w:rsid w:val="00E765A9"/>
    <w:rsid w:val="00F97F5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925117"/>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925117"/>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NormaleWeb">
    <w:name w:val="Normal (Web)"/>
    <w:basedOn w:val="Normale"/>
    <w:uiPriority w:val="99"/>
    <w:unhideWhenUsed/>
    <w:rsid w:val="00AD638B"/>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9251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5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925117"/>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925117"/>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NormaleWeb">
    <w:name w:val="Normal (Web)"/>
    <w:basedOn w:val="Normale"/>
    <w:uiPriority w:val="99"/>
    <w:unhideWhenUsed/>
    <w:rsid w:val="00AD638B"/>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9251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5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C7B9-F1EC-491F-A99A-62C20CA0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2888</Words>
  <Characters>16462</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2019-02-19T11:07:00Z</cp:lastPrinted>
  <dcterms:created xsi:type="dcterms:W3CDTF">2019-02-05T17:27:00Z</dcterms:created>
  <dcterms:modified xsi:type="dcterms:W3CDTF">2019-02-19T11:12:00Z</dcterms:modified>
</cp:coreProperties>
</file>