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394134" w:rsidP="00F242E5">
      <w:pPr>
        <w:tabs>
          <w:tab w:val="left" w:pos="2495"/>
        </w:tabs>
        <w:spacing w:before="80" w:after="40"/>
        <w:rPr>
          <w:rFonts w:ascii="Gill Sans MT" w:hAnsi="Gill Sans MT"/>
          <w:b/>
          <w:sz w:val="56"/>
          <w:szCs w:val="56"/>
        </w:rPr>
      </w:pPr>
      <w:r w:rsidRPr="00A70D9E">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261FC9">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261FC9" w:rsidP="00F242E5">
      <w:pPr>
        <w:tabs>
          <w:tab w:val="left" w:pos="2098"/>
          <w:tab w:val="left" w:pos="4962"/>
        </w:tabs>
        <w:rPr>
          <w:position w:val="4"/>
        </w:rPr>
      </w:pPr>
      <w:r>
        <w:rPr>
          <w:b/>
          <w:position w:val="4"/>
          <w:sz w:val="32"/>
          <w:szCs w:val="32"/>
        </w:rPr>
        <w:t>754</w:t>
      </w:r>
      <w:r w:rsidR="005F4380">
        <w:rPr>
          <w:b/>
          <w:position w:val="4"/>
          <w:sz w:val="32"/>
          <w:szCs w:val="32"/>
        </w:rPr>
        <w:t>0</w:t>
      </w:r>
      <w:r>
        <w:rPr>
          <w:b/>
          <w:position w:val="4"/>
          <w:sz w:val="32"/>
          <w:szCs w:val="32"/>
        </w:rPr>
        <w:t xml:space="preserve"> </w:t>
      </w:r>
      <w:r w:rsidR="00F242E5" w:rsidRPr="002D7BF1">
        <w:rPr>
          <w:b/>
          <w:position w:val="4"/>
          <w:sz w:val="32"/>
          <w:szCs w:val="32"/>
        </w:rPr>
        <w:t>R</w:t>
      </w:r>
      <w:r>
        <w:rPr>
          <w:b/>
          <w:position w:val="4"/>
          <w:sz w:val="32"/>
          <w:szCs w:val="32"/>
        </w:rPr>
        <w:t>2</w:t>
      </w:r>
      <w:r w:rsidR="00F242E5">
        <w:rPr>
          <w:position w:val="4"/>
          <w:sz w:val="28"/>
        </w:rPr>
        <w:tab/>
      </w:r>
      <w:r>
        <w:rPr>
          <w:position w:val="4"/>
          <w:sz w:val="28"/>
        </w:rPr>
        <w:t>5 febbraio 2019</w:t>
      </w:r>
      <w:r w:rsidR="00F242E5">
        <w:rPr>
          <w:position w:val="4"/>
          <w:sz w:val="28"/>
        </w:rPr>
        <w:tab/>
      </w:r>
      <w:r>
        <w:rPr>
          <w:position w:val="4"/>
          <w:sz w:val="28"/>
        </w:rPr>
        <w:t>TERRITORIO</w:t>
      </w:r>
    </w:p>
    <w:p w:rsidR="00F242E5" w:rsidRDefault="00F242E5" w:rsidP="00F242E5"/>
    <w:p w:rsidR="00F242E5" w:rsidRDefault="00F242E5" w:rsidP="00F242E5"/>
    <w:p w:rsidR="00F242E5" w:rsidRDefault="00F242E5" w:rsidP="00F242E5"/>
    <w:p w:rsidR="00261FC9" w:rsidRPr="00B3404F" w:rsidRDefault="00261FC9" w:rsidP="00261FC9">
      <w:pPr>
        <w:rPr>
          <w:rFonts w:cs="Arial"/>
          <w:b/>
          <w:sz w:val="28"/>
          <w:szCs w:val="28"/>
          <w:lang w:val="it-IT"/>
        </w:rPr>
      </w:pPr>
      <w:r w:rsidRPr="00B3404F">
        <w:rPr>
          <w:rFonts w:cs="Arial"/>
          <w:b/>
          <w:sz w:val="28"/>
          <w:szCs w:val="28"/>
          <w:lang w:val="it-IT"/>
        </w:rPr>
        <w:t>della Commissione speciale energia</w:t>
      </w:r>
    </w:p>
    <w:p w:rsidR="00261FC9" w:rsidRPr="00261FC9" w:rsidRDefault="00261FC9" w:rsidP="00261FC9">
      <w:pPr>
        <w:rPr>
          <w:rFonts w:cs="Arial"/>
          <w:b/>
          <w:bCs/>
          <w:iCs/>
          <w:sz w:val="28"/>
          <w:szCs w:val="28"/>
        </w:rPr>
      </w:pPr>
      <w:r w:rsidRPr="00261FC9">
        <w:rPr>
          <w:rFonts w:cs="Arial"/>
          <w:b/>
          <w:sz w:val="28"/>
          <w:szCs w:val="28"/>
          <w:lang w:val="it-IT"/>
        </w:rPr>
        <w:t xml:space="preserve">sul messaggio </w:t>
      </w:r>
      <w:bookmarkStart w:id="1" w:name="_Toc532918762"/>
      <w:r>
        <w:rPr>
          <w:rFonts w:cs="Arial"/>
          <w:b/>
          <w:sz w:val="28"/>
          <w:szCs w:val="28"/>
          <w:lang w:val="it-IT"/>
        </w:rPr>
        <w:t>30 maggio 2018 concernente lo s</w:t>
      </w:r>
      <w:proofErr w:type="spellStart"/>
      <w:r w:rsidRPr="00261FC9">
        <w:rPr>
          <w:rFonts w:cs="Arial"/>
          <w:b/>
          <w:bCs/>
          <w:iCs/>
          <w:sz w:val="28"/>
          <w:szCs w:val="28"/>
        </w:rPr>
        <w:t>tanziamento</w:t>
      </w:r>
      <w:proofErr w:type="spellEnd"/>
      <w:r w:rsidRPr="00261FC9">
        <w:rPr>
          <w:rFonts w:cs="Arial"/>
          <w:b/>
          <w:bCs/>
          <w:iCs/>
          <w:sz w:val="28"/>
          <w:szCs w:val="28"/>
        </w:rPr>
        <w:t xml:space="preserve"> di un credito quadro di </w:t>
      </w:r>
      <w:proofErr w:type="spellStart"/>
      <w:r w:rsidRPr="00261FC9">
        <w:rPr>
          <w:rFonts w:cs="Arial"/>
          <w:b/>
          <w:bCs/>
          <w:iCs/>
          <w:sz w:val="28"/>
          <w:szCs w:val="28"/>
        </w:rPr>
        <w:t>fr</w:t>
      </w:r>
      <w:proofErr w:type="spellEnd"/>
      <w:r w:rsidRPr="00261FC9">
        <w:rPr>
          <w:rFonts w:cs="Arial"/>
          <w:b/>
          <w:bCs/>
          <w:iCs/>
          <w:sz w:val="28"/>
          <w:szCs w:val="28"/>
        </w:rPr>
        <w:t>. 3'000’000.- destinato a incentivare l’acquisto di veicoli totalmente elettrici e lo sviluppo dell’infrastruttura di ricarica elettrica domestica e sul posto di lavoro</w:t>
      </w:r>
      <w:bookmarkEnd w:id="1"/>
    </w:p>
    <w:p w:rsidR="00261FC9" w:rsidRDefault="00261FC9" w:rsidP="00261FC9">
      <w:pPr>
        <w:rPr>
          <w:rFonts w:cs="Arial"/>
          <w:bCs/>
          <w:iCs/>
          <w:szCs w:val="24"/>
        </w:rPr>
      </w:pPr>
    </w:p>
    <w:p w:rsidR="00261FC9" w:rsidRPr="001D6E9A" w:rsidRDefault="00261FC9" w:rsidP="00261FC9">
      <w:pPr>
        <w:rPr>
          <w:rFonts w:cs="Arial"/>
          <w:bCs/>
          <w:iCs/>
          <w:szCs w:val="24"/>
        </w:rPr>
      </w:pPr>
    </w:p>
    <w:p w:rsidR="00261FC9" w:rsidRPr="001D6E9A" w:rsidRDefault="00261FC9" w:rsidP="00261FC9">
      <w:pPr>
        <w:rPr>
          <w:rFonts w:cs="Arial"/>
          <w:bCs/>
          <w:iCs/>
          <w:szCs w:val="24"/>
        </w:rPr>
      </w:pPr>
    </w:p>
    <w:p w:rsidR="00261FC9" w:rsidRDefault="00261FC9" w:rsidP="00860784">
      <w:pPr>
        <w:pStyle w:val="Titolo1"/>
      </w:pPr>
      <w:r w:rsidRPr="001D6E9A">
        <w:t>L’automobile elettrica nel contesto mondiale e ticinese</w:t>
      </w:r>
    </w:p>
    <w:p w:rsidR="00261FC9" w:rsidRPr="00261FC9" w:rsidRDefault="00261FC9" w:rsidP="00261FC9">
      <w:pPr>
        <w:rPr>
          <w:lang w:val="it-IT" w:eastAsia="it-IT"/>
        </w:rPr>
      </w:pPr>
    </w:p>
    <w:p w:rsidR="00261FC9" w:rsidRPr="001D6E9A" w:rsidRDefault="00261FC9" w:rsidP="00261FC9">
      <w:pPr>
        <w:pStyle w:val="Titolo2"/>
        <w:rPr>
          <w:rFonts w:cs="Arial"/>
          <w:szCs w:val="24"/>
        </w:rPr>
      </w:pPr>
      <w:r w:rsidRPr="001D6E9A">
        <w:rPr>
          <w:rFonts w:cs="Arial"/>
          <w:szCs w:val="24"/>
        </w:rPr>
        <w:t>1.1</w:t>
      </w:r>
      <w:r w:rsidRPr="001D6E9A">
        <w:rPr>
          <w:rFonts w:cs="Arial"/>
          <w:szCs w:val="24"/>
        </w:rPr>
        <w:tab/>
        <w:t>Il contesto mondiale</w:t>
      </w:r>
    </w:p>
    <w:p w:rsidR="00261FC9" w:rsidRPr="001D6E9A" w:rsidRDefault="00261FC9" w:rsidP="00261FC9">
      <w:pPr>
        <w:rPr>
          <w:rFonts w:cs="Arial"/>
          <w:szCs w:val="24"/>
        </w:rPr>
      </w:pPr>
    </w:p>
    <w:p w:rsidR="00261FC9" w:rsidRPr="001D6E9A" w:rsidRDefault="00261FC9" w:rsidP="00261FC9">
      <w:pPr>
        <w:spacing w:after="240"/>
        <w:jc w:val="center"/>
        <w:rPr>
          <w:rFonts w:cs="Arial"/>
        </w:rPr>
      </w:pPr>
      <w:r w:rsidRPr="001D6E9A">
        <w:rPr>
          <w:rFonts w:cs="Arial"/>
        </w:rPr>
        <w:t xml:space="preserve">A livello mondiale a fine 2018 5 milioni </w:t>
      </w:r>
      <w:r>
        <w:rPr>
          <w:rFonts w:cs="Arial"/>
        </w:rPr>
        <w:t xml:space="preserve">di </w:t>
      </w:r>
      <w:r w:rsidRPr="001D6E9A">
        <w:rPr>
          <w:rFonts w:cs="Arial"/>
        </w:rPr>
        <w:t>automobili elettriche in circolazione!</w:t>
      </w:r>
    </w:p>
    <w:p w:rsidR="00261FC9" w:rsidRPr="001D6E9A" w:rsidRDefault="00261FC9" w:rsidP="00261FC9">
      <w:pPr>
        <w:spacing w:after="240"/>
        <w:jc w:val="center"/>
        <w:rPr>
          <w:rFonts w:cs="Arial"/>
        </w:rPr>
      </w:pPr>
      <w:r w:rsidRPr="001D6E9A">
        <w:rPr>
          <w:rFonts w:cs="Arial"/>
        </w:rPr>
        <w:t xml:space="preserve">per vendere il </w:t>
      </w:r>
      <w:r w:rsidRPr="001D6E9A">
        <w:rPr>
          <w:rFonts w:cs="Arial"/>
          <w:b/>
        </w:rPr>
        <w:t>primo milione</w:t>
      </w:r>
      <w:r w:rsidRPr="001D6E9A">
        <w:rPr>
          <w:rFonts w:cs="Arial"/>
        </w:rPr>
        <w:t xml:space="preserve"> di auto elettriche ci sono voluti </w:t>
      </w:r>
      <w:r w:rsidRPr="001D6E9A">
        <w:rPr>
          <w:rFonts w:cs="Arial"/>
          <w:b/>
        </w:rPr>
        <w:t>20 anni</w:t>
      </w:r>
    </w:p>
    <w:p w:rsidR="00261FC9" w:rsidRPr="001D6E9A" w:rsidRDefault="00261FC9" w:rsidP="00261FC9">
      <w:pPr>
        <w:spacing w:after="240"/>
        <w:jc w:val="center"/>
        <w:rPr>
          <w:rFonts w:cs="Arial"/>
          <w:sz w:val="32"/>
          <w:szCs w:val="32"/>
        </w:rPr>
      </w:pPr>
      <w:r w:rsidRPr="001D6E9A">
        <w:rPr>
          <w:rFonts w:cs="Arial"/>
          <w:sz w:val="32"/>
          <w:szCs w:val="32"/>
        </w:rPr>
        <w:t xml:space="preserve">il </w:t>
      </w:r>
      <w:r w:rsidRPr="001D6E9A">
        <w:rPr>
          <w:rFonts w:cs="Arial"/>
          <w:b/>
          <w:sz w:val="32"/>
          <w:szCs w:val="32"/>
        </w:rPr>
        <w:t>secondo milione</w:t>
      </w:r>
      <w:r w:rsidRPr="001D6E9A">
        <w:rPr>
          <w:rFonts w:cs="Arial"/>
          <w:sz w:val="32"/>
          <w:szCs w:val="32"/>
        </w:rPr>
        <w:t xml:space="preserve"> è stato venduto in </w:t>
      </w:r>
      <w:r w:rsidRPr="001D6E9A">
        <w:rPr>
          <w:rFonts w:cs="Arial"/>
          <w:b/>
          <w:sz w:val="32"/>
          <w:szCs w:val="32"/>
        </w:rPr>
        <w:t>18 mesi</w:t>
      </w:r>
    </w:p>
    <w:p w:rsidR="00261FC9" w:rsidRPr="001D6E9A" w:rsidRDefault="00261FC9" w:rsidP="00261FC9">
      <w:pPr>
        <w:spacing w:after="240"/>
        <w:jc w:val="center"/>
        <w:rPr>
          <w:rFonts w:cs="Arial"/>
          <w:b/>
          <w:sz w:val="44"/>
          <w:szCs w:val="44"/>
        </w:rPr>
      </w:pPr>
      <w:r w:rsidRPr="001D6E9A">
        <w:rPr>
          <w:rFonts w:cs="Arial"/>
          <w:sz w:val="44"/>
          <w:szCs w:val="44"/>
        </w:rPr>
        <w:t xml:space="preserve">il </w:t>
      </w:r>
      <w:r w:rsidRPr="001D6E9A">
        <w:rPr>
          <w:rFonts w:cs="Arial"/>
          <w:b/>
          <w:sz w:val="44"/>
          <w:szCs w:val="44"/>
        </w:rPr>
        <w:t>terzo milione</w:t>
      </w:r>
      <w:r w:rsidRPr="001D6E9A">
        <w:rPr>
          <w:rFonts w:cs="Arial"/>
          <w:sz w:val="44"/>
          <w:szCs w:val="44"/>
        </w:rPr>
        <w:t xml:space="preserve"> in </w:t>
      </w:r>
      <w:r w:rsidRPr="001D6E9A">
        <w:rPr>
          <w:rFonts w:cs="Arial"/>
          <w:b/>
          <w:sz w:val="44"/>
          <w:szCs w:val="44"/>
        </w:rPr>
        <w:t>8 mesi</w:t>
      </w:r>
    </w:p>
    <w:p w:rsidR="00261FC9" w:rsidRPr="001D6E9A" w:rsidRDefault="00261FC9" w:rsidP="00261FC9">
      <w:pPr>
        <w:spacing w:after="240"/>
        <w:jc w:val="center"/>
        <w:rPr>
          <w:rFonts w:cs="Arial"/>
          <w:b/>
          <w:sz w:val="56"/>
          <w:szCs w:val="56"/>
        </w:rPr>
      </w:pPr>
      <w:r w:rsidRPr="001D6E9A">
        <w:rPr>
          <w:rFonts w:cs="Arial"/>
          <w:sz w:val="56"/>
          <w:szCs w:val="56"/>
        </w:rPr>
        <w:t xml:space="preserve">il </w:t>
      </w:r>
      <w:r w:rsidRPr="001D6E9A">
        <w:rPr>
          <w:rFonts w:cs="Arial"/>
          <w:b/>
          <w:sz w:val="56"/>
          <w:szCs w:val="56"/>
        </w:rPr>
        <w:t xml:space="preserve">quarto milione </w:t>
      </w:r>
      <w:r w:rsidRPr="001D6E9A">
        <w:rPr>
          <w:rFonts w:cs="Arial"/>
          <w:sz w:val="56"/>
          <w:szCs w:val="56"/>
        </w:rPr>
        <w:t>in</w:t>
      </w:r>
      <w:r w:rsidRPr="001D6E9A">
        <w:rPr>
          <w:rFonts w:cs="Arial"/>
          <w:b/>
          <w:sz w:val="56"/>
          <w:szCs w:val="56"/>
        </w:rPr>
        <w:t xml:space="preserve"> 6 mesi</w:t>
      </w:r>
    </w:p>
    <w:p w:rsidR="00261FC9" w:rsidRPr="001D6E9A" w:rsidRDefault="00261FC9" w:rsidP="00261FC9">
      <w:pPr>
        <w:spacing w:after="240"/>
        <w:jc w:val="center"/>
        <w:rPr>
          <w:rFonts w:cs="Arial"/>
          <w:sz w:val="72"/>
          <w:szCs w:val="72"/>
        </w:rPr>
      </w:pPr>
      <w:r w:rsidRPr="001D6E9A">
        <w:rPr>
          <w:rFonts w:cs="Arial"/>
          <w:sz w:val="72"/>
          <w:szCs w:val="72"/>
        </w:rPr>
        <w:t>il</w:t>
      </w:r>
      <w:r w:rsidRPr="001D6E9A">
        <w:rPr>
          <w:rFonts w:cs="Arial"/>
          <w:b/>
          <w:sz w:val="72"/>
          <w:szCs w:val="72"/>
        </w:rPr>
        <w:t xml:space="preserve"> quinto milione </w:t>
      </w:r>
      <w:r w:rsidRPr="001D6E9A">
        <w:rPr>
          <w:rFonts w:cs="Arial"/>
          <w:sz w:val="72"/>
          <w:szCs w:val="72"/>
        </w:rPr>
        <w:t>in</w:t>
      </w:r>
      <w:r w:rsidRPr="001D6E9A">
        <w:rPr>
          <w:rFonts w:cs="Arial"/>
          <w:b/>
          <w:sz w:val="72"/>
          <w:szCs w:val="72"/>
        </w:rPr>
        <w:t xml:space="preserve"> 4 mesi</w:t>
      </w:r>
    </w:p>
    <w:p w:rsidR="00261FC9" w:rsidRDefault="00261FC9" w:rsidP="00261FC9">
      <w:pPr>
        <w:rPr>
          <w:rFonts w:cs="Arial"/>
          <w:szCs w:val="24"/>
        </w:rPr>
      </w:pPr>
    </w:p>
    <w:p w:rsidR="00860784" w:rsidRPr="001D6E9A" w:rsidRDefault="00860784" w:rsidP="00261FC9">
      <w:pPr>
        <w:rPr>
          <w:rFonts w:cs="Arial"/>
          <w:szCs w:val="24"/>
        </w:rPr>
      </w:pPr>
    </w:p>
    <w:p w:rsidR="00261FC9" w:rsidRDefault="00261FC9" w:rsidP="00261FC9">
      <w:pPr>
        <w:rPr>
          <w:rFonts w:cs="Arial"/>
          <w:szCs w:val="24"/>
        </w:rPr>
      </w:pPr>
      <w:r w:rsidRPr="001D6E9A">
        <w:rPr>
          <w:rFonts w:cs="Arial"/>
          <w:szCs w:val="24"/>
        </w:rPr>
        <w:t xml:space="preserve">La crescita delle vendite di automobili elettriche (elettriche a batteria, ibride </w:t>
      </w:r>
      <w:proofErr w:type="spellStart"/>
      <w:r w:rsidRPr="001D6E9A">
        <w:rPr>
          <w:rFonts w:cs="Arial"/>
          <w:szCs w:val="24"/>
        </w:rPr>
        <w:t>plug</w:t>
      </w:r>
      <w:proofErr w:type="spellEnd"/>
      <w:r w:rsidRPr="001D6E9A">
        <w:rPr>
          <w:rFonts w:cs="Arial"/>
          <w:szCs w:val="24"/>
        </w:rPr>
        <w:t xml:space="preserve"> in e a idrogeno) non è più lineare, ma esponenziale ed è spinta a livello legislativo e normativo in molte Nazioni e Stati, dalla California alla Cina (per questioni di NOX e PM) passando per la Norvegia. A breve Olanda, Svezia, Francia, Danimarca e altre introdurranno normative per limitare nuove immatricolazioni di autovetture a combustione interna.</w:t>
      </w:r>
    </w:p>
    <w:p w:rsidR="00261FC9" w:rsidRPr="001D6E9A" w:rsidRDefault="00261FC9" w:rsidP="00261FC9">
      <w:pPr>
        <w:rPr>
          <w:rFonts w:cs="Arial"/>
          <w:szCs w:val="24"/>
        </w:rPr>
      </w:pPr>
    </w:p>
    <w:p w:rsidR="00261FC9" w:rsidRDefault="00261FC9" w:rsidP="00261FC9">
      <w:pPr>
        <w:rPr>
          <w:rFonts w:cs="Arial"/>
        </w:rPr>
      </w:pPr>
      <w:r w:rsidRPr="001D6E9A">
        <w:rPr>
          <w:rFonts w:cs="Arial"/>
          <w:noProof/>
          <w:lang w:eastAsia="it-CH"/>
        </w:rPr>
        <w:lastRenderedPageBreak/>
        <w:drawing>
          <wp:inline distT="0" distB="0" distL="0" distR="0" wp14:anchorId="408F229C" wp14:editId="4E2F9556">
            <wp:extent cx="6120130" cy="24028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0130" cy="2402888"/>
                    </a:xfrm>
                    <a:prstGeom prst="rect">
                      <a:avLst/>
                    </a:prstGeom>
                    <a:noFill/>
                    <a:ln w="9525">
                      <a:noFill/>
                      <a:miter lim="800000"/>
                      <a:headEnd/>
                      <a:tailEnd/>
                    </a:ln>
                  </pic:spPr>
                </pic:pic>
              </a:graphicData>
            </a:graphic>
          </wp:inline>
        </w:drawing>
      </w:r>
    </w:p>
    <w:p w:rsidR="00261FC9" w:rsidRPr="00261FC9" w:rsidRDefault="00261FC9" w:rsidP="00261FC9">
      <w:pPr>
        <w:rPr>
          <w:rFonts w:cs="Arial"/>
          <w:sz w:val="20"/>
          <w:szCs w:val="20"/>
          <w:lang w:val="en-US"/>
        </w:rPr>
      </w:pPr>
      <w:r w:rsidRPr="00261FC9">
        <w:rPr>
          <w:rFonts w:cs="Arial"/>
          <w:sz w:val="20"/>
          <w:szCs w:val="20"/>
          <w:lang w:val="en-US"/>
        </w:rPr>
        <w:t>Fonte: Global EV Outlook 2018 (EIA)</w:t>
      </w:r>
    </w:p>
    <w:p w:rsidR="00261FC9" w:rsidRPr="00FE1CE3" w:rsidRDefault="00261FC9" w:rsidP="00261FC9">
      <w:pPr>
        <w:rPr>
          <w:rFonts w:cs="Arial"/>
          <w:szCs w:val="24"/>
          <w:lang w:val="en-US"/>
        </w:rPr>
      </w:pPr>
    </w:p>
    <w:p w:rsidR="00261FC9" w:rsidRPr="001D6E9A" w:rsidRDefault="00261FC9" w:rsidP="00261FC9">
      <w:pPr>
        <w:rPr>
          <w:rFonts w:cs="Arial"/>
          <w:szCs w:val="24"/>
        </w:rPr>
      </w:pPr>
      <w:r w:rsidRPr="001D6E9A">
        <w:rPr>
          <w:rFonts w:cs="Arial"/>
          <w:szCs w:val="24"/>
        </w:rPr>
        <w:t>L’aumento delle vendite per effetto d’economia di scala nella produzione porta alla diminuzione dei prezzi</w:t>
      </w:r>
      <w:r>
        <w:rPr>
          <w:rFonts w:cs="Arial"/>
          <w:szCs w:val="24"/>
        </w:rPr>
        <w:t>;</w:t>
      </w:r>
      <w:r w:rsidRPr="001D6E9A">
        <w:rPr>
          <w:rFonts w:cs="Arial"/>
          <w:szCs w:val="24"/>
        </w:rPr>
        <w:t xml:space="preserve"> se a questo aggiungiamo gli sviluppi tecnologici che estendono l’autonomia e l’attrattività, si configura un circolo virtuoso che farà crescere ulteriormente il mercato, tanto da far cadere la necessità di sussidi</w:t>
      </w:r>
      <w:r>
        <w:rPr>
          <w:rFonts w:cs="Arial"/>
          <w:szCs w:val="24"/>
        </w:rPr>
        <w:t>,</w:t>
      </w:r>
      <w:r w:rsidRPr="001D6E9A">
        <w:rPr>
          <w:rFonts w:cs="Arial"/>
          <w:szCs w:val="24"/>
        </w:rPr>
        <w:t xml:space="preserve"> come già previsto ad esempio in California. Per il 2019 sono previsti nuovi modelli a prezzi simili e costi d’esercizio inferiori a modelli a combustione interna.</w:t>
      </w:r>
    </w:p>
    <w:p w:rsidR="00261FC9" w:rsidRDefault="00261FC9" w:rsidP="00261FC9">
      <w:pPr>
        <w:rPr>
          <w:rFonts w:cs="Arial"/>
          <w:szCs w:val="24"/>
        </w:rPr>
      </w:pPr>
    </w:p>
    <w:p w:rsidR="00261FC9" w:rsidRPr="001D6E9A" w:rsidRDefault="00261FC9" w:rsidP="00261FC9">
      <w:pPr>
        <w:rPr>
          <w:rFonts w:cs="Arial"/>
          <w:szCs w:val="24"/>
        </w:rPr>
      </w:pPr>
    </w:p>
    <w:p w:rsidR="00261FC9" w:rsidRPr="001D6E9A" w:rsidRDefault="00261FC9" w:rsidP="00261FC9">
      <w:pPr>
        <w:pStyle w:val="Titolo2"/>
        <w:rPr>
          <w:rFonts w:cs="Arial"/>
          <w:szCs w:val="24"/>
        </w:rPr>
      </w:pPr>
      <w:r w:rsidRPr="001D6E9A">
        <w:rPr>
          <w:rFonts w:cs="Arial"/>
          <w:szCs w:val="24"/>
        </w:rPr>
        <w:t>1.2</w:t>
      </w:r>
      <w:r>
        <w:rPr>
          <w:rFonts w:cs="Arial"/>
          <w:szCs w:val="24"/>
        </w:rPr>
        <w:tab/>
      </w:r>
      <w:r w:rsidRPr="001D6E9A">
        <w:rPr>
          <w:rFonts w:cs="Arial"/>
          <w:szCs w:val="24"/>
        </w:rPr>
        <w:t xml:space="preserve">Il contesto </w:t>
      </w:r>
      <w:r>
        <w:rPr>
          <w:rFonts w:cs="Arial"/>
          <w:szCs w:val="24"/>
        </w:rPr>
        <w:t>c</w:t>
      </w:r>
      <w:r w:rsidRPr="001D6E9A">
        <w:rPr>
          <w:rFonts w:cs="Arial"/>
          <w:szCs w:val="24"/>
        </w:rPr>
        <w:t>antonale</w:t>
      </w:r>
    </w:p>
    <w:p w:rsidR="00261FC9" w:rsidRPr="00BE696B" w:rsidRDefault="00261FC9" w:rsidP="00261FC9">
      <w:pPr>
        <w:spacing w:after="120"/>
        <w:rPr>
          <w:rFonts w:cs="Arial"/>
          <w:szCs w:val="24"/>
        </w:rPr>
      </w:pPr>
      <w:r w:rsidRPr="00BE696B">
        <w:rPr>
          <w:rFonts w:cs="Arial"/>
          <w:szCs w:val="24"/>
        </w:rPr>
        <w:t>Anche in Ticino la diffusione di autovetture elettriche segna una crescita importante:</w:t>
      </w:r>
    </w:p>
    <w:p w:rsidR="00261FC9" w:rsidRPr="00BE696B" w:rsidRDefault="00261FC9" w:rsidP="00261FC9">
      <w:pPr>
        <w:pStyle w:val="Paragrafoelenco"/>
        <w:numPr>
          <w:ilvl w:val="0"/>
          <w:numId w:val="25"/>
        </w:numPr>
        <w:spacing w:after="120"/>
        <w:ind w:left="284" w:hanging="284"/>
        <w:rPr>
          <w:rFonts w:cs="Arial"/>
          <w:szCs w:val="24"/>
        </w:rPr>
      </w:pPr>
      <w:r w:rsidRPr="00BE696B">
        <w:rPr>
          <w:rFonts w:cs="Arial"/>
          <w:szCs w:val="24"/>
        </w:rPr>
        <w:t xml:space="preserve">nel </w:t>
      </w:r>
      <w:r w:rsidRPr="00BE696B">
        <w:rPr>
          <w:rFonts w:cs="Arial"/>
          <w:b/>
          <w:szCs w:val="24"/>
        </w:rPr>
        <w:t>2013</w:t>
      </w:r>
      <w:r w:rsidRPr="00BE696B">
        <w:rPr>
          <w:rFonts w:cs="Arial"/>
          <w:szCs w:val="24"/>
        </w:rPr>
        <w:t xml:space="preserve"> (situazione M6774) erano in circolazione </w:t>
      </w:r>
      <w:r w:rsidRPr="00BE696B">
        <w:rPr>
          <w:rFonts w:cs="Arial"/>
          <w:b/>
          <w:szCs w:val="24"/>
        </w:rPr>
        <w:t>150 auto elettriche</w:t>
      </w:r>
      <w:r w:rsidRPr="00BE696B">
        <w:rPr>
          <w:rFonts w:cs="Arial"/>
          <w:szCs w:val="24"/>
        </w:rPr>
        <w:t xml:space="preserve"> (80 di privati);</w:t>
      </w:r>
    </w:p>
    <w:p w:rsidR="00261FC9" w:rsidRPr="00BE696B" w:rsidRDefault="00261FC9" w:rsidP="00261FC9">
      <w:pPr>
        <w:pStyle w:val="Paragrafoelenco"/>
        <w:numPr>
          <w:ilvl w:val="0"/>
          <w:numId w:val="25"/>
        </w:numPr>
        <w:spacing w:after="120"/>
        <w:ind w:left="284" w:hanging="284"/>
        <w:rPr>
          <w:rFonts w:cs="Arial"/>
          <w:szCs w:val="24"/>
        </w:rPr>
      </w:pPr>
      <w:r w:rsidRPr="00BE696B">
        <w:rPr>
          <w:rFonts w:cs="Arial"/>
          <w:szCs w:val="24"/>
        </w:rPr>
        <w:t xml:space="preserve">nel </w:t>
      </w:r>
      <w:r w:rsidRPr="00BE696B">
        <w:rPr>
          <w:rFonts w:cs="Arial"/>
          <w:b/>
          <w:szCs w:val="24"/>
        </w:rPr>
        <w:t>2018</w:t>
      </w:r>
      <w:r w:rsidRPr="00BE696B">
        <w:rPr>
          <w:rFonts w:cs="Arial"/>
          <w:szCs w:val="24"/>
        </w:rPr>
        <w:t xml:space="preserve"> (7 novembre, risposte CdS) erano in circolazione </w:t>
      </w:r>
      <w:r w:rsidRPr="00BE696B">
        <w:rPr>
          <w:rFonts w:cs="Arial"/>
          <w:b/>
          <w:szCs w:val="24"/>
        </w:rPr>
        <w:t>779 auto elettriche</w:t>
      </w:r>
      <w:r w:rsidRPr="00BE696B">
        <w:rPr>
          <w:rFonts w:cs="Arial"/>
          <w:szCs w:val="24"/>
        </w:rPr>
        <w:t>;</w:t>
      </w:r>
    </w:p>
    <w:p w:rsidR="00261FC9" w:rsidRPr="00BE696B" w:rsidRDefault="00261FC9" w:rsidP="00261FC9">
      <w:pPr>
        <w:pStyle w:val="Paragrafoelenco"/>
        <w:numPr>
          <w:ilvl w:val="0"/>
          <w:numId w:val="25"/>
        </w:numPr>
        <w:spacing w:after="120"/>
        <w:ind w:left="284" w:hanging="284"/>
        <w:rPr>
          <w:rFonts w:cs="Arial"/>
          <w:szCs w:val="24"/>
        </w:rPr>
      </w:pPr>
      <w:r w:rsidRPr="00BE696B">
        <w:rPr>
          <w:rFonts w:cs="Arial"/>
          <w:szCs w:val="24"/>
        </w:rPr>
        <w:t>dal 1995 (inizio VEL) al 2013 (M6774) crescita di 150;</w:t>
      </w:r>
    </w:p>
    <w:p w:rsidR="00261FC9" w:rsidRPr="00BE696B" w:rsidRDefault="00261FC9" w:rsidP="00261FC9">
      <w:pPr>
        <w:pStyle w:val="Paragrafoelenco"/>
        <w:numPr>
          <w:ilvl w:val="0"/>
          <w:numId w:val="25"/>
        </w:numPr>
        <w:ind w:left="284" w:hanging="284"/>
        <w:contextualSpacing/>
        <w:rPr>
          <w:rFonts w:cs="Arial"/>
          <w:szCs w:val="24"/>
        </w:rPr>
      </w:pPr>
      <w:r w:rsidRPr="00BE696B">
        <w:rPr>
          <w:rFonts w:cs="Arial"/>
          <w:szCs w:val="24"/>
        </w:rPr>
        <w:t>dal 2014 al 2018, senza sussidi, crescita di 630 (media: più di 150 per anno).</w:t>
      </w:r>
    </w:p>
    <w:p w:rsidR="00261FC9" w:rsidRPr="001D6E9A" w:rsidRDefault="00261FC9" w:rsidP="00261FC9">
      <w:pPr>
        <w:rPr>
          <w:rFonts w:cs="Arial"/>
          <w:szCs w:val="24"/>
        </w:rPr>
      </w:pPr>
    </w:p>
    <w:p w:rsidR="00261FC9" w:rsidRPr="001D6E9A" w:rsidRDefault="00261FC9" w:rsidP="00261FC9">
      <w:pPr>
        <w:rPr>
          <w:rFonts w:cs="Arial"/>
          <w:szCs w:val="24"/>
        </w:rPr>
      </w:pPr>
      <w:r w:rsidRPr="001D6E9A">
        <w:rPr>
          <w:rFonts w:cs="Arial"/>
          <w:szCs w:val="24"/>
        </w:rPr>
        <w:t xml:space="preserve">In dettaglio abbiamo registrato negli ultimi 4 anni in Ticino immatricolazioni di auto elettriche pure, ibride plug-in e </w:t>
      </w:r>
      <w:proofErr w:type="spellStart"/>
      <w:r w:rsidRPr="001D6E9A">
        <w:rPr>
          <w:rFonts w:cs="Arial"/>
          <w:szCs w:val="24"/>
        </w:rPr>
        <w:t>range</w:t>
      </w:r>
      <w:proofErr w:type="spellEnd"/>
      <w:r w:rsidRPr="001D6E9A">
        <w:rPr>
          <w:rFonts w:cs="Arial"/>
          <w:szCs w:val="24"/>
        </w:rPr>
        <w:t xml:space="preserve"> </w:t>
      </w:r>
      <w:proofErr w:type="spellStart"/>
      <w:r w:rsidRPr="001D6E9A">
        <w:rPr>
          <w:rFonts w:cs="Arial"/>
          <w:szCs w:val="24"/>
        </w:rPr>
        <w:t>extender</w:t>
      </w:r>
      <w:proofErr w:type="spellEnd"/>
      <w:r w:rsidRPr="001D6E9A">
        <w:rPr>
          <w:rFonts w:cs="Arial"/>
          <w:szCs w:val="24"/>
        </w:rPr>
        <w:t xml:space="preserve"> (non abbiamo i dati sulle elettriche pure o totalmente elettriche definite nel messaggio)</w:t>
      </w:r>
      <w:r>
        <w:rPr>
          <w:rFonts w:cs="Arial"/>
          <w:szCs w:val="24"/>
        </w:rPr>
        <w:t>.</w:t>
      </w:r>
    </w:p>
    <w:p w:rsidR="00261FC9" w:rsidRPr="001D6E9A" w:rsidRDefault="00261FC9" w:rsidP="00261FC9">
      <w:pPr>
        <w:rPr>
          <w:rFonts w:cs="Arial"/>
          <w:szCs w:val="24"/>
        </w:rPr>
      </w:pPr>
    </w:p>
    <w:tbl>
      <w:tblPr>
        <w:tblStyle w:val="Grigliatabella"/>
        <w:tblW w:w="0" w:type="auto"/>
        <w:tblLook w:val="04A0" w:firstRow="1" w:lastRow="0" w:firstColumn="1" w:lastColumn="0" w:noHBand="0" w:noVBand="1"/>
      </w:tblPr>
      <w:tblGrid>
        <w:gridCol w:w="3259"/>
        <w:gridCol w:w="3259"/>
        <w:gridCol w:w="3260"/>
      </w:tblGrid>
      <w:tr w:rsidR="00261FC9" w:rsidRPr="00860784" w:rsidTr="003B0568">
        <w:tc>
          <w:tcPr>
            <w:tcW w:w="9778" w:type="dxa"/>
            <w:gridSpan w:val="3"/>
          </w:tcPr>
          <w:p w:rsidR="00261FC9" w:rsidRPr="00860784" w:rsidRDefault="00261FC9" w:rsidP="00860784">
            <w:pPr>
              <w:spacing w:before="40" w:after="40"/>
              <w:rPr>
                <w:rFonts w:cs="Arial"/>
                <w:b/>
                <w:sz w:val="22"/>
              </w:rPr>
            </w:pPr>
            <w:r w:rsidRPr="00860784">
              <w:rPr>
                <w:rFonts w:cs="Arial"/>
                <w:b/>
                <w:sz w:val="22"/>
              </w:rPr>
              <w:t>Immatricolazioni autoveicoli elettrici in Ticino</w:t>
            </w:r>
          </w:p>
        </w:tc>
      </w:tr>
      <w:tr w:rsidR="00261FC9" w:rsidRPr="00860784" w:rsidTr="003B0568">
        <w:tc>
          <w:tcPr>
            <w:tcW w:w="3259" w:type="dxa"/>
          </w:tcPr>
          <w:p w:rsidR="00261FC9" w:rsidRPr="00860784" w:rsidRDefault="00261FC9" w:rsidP="00860784">
            <w:pPr>
              <w:spacing w:before="40" w:after="40"/>
              <w:ind w:right="349"/>
              <w:jc w:val="center"/>
              <w:rPr>
                <w:rFonts w:cs="Arial"/>
                <w:b/>
                <w:sz w:val="22"/>
              </w:rPr>
            </w:pPr>
            <w:r w:rsidRPr="00860784">
              <w:rPr>
                <w:rFonts w:cs="Arial"/>
                <w:b/>
                <w:sz w:val="22"/>
              </w:rPr>
              <w:t>Anno</w:t>
            </w:r>
          </w:p>
        </w:tc>
        <w:tc>
          <w:tcPr>
            <w:tcW w:w="3259" w:type="dxa"/>
          </w:tcPr>
          <w:p w:rsidR="00261FC9" w:rsidRPr="00860784" w:rsidRDefault="00261FC9" w:rsidP="00860784">
            <w:pPr>
              <w:spacing w:before="40" w:after="40"/>
              <w:ind w:right="206"/>
              <w:jc w:val="center"/>
              <w:rPr>
                <w:rFonts w:cs="Arial"/>
                <w:b/>
                <w:sz w:val="22"/>
              </w:rPr>
            </w:pPr>
            <w:r w:rsidRPr="00860784">
              <w:rPr>
                <w:rFonts w:cs="Arial"/>
                <w:b/>
                <w:sz w:val="22"/>
              </w:rPr>
              <w:t>Quantitativi</w:t>
            </w:r>
          </w:p>
        </w:tc>
        <w:tc>
          <w:tcPr>
            <w:tcW w:w="3260" w:type="dxa"/>
          </w:tcPr>
          <w:p w:rsidR="00261FC9" w:rsidRPr="00860784" w:rsidRDefault="00261FC9" w:rsidP="00860784">
            <w:pPr>
              <w:spacing w:before="40" w:after="40"/>
              <w:ind w:right="206"/>
              <w:jc w:val="center"/>
              <w:rPr>
                <w:rFonts w:cs="Arial"/>
                <w:b/>
                <w:sz w:val="22"/>
              </w:rPr>
            </w:pPr>
            <w:r w:rsidRPr="00860784">
              <w:rPr>
                <w:rFonts w:cs="Arial"/>
                <w:b/>
                <w:sz w:val="22"/>
              </w:rPr>
              <w:t>In percentuale</w:t>
            </w:r>
          </w:p>
        </w:tc>
      </w:tr>
      <w:tr w:rsidR="00261FC9" w:rsidRPr="00860784" w:rsidTr="003B0568">
        <w:tc>
          <w:tcPr>
            <w:tcW w:w="3259" w:type="dxa"/>
          </w:tcPr>
          <w:p w:rsidR="00261FC9" w:rsidRPr="00860784" w:rsidRDefault="00261FC9" w:rsidP="00860784">
            <w:pPr>
              <w:spacing w:before="40" w:after="40"/>
              <w:ind w:right="349"/>
              <w:jc w:val="center"/>
              <w:rPr>
                <w:rFonts w:cs="Arial"/>
                <w:sz w:val="22"/>
              </w:rPr>
            </w:pPr>
            <w:r w:rsidRPr="00860784">
              <w:rPr>
                <w:rFonts w:cs="Arial"/>
                <w:sz w:val="22"/>
              </w:rPr>
              <w:t>2014</w:t>
            </w:r>
          </w:p>
        </w:tc>
        <w:tc>
          <w:tcPr>
            <w:tcW w:w="3259" w:type="dxa"/>
          </w:tcPr>
          <w:p w:rsidR="00261FC9" w:rsidRPr="00860784" w:rsidRDefault="00261FC9" w:rsidP="00860784">
            <w:pPr>
              <w:spacing w:before="40" w:after="40"/>
              <w:ind w:right="206"/>
              <w:jc w:val="center"/>
              <w:rPr>
                <w:rFonts w:cs="Arial"/>
                <w:sz w:val="22"/>
              </w:rPr>
            </w:pPr>
            <w:r w:rsidRPr="00860784">
              <w:rPr>
                <w:rFonts w:cs="Arial"/>
                <w:sz w:val="22"/>
              </w:rPr>
              <w:t>162</w:t>
            </w:r>
          </w:p>
        </w:tc>
        <w:tc>
          <w:tcPr>
            <w:tcW w:w="3260" w:type="dxa"/>
          </w:tcPr>
          <w:p w:rsidR="00261FC9" w:rsidRPr="00860784" w:rsidRDefault="00261FC9" w:rsidP="00860784">
            <w:pPr>
              <w:spacing w:before="40" w:after="40"/>
              <w:ind w:right="206"/>
              <w:jc w:val="center"/>
              <w:rPr>
                <w:rFonts w:cs="Arial"/>
                <w:sz w:val="22"/>
              </w:rPr>
            </w:pPr>
            <w:r w:rsidRPr="00860784">
              <w:rPr>
                <w:rFonts w:cs="Arial"/>
                <w:sz w:val="22"/>
              </w:rPr>
              <w:t>0,87 %</w:t>
            </w:r>
          </w:p>
        </w:tc>
      </w:tr>
      <w:tr w:rsidR="00261FC9" w:rsidRPr="00860784" w:rsidTr="003B0568">
        <w:tc>
          <w:tcPr>
            <w:tcW w:w="3259" w:type="dxa"/>
          </w:tcPr>
          <w:p w:rsidR="00261FC9" w:rsidRPr="00860784" w:rsidRDefault="00261FC9" w:rsidP="00860784">
            <w:pPr>
              <w:spacing w:before="40" w:after="40"/>
              <w:ind w:right="349"/>
              <w:jc w:val="center"/>
              <w:rPr>
                <w:rFonts w:cs="Arial"/>
                <w:sz w:val="22"/>
              </w:rPr>
            </w:pPr>
            <w:r w:rsidRPr="00860784">
              <w:rPr>
                <w:rFonts w:cs="Arial"/>
                <w:sz w:val="22"/>
              </w:rPr>
              <w:t>2015</w:t>
            </w:r>
          </w:p>
        </w:tc>
        <w:tc>
          <w:tcPr>
            <w:tcW w:w="3259" w:type="dxa"/>
          </w:tcPr>
          <w:p w:rsidR="00261FC9" w:rsidRPr="00860784" w:rsidRDefault="00261FC9" w:rsidP="00860784">
            <w:pPr>
              <w:spacing w:before="40" w:after="40"/>
              <w:ind w:right="206"/>
              <w:jc w:val="center"/>
              <w:rPr>
                <w:rFonts w:cs="Arial"/>
                <w:sz w:val="22"/>
              </w:rPr>
            </w:pPr>
            <w:r w:rsidRPr="00860784">
              <w:rPr>
                <w:rFonts w:cs="Arial"/>
                <w:sz w:val="22"/>
              </w:rPr>
              <w:t>309</w:t>
            </w:r>
          </w:p>
        </w:tc>
        <w:tc>
          <w:tcPr>
            <w:tcW w:w="3260" w:type="dxa"/>
          </w:tcPr>
          <w:p w:rsidR="00261FC9" w:rsidRPr="00860784" w:rsidRDefault="00261FC9" w:rsidP="00860784">
            <w:pPr>
              <w:spacing w:before="40" w:after="40"/>
              <w:ind w:right="206"/>
              <w:jc w:val="center"/>
              <w:rPr>
                <w:rFonts w:cs="Arial"/>
                <w:sz w:val="22"/>
              </w:rPr>
            </w:pPr>
            <w:r w:rsidRPr="00860784">
              <w:rPr>
                <w:rFonts w:cs="Arial"/>
                <w:sz w:val="22"/>
              </w:rPr>
              <w:t>1.53 %</w:t>
            </w:r>
          </w:p>
        </w:tc>
      </w:tr>
      <w:tr w:rsidR="00261FC9" w:rsidRPr="00860784" w:rsidTr="003B0568">
        <w:tc>
          <w:tcPr>
            <w:tcW w:w="3259" w:type="dxa"/>
          </w:tcPr>
          <w:p w:rsidR="00261FC9" w:rsidRPr="00860784" w:rsidRDefault="00261FC9" w:rsidP="00860784">
            <w:pPr>
              <w:spacing w:before="40" w:after="40"/>
              <w:ind w:right="349"/>
              <w:jc w:val="center"/>
              <w:rPr>
                <w:rFonts w:cs="Arial"/>
                <w:sz w:val="22"/>
              </w:rPr>
            </w:pPr>
            <w:r w:rsidRPr="00860784">
              <w:rPr>
                <w:rFonts w:cs="Arial"/>
                <w:sz w:val="22"/>
              </w:rPr>
              <w:t>2016</w:t>
            </w:r>
          </w:p>
        </w:tc>
        <w:tc>
          <w:tcPr>
            <w:tcW w:w="3259" w:type="dxa"/>
          </w:tcPr>
          <w:p w:rsidR="00261FC9" w:rsidRPr="00860784" w:rsidRDefault="00261FC9" w:rsidP="00860784">
            <w:pPr>
              <w:spacing w:before="40" w:after="40"/>
              <w:ind w:right="206"/>
              <w:jc w:val="center"/>
              <w:rPr>
                <w:rFonts w:cs="Arial"/>
                <w:sz w:val="22"/>
              </w:rPr>
            </w:pPr>
            <w:r w:rsidRPr="00860784">
              <w:rPr>
                <w:rFonts w:cs="Arial"/>
                <w:sz w:val="22"/>
              </w:rPr>
              <w:t>334</w:t>
            </w:r>
          </w:p>
        </w:tc>
        <w:tc>
          <w:tcPr>
            <w:tcW w:w="3260" w:type="dxa"/>
          </w:tcPr>
          <w:p w:rsidR="00261FC9" w:rsidRPr="00860784" w:rsidRDefault="00261FC9" w:rsidP="00860784">
            <w:pPr>
              <w:spacing w:before="40" w:after="40"/>
              <w:ind w:right="206"/>
              <w:jc w:val="center"/>
              <w:rPr>
                <w:rFonts w:cs="Arial"/>
                <w:sz w:val="22"/>
              </w:rPr>
            </w:pPr>
            <w:r w:rsidRPr="00860784">
              <w:rPr>
                <w:rFonts w:cs="Arial"/>
                <w:sz w:val="22"/>
              </w:rPr>
              <w:t>1.69 %</w:t>
            </w:r>
          </w:p>
        </w:tc>
      </w:tr>
      <w:tr w:rsidR="00261FC9" w:rsidRPr="00860784" w:rsidTr="003B0568">
        <w:tc>
          <w:tcPr>
            <w:tcW w:w="3259" w:type="dxa"/>
          </w:tcPr>
          <w:p w:rsidR="00261FC9" w:rsidRPr="00860784" w:rsidRDefault="00261FC9" w:rsidP="00860784">
            <w:pPr>
              <w:spacing w:before="40" w:after="40"/>
              <w:ind w:right="349"/>
              <w:jc w:val="center"/>
              <w:rPr>
                <w:rFonts w:cs="Arial"/>
                <w:sz w:val="22"/>
              </w:rPr>
            </w:pPr>
            <w:r w:rsidRPr="00860784">
              <w:rPr>
                <w:rFonts w:cs="Arial"/>
                <w:sz w:val="22"/>
              </w:rPr>
              <w:t>2017</w:t>
            </w:r>
          </w:p>
        </w:tc>
        <w:tc>
          <w:tcPr>
            <w:tcW w:w="3259" w:type="dxa"/>
          </w:tcPr>
          <w:p w:rsidR="00261FC9" w:rsidRPr="00860784" w:rsidRDefault="00261FC9" w:rsidP="00860784">
            <w:pPr>
              <w:spacing w:before="40" w:after="40"/>
              <w:ind w:right="206"/>
              <w:jc w:val="center"/>
              <w:rPr>
                <w:rFonts w:cs="Arial"/>
                <w:sz w:val="22"/>
              </w:rPr>
            </w:pPr>
            <w:r w:rsidRPr="00860784">
              <w:rPr>
                <w:rFonts w:cs="Arial"/>
                <w:sz w:val="22"/>
              </w:rPr>
              <w:t>342</w:t>
            </w:r>
          </w:p>
        </w:tc>
        <w:tc>
          <w:tcPr>
            <w:tcW w:w="3260" w:type="dxa"/>
          </w:tcPr>
          <w:p w:rsidR="00261FC9" w:rsidRPr="00860784" w:rsidRDefault="00261FC9" w:rsidP="00860784">
            <w:pPr>
              <w:spacing w:before="40" w:after="40"/>
              <w:ind w:right="206"/>
              <w:jc w:val="center"/>
              <w:rPr>
                <w:rFonts w:cs="Arial"/>
                <w:sz w:val="22"/>
              </w:rPr>
            </w:pPr>
            <w:r w:rsidRPr="00860784">
              <w:rPr>
                <w:rFonts w:cs="Arial"/>
                <w:sz w:val="22"/>
              </w:rPr>
              <w:t>1.80 %</w:t>
            </w:r>
          </w:p>
        </w:tc>
      </w:tr>
    </w:tbl>
    <w:p w:rsidR="00261FC9" w:rsidRPr="00261FC9" w:rsidRDefault="00261FC9" w:rsidP="00261FC9">
      <w:pPr>
        <w:spacing w:before="120"/>
        <w:rPr>
          <w:rFonts w:cs="Arial"/>
          <w:sz w:val="20"/>
          <w:szCs w:val="20"/>
          <w:lang w:val="fr-FR"/>
        </w:rPr>
      </w:pPr>
      <w:r w:rsidRPr="00261FC9">
        <w:rPr>
          <w:rFonts w:cs="Arial"/>
          <w:sz w:val="20"/>
          <w:szCs w:val="20"/>
          <w:lang w:val="fr-FR"/>
        </w:rPr>
        <w:t xml:space="preserve">Fonte: </w:t>
      </w:r>
      <w:hyperlink r:id="rId10" w:history="1">
        <w:r w:rsidRPr="00261FC9">
          <w:rPr>
            <w:rStyle w:val="Collegamentoipertestuale"/>
            <w:rFonts w:cs="Arial"/>
            <w:sz w:val="20"/>
            <w:szCs w:val="20"/>
            <w:lang w:val="fr-FR"/>
          </w:rPr>
          <w:t>http://www.bfe.admin.ch/energieetikette/00886/06374/index.html?lang=it</w:t>
        </w:r>
      </w:hyperlink>
    </w:p>
    <w:p w:rsidR="00261FC9" w:rsidRPr="00FE1CE3" w:rsidRDefault="00261FC9" w:rsidP="00261FC9">
      <w:pPr>
        <w:rPr>
          <w:rFonts w:cs="Arial"/>
          <w:szCs w:val="24"/>
          <w:lang w:val="fr-FR"/>
        </w:rPr>
      </w:pPr>
    </w:p>
    <w:p w:rsidR="00261FC9" w:rsidRDefault="00261FC9" w:rsidP="00261FC9">
      <w:pPr>
        <w:rPr>
          <w:rFonts w:cs="Arial"/>
          <w:szCs w:val="24"/>
        </w:rPr>
      </w:pPr>
      <w:r w:rsidRPr="00050585">
        <w:rPr>
          <w:rFonts w:cs="Arial"/>
          <w:szCs w:val="24"/>
        </w:rPr>
        <w:t xml:space="preserve">In Ticino, senza voler considerare una crescita secondo il trend mondiale (esponenziale), calcolando a titolo molto prudenziale senza alcun versamento </w:t>
      </w:r>
      <w:r>
        <w:rPr>
          <w:rFonts w:cs="Arial"/>
          <w:szCs w:val="24"/>
        </w:rPr>
        <w:t>d</w:t>
      </w:r>
      <w:r w:rsidRPr="00050585">
        <w:rPr>
          <w:rFonts w:cs="Arial"/>
          <w:szCs w:val="24"/>
        </w:rPr>
        <w:t xml:space="preserve">i sussidi come negli anni 2014-2018, possiamo aspettarci annualmente dal 2019 immatricolazioni di autovetture totalmente elettriche da 250 circa </w:t>
      </w:r>
      <w:r>
        <w:rPr>
          <w:rFonts w:cs="Arial"/>
          <w:szCs w:val="24"/>
        </w:rPr>
        <w:t xml:space="preserve">nel </w:t>
      </w:r>
      <w:r w:rsidRPr="00050585">
        <w:rPr>
          <w:rFonts w:cs="Arial"/>
          <w:szCs w:val="24"/>
        </w:rPr>
        <w:t>2018 a 500 nel 2021 (</w:t>
      </w:r>
      <w:r>
        <w:rPr>
          <w:rFonts w:cs="Arial"/>
          <w:szCs w:val="24"/>
        </w:rPr>
        <w:t>o</w:t>
      </w:r>
      <w:r w:rsidRPr="00050585">
        <w:rPr>
          <w:rFonts w:cs="Arial"/>
          <w:szCs w:val="24"/>
        </w:rPr>
        <w:t xml:space="preserve"> da 400 a 800 conteggiando tutte le elettriche come da statistica BFE)</w:t>
      </w:r>
      <w:r>
        <w:rPr>
          <w:rFonts w:cs="Arial"/>
          <w:szCs w:val="24"/>
        </w:rPr>
        <w:t>.</w:t>
      </w:r>
      <w:r>
        <w:rPr>
          <w:rFonts w:cs="Arial"/>
          <w:szCs w:val="24"/>
        </w:rPr>
        <w:br w:type="page"/>
      </w:r>
    </w:p>
    <w:p w:rsidR="00261FC9" w:rsidRDefault="00261FC9" w:rsidP="00261FC9">
      <w:pPr>
        <w:rPr>
          <w:rFonts w:cs="Arial"/>
          <w:szCs w:val="24"/>
        </w:rPr>
      </w:pPr>
      <w:r w:rsidRPr="00050585">
        <w:rPr>
          <w:rFonts w:cs="Arial"/>
          <w:szCs w:val="24"/>
        </w:rPr>
        <w:lastRenderedPageBreak/>
        <w:t xml:space="preserve">Con il credito di 2.5 mio il </w:t>
      </w:r>
      <w:r>
        <w:rPr>
          <w:rFonts w:cs="Arial"/>
          <w:szCs w:val="24"/>
        </w:rPr>
        <w:t xml:space="preserve">Consiglio di Stato </w:t>
      </w:r>
      <w:r w:rsidRPr="00050585">
        <w:rPr>
          <w:rFonts w:cs="Arial"/>
          <w:szCs w:val="24"/>
        </w:rPr>
        <w:t>prevede di sussidiare 1250 vetture.</w:t>
      </w:r>
    </w:p>
    <w:p w:rsidR="00261FC9" w:rsidRPr="00050585" w:rsidRDefault="00261FC9" w:rsidP="00261FC9">
      <w:pPr>
        <w:rPr>
          <w:rFonts w:cs="Arial"/>
          <w:szCs w:val="24"/>
        </w:rPr>
      </w:pPr>
    </w:p>
    <w:p w:rsidR="00261FC9" w:rsidRDefault="00261FC9" w:rsidP="00261FC9">
      <w:pPr>
        <w:rPr>
          <w:rFonts w:cs="Arial"/>
          <w:szCs w:val="24"/>
        </w:rPr>
      </w:pPr>
      <w:r w:rsidRPr="00050585">
        <w:rPr>
          <w:rFonts w:cs="Arial"/>
          <w:szCs w:val="24"/>
        </w:rPr>
        <w:t>Ammesso</w:t>
      </w:r>
      <w:r>
        <w:rPr>
          <w:rFonts w:cs="Arial"/>
          <w:szCs w:val="24"/>
        </w:rPr>
        <w:t>,</w:t>
      </w:r>
      <w:r w:rsidRPr="00050585">
        <w:rPr>
          <w:rFonts w:cs="Arial"/>
          <w:szCs w:val="24"/>
        </w:rPr>
        <w:t xml:space="preserve"> ma non concesso</w:t>
      </w:r>
      <w:r>
        <w:rPr>
          <w:rFonts w:cs="Arial"/>
          <w:szCs w:val="24"/>
        </w:rPr>
        <w:t>,</w:t>
      </w:r>
      <w:r w:rsidRPr="00050585">
        <w:rPr>
          <w:rFonts w:cs="Arial"/>
          <w:szCs w:val="24"/>
        </w:rPr>
        <w:t xml:space="preserve"> che il sussidio porterebbe ad un raddoppio delle immatricolazioni per rapporto alla crescita lineare ipotizzata, avrem</w:t>
      </w:r>
      <w:r>
        <w:rPr>
          <w:rFonts w:cs="Arial"/>
          <w:szCs w:val="24"/>
        </w:rPr>
        <w:t>m</w:t>
      </w:r>
      <w:r w:rsidRPr="00050585">
        <w:rPr>
          <w:rFonts w:cs="Arial"/>
          <w:szCs w:val="24"/>
        </w:rPr>
        <w:t>o grazie al sussidio nei prossimi 2-3 anni 1250 nuove autovetture elettriche invece delle 600 a 900 prevedibili senza i 2.5 mio</w:t>
      </w:r>
      <w:r>
        <w:rPr>
          <w:rFonts w:cs="Arial"/>
          <w:szCs w:val="24"/>
        </w:rPr>
        <w:t>.</w:t>
      </w:r>
    </w:p>
    <w:p w:rsidR="00261FC9" w:rsidRPr="00050585" w:rsidRDefault="00261FC9" w:rsidP="00261FC9">
      <w:pPr>
        <w:rPr>
          <w:rFonts w:cs="Arial"/>
          <w:szCs w:val="24"/>
        </w:rPr>
      </w:pPr>
    </w:p>
    <w:p w:rsidR="00261FC9" w:rsidRDefault="00261FC9" w:rsidP="00261FC9">
      <w:pPr>
        <w:rPr>
          <w:rFonts w:cs="Arial"/>
          <w:szCs w:val="24"/>
        </w:rPr>
      </w:pPr>
      <w:r w:rsidRPr="00050585">
        <w:rPr>
          <w:rFonts w:cs="Arial"/>
          <w:szCs w:val="24"/>
        </w:rPr>
        <w:t>Quindi il credito di 2.5 mio porterebbe a circa 400-600 immatricolazioni supplementari o 150-250 per anno</w:t>
      </w:r>
      <w:r>
        <w:rPr>
          <w:rFonts w:cs="Arial"/>
          <w:szCs w:val="24"/>
        </w:rPr>
        <w:t>, ovvero</w:t>
      </w:r>
      <w:r w:rsidRPr="00050585">
        <w:rPr>
          <w:rFonts w:cs="Arial"/>
          <w:szCs w:val="24"/>
        </w:rPr>
        <w:t xml:space="preserve"> circa lo 0.5 -1% delle immatricolazioni.</w:t>
      </w:r>
    </w:p>
    <w:p w:rsidR="00261FC9" w:rsidRPr="00050585" w:rsidRDefault="00261FC9" w:rsidP="00261FC9">
      <w:pPr>
        <w:rPr>
          <w:rFonts w:cs="Arial"/>
          <w:szCs w:val="24"/>
        </w:rPr>
      </w:pPr>
    </w:p>
    <w:p w:rsidR="00261FC9" w:rsidRPr="00261FC9" w:rsidRDefault="00261FC9" w:rsidP="00261FC9">
      <w:pPr>
        <w:rPr>
          <w:rFonts w:cs="Arial"/>
          <w:b/>
          <w:sz w:val="23"/>
          <w:szCs w:val="23"/>
        </w:rPr>
      </w:pPr>
      <w:r w:rsidRPr="00261FC9">
        <w:rPr>
          <w:rFonts w:cs="Arial"/>
          <w:b/>
          <w:sz w:val="23"/>
          <w:szCs w:val="23"/>
        </w:rPr>
        <w:t>Più della metà del credito andrebbe per autoveicoli che verrebbero acquistati e messi in circolazione anche senza sussidi.</w:t>
      </w:r>
    </w:p>
    <w:p w:rsidR="00261FC9" w:rsidRPr="00514B68" w:rsidRDefault="00261FC9" w:rsidP="00261FC9">
      <w:pPr>
        <w:rPr>
          <w:rFonts w:cs="Arial"/>
          <w:szCs w:val="24"/>
        </w:rPr>
      </w:pPr>
    </w:p>
    <w:p w:rsidR="00261FC9" w:rsidRDefault="00261FC9" w:rsidP="00261FC9">
      <w:pPr>
        <w:rPr>
          <w:rFonts w:cs="Arial"/>
          <w:szCs w:val="24"/>
        </w:rPr>
      </w:pPr>
      <w:r w:rsidRPr="00050585">
        <w:rPr>
          <w:rFonts w:cs="Arial"/>
          <w:szCs w:val="24"/>
        </w:rPr>
        <w:t>Se invece si considerasse una crescita esponenziale come si prevede a livello globale</w:t>
      </w:r>
      <w:r>
        <w:rPr>
          <w:rFonts w:cs="Arial"/>
          <w:szCs w:val="24"/>
        </w:rPr>
        <w:t>,</w:t>
      </w:r>
      <w:r w:rsidRPr="00050585">
        <w:rPr>
          <w:rFonts w:cs="Arial"/>
          <w:szCs w:val="24"/>
        </w:rPr>
        <w:t xml:space="preserve"> il credito di 2.5 mio servirebbe praticamente solo a sussidiare autovetture che verrebbero comunque acquistate anche senza sussidio</w:t>
      </w:r>
      <w:r>
        <w:rPr>
          <w:rFonts w:cs="Arial"/>
          <w:szCs w:val="24"/>
        </w:rPr>
        <w:t>.</w:t>
      </w:r>
      <w:r w:rsidRPr="00050585">
        <w:rPr>
          <w:rFonts w:cs="Arial"/>
          <w:szCs w:val="24"/>
        </w:rPr>
        <w:t xml:space="preserve"> </w:t>
      </w:r>
      <w:r>
        <w:rPr>
          <w:rFonts w:cs="Arial"/>
          <w:szCs w:val="24"/>
        </w:rPr>
        <w:t>P</w:t>
      </w:r>
      <w:r w:rsidRPr="00050585">
        <w:rPr>
          <w:rFonts w:cs="Arial"/>
          <w:szCs w:val="24"/>
        </w:rPr>
        <w:t xml:space="preserve">ossiamo ritenere possibile anche in Svizzera e in Ticino </w:t>
      </w:r>
      <w:r>
        <w:rPr>
          <w:rFonts w:cs="Arial"/>
          <w:szCs w:val="24"/>
        </w:rPr>
        <w:t xml:space="preserve">una </w:t>
      </w:r>
      <w:r w:rsidRPr="00050585">
        <w:rPr>
          <w:rFonts w:cs="Arial"/>
          <w:szCs w:val="24"/>
        </w:rPr>
        <w:t xml:space="preserve">crescita esponenziale </w:t>
      </w:r>
      <w:r>
        <w:rPr>
          <w:rFonts w:cs="Arial"/>
          <w:szCs w:val="24"/>
        </w:rPr>
        <w:t>se</w:t>
      </w:r>
      <w:r w:rsidRPr="00050585">
        <w:rPr>
          <w:rFonts w:cs="Arial"/>
          <w:szCs w:val="24"/>
        </w:rPr>
        <w:t xml:space="preserve"> consideriamo quanto segue.</w:t>
      </w:r>
    </w:p>
    <w:p w:rsidR="00261FC9" w:rsidRPr="00050585" w:rsidRDefault="00261FC9" w:rsidP="00261FC9">
      <w:pPr>
        <w:rPr>
          <w:rFonts w:cs="Arial"/>
          <w:szCs w:val="24"/>
        </w:rPr>
      </w:pPr>
    </w:p>
    <w:p w:rsidR="00261FC9" w:rsidRDefault="00261FC9" w:rsidP="00261FC9">
      <w:pPr>
        <w:rPr>
          <w:rFonts w:cs="Arial"/>
          <w:szCs w:val="24"/>
        </w:rPr>
      </w:pPr>
      <w:r w:rsidRPr="00050585">
        <w:rPr>
          <w:rFonts w:cs="Arial"/>
          <w:szCs w:val="24"/>
        </w:rPr>
        <w:t xml:space="preserve">La Confederazione ha recentemente (dicembre 2018) pubblicato la </w:t>
      </w:r>
      <w:proofErr w:type="spellStart"/>
      <w:r w:rsidRPr="00050585">
        <w:rPr>
          <w:rFonts w:cs="Arial"/>
          <w:szCs w:val="24"/>
        </w:rPr>
        <w:t>Roadmap</w:t>
      </w:r>
      <w:proofErr w:type="spellEnd"/>
      <w:r w:rsidRPr="00050585">
        <w:rPr>
          <w:rFonts w:cs="Arial"/>
          <w:szCs w:val="24"/>
        </w:rPr>
        <w:t xml:space="preserve"> </w:t>
      </w:r>
      <w:proofErr w:type="spellStart"/>
      <w:r w:rsidRPr="00050585">
        <w:rPr>
          <w:rFonts w:cs="Arial"/>
          <w:szCs w:val="24"/>
        </w:rPr>
        <w:t>Elettromobilità</w:t>
      </w:r>
      <w:proofErr w:type="spellEnd"/>
      <w:r w:rsidRPr="00050585">
        <w:rPr>
          <w:rFonts w:cs="Arial"/>
          <w:szCs w:val="24"/>
        </w:rPr>
        <w:t xml:space="preserve"> 2022</w:t>
      </w:r>
      <w:r>
        <w:rPr>
          <w:rFonts w:cs="Arial"/>
          <w:szCs w:val="24"/>
        </w:rPr>
        <w:t>,</w:t>
      </w:r>
      <w:r w:rsidRPr="00050585">
        <w:rPr>
          <w:rFonts w:cs="Arial"/>
          <w:szCs w:val="24"/>
        </w:rPr>
        <w:t xml:space="preserve"> che mira ad una quota del 15% di auto elettriche nelle nuove immatricolazioni per il 2022. Gli importatori avevano già fissato </w:t>
      </w:r>
      <w:r>
        <w:rPr>
          <w:rFonts w:cs="Arial"/>
          <w:szCs w:val="24"/>
        </w:rPr>
        <w:t>una quota de</w:t>
      </w:r>
      <w:r w:rsidRPr="00050585">
        <w:rPr>
          <w:rFonts w:cs="Arial"/>
          <w:szCs w:val="24"/>
        </w:rPr>
        <w:t>l 10% per il 2020, ciò che equivarrà in Ticino a circa 2000 - 3000 veicoli elettrici per anno</w:t>
      </w:r>
      <w:r>
        <w:rPr>
          <w:rFonts w:cs="Arial"/>
          <w:szCs w:val="24"/>
        </w:rPr>
        <w:t>,</w:t>
      </w:r>
      <w:r w:rsidRPr="00050585">
        <w:rPr>
          <w:rFonts w:cs="Arial"/>
          <w:szCs w:val="24"/>
        </w:rPr>
        <w:t xml:space="preserve"> quindi ben oltre i 1250 sussidiabili con il credito in oggetto. L’abbassamento da 130 gCO2/km a 95 gCO2/km del limite di immissioni medie per le nuove autovetture importate a partire dal 2020 richiest</w:t>
      </w:r>
      <w:r>
        <w:rPr>
          <w:rFonts w:cs="Arial"/>
          <w:szCs w:val="24"/>
        </w:rPr>
        <w:t>o</w:t>
      </w:r>
      <w:r w:rsidRPr="00050585">
        <w:rPr>
          <w:rFonts w:cs="Arial"/>
          <w:szCs w:val="24"/>
        </w:rPr>
        <w:t xml:space="preserve"> dalla </w:t>
      </w:r>
      <w:r>
        <w:rPr>
          <w:rFonts w:cs="Arial"/>
          <w:szCs w:val="24"/>
        </w:rPr>
        <w:t>S</w:t>
      </w:r>
      <w:r w:rsidRPr="00050585">
        <w:rPr>
          <w:rFonts w:cs="Arial"/>
          <w:szCs w:val="24"/>
        </w:rPr>
        <w:t>trategia energetica 2050 (l’UE ha imposto il medesimo obiettivo) obbligherà l’industria automobilistica ad accrescere sensibilmente produzione e vendita di autovetture elettriche per compensare le autovetture a combustione interna con immissioni superiori al limite citato. Già a partire dal 2020 avremo una forte dinamica che sic</w:t>
      </w:r>
      <w:r>
        <w:rPr>
          <w:rFonts w:cs="Arial"/>
          <w:szCs w:val="24"/>
        </w:rPr>
        <w:t>uramente conferma quanto sopra.</w:t>
      </w:r>
    </w:p>
    <w:p w:rsidR="00261FC9" w:rsidRPr="00050585" w:rsidRDefault="00261FC9" w:rsidP="00261FC9">
      <w:pPr>
        <w:rPr>
          <w:rFonts w:cs="Arial"/>
          <w:szCs w:val="24"/>
        </w:rPr>
      </w:pPr>
    </w:p>
    <w:p w:rsidR="00261FC9" w:rsidRDefault="00261FC9" w:rsidP="00261FC9">
      <w:pPr>
        <w:rPr>
          <w:rFonts w:cs="Arial"/>
          <w:szCs w:val="24"/>
        </w:rPr>
      </w:pPr>
      <w:r w:rsidRPr="00050585">
        <w:rPr>
          <w:rFonts w:cs="Arial"/>
          <w:szCs w:val="24"/>
        </w:rPr>
        <w:t>Di conseguenza già solo a livello numerico e di proporzionalità la misura non si giustifica</w:t>
      </w:r>
      <w:r>
        <w:rPr>
          <w:rFonts w:cs="Arial"/>
          <w:szCs w:val="24"/>
        </w:rPr>
        <w:t>.</w:t>
      </w:r>
      <w:r w:rsidRPr="00050585">
        <w:rPr>
          <w:rFonts w:cs="Arial"/>
          <w:szCs w:val="24"/>
        </w:rPr>
        <w:t xml:space="preserve"> Le</w:t>
      </w:r>
      <w:r>
        <w:rPr>
          <w:rFonts w:cs="Arial"/>
          <w:szCs w:val="24"/>
        </w:rPr>
        <w:t xml:space="preserve"> </w:t>
      </w:r>
      <w:r w:rsidRPr="00050585">
        <w:rPr>
          <w:rFonts w:cs="Arial"/>
          <w:szCs w:val="24"/>
        </w:rPr>
        <w:t>citate normative nazionali e internazionali e il mercato avranno effetti ben superiori a</w:t>
      </w:r>
      <w:r>
        <w:rPr>
          <w:rFonts w:cs="Arial"/>
          <w:szCs w:val="24"/>
        </w:rPr>
        <w:t>l</w:t>
      </w:r>
      <w:r w:rsidRPr="00050585">
        <w:rPr>
          <w:rFonts w:cs="Arial"/>
          <w:szCs w:val="24"/>
        </w:rPr>
        <w:t xml:space="preserve">l’intervento </w:t>
      </w:r>
      <w:r>
        <w:rPr>
          <w:rFonts w:cs="Arial"/>
          <w:szCs w:val="24"/>
        </w:rPr>
        <w:t>c</w:t>
      </w:r>
      <w:r w:rsidRPr="00050585">
        <w:rPr>
          <w:rFonts w:cs="Arial"/>
          <w:szCs w:val="24"/>
        </w:rPr>
        <w:t>antonale in questione.</w:t>
      </w:r>
    </w:p>
    <w:p w:rsidR="00261FC9" w:rsidRPr="00050585" w:rsidRDefault="00261FC9" w:rsidP="00261FC9">
      <w:pPr>
        <w:rPr>
          <w:rFonts w:cs="Arial"/>
          <w:szCs w:val="24"/>
        </w:rPr>
      </w:pPr>
    </w:p>
    <w:p w:rsidR="00261FC9" w:rsidRPr="00050585" w:rsidRDefault="00261FC9" w:rsidP="00261FC9">
      <w:pPr>
        <w:rPr>
          <w:rFonts w:cs="Arial"/>
          <w:szCs w:val="24"/>
        </w:rPr>
      </w:pPr>
      <w:r w:rsidRPr="00050585">
        <w:rPr>
          <w:rFonts w:cs="Arial"/>
          <w:szCs w:val="24"/>
        </w:rPr>
        <w:t>Il nostro Cantone ha già fatto esperienze non proprio positive nel settore (VEL1 e VEL2)</w:t>
      </w:r>
      <w:r>
        <w:rPr>
          <w:rFonts w:cs="Arial"/>
          <w:szCs w:val="24"/>
        </w:rPr>
        <w:t>,</w:t>
      </w:r>
      <w:r w:rsidRPr="00050585">
        <w:rPr>
          <w:rFonts w:cs="Arial"/>
          <w:szCs w:val="24"/>
        </w:rPr>
        <w:t xml:space="preserve"> che non dovremmo ripetere. La differenza è che questa volta si vuole intervenire con altri 2,5 milioni quando lo sviluppo della mobilità elettrica è già lanciato e consolidato a livello globale</w:t>
      </w:r>
      <w:r>
        <w:rPr>
          <w:rFonts w:cs="Arial"/>
          <w:szCs w:val="24"/>
        </w:rPr>
        <w:t>, mentre i progetti VEL</w:t>
      </w:r>
      <w:r w:rsidRPr="00050585">
        <w:rPr>
          <w:rFonts w:cs="Arial"/>
          <w:szCs w:val="24"/>
        </w:rPr>
        <w:t>1 e VEL2 erano prematuri</w:t>
      </w:r>
      <w:r>
        <w:rPr>
          <w:rFonts w:cs="Arial"/>
          <w:szCs w:val="24"/>
        </w:rPr>
        <w:t>,</w:t>
      </w:r>
      <w:r w:rsidRPr="00050585">
        <w:rPr>
          <w:rFonts w:cs="Arial"/>
          <w:szCs w:val="24"/>
        </w:rPr>
        <w:t xml:space="preserve"> le condizioni non c’erano, l’industria automobilistica non era interessata e la tecnologia delle batterie non ancora sviluppata.</w:t>
      </w:r>
    </w:p>
    <w:p w:rsidR="00261FC9" w:rsidRPr="00050585" w:rsidRDefault="00261FC9" w:rsidP="00261FC9">
      <w:pPr>
        <w:rPr>
          <w:rFonts w:cs="Arial"/>
          <w:szCs w:val="24"/>
        </w:rPr>
      </w:pPr>
    </w:p>
    <w:p w:rsidR="00261FC9" w:rsidRDefault="00261FC9" w:rsidP="00261FC9">
      <w:pPr>
        <w:rPr>
          <w:rFonts w:cs="Arial"/>
          <w:szCs w:val="24"/>
        </w:rPr>
      </w:pPr>
      <w:r>
        <w:rPr>
          <w:rFonts w:cs="Arial"/>
          <w:szCs w:val="24"/>
        </w:rPr>
        <w:br w:type="page"/>
      </w:r>
    </w:p>
    <w:p w:rsidR="00261FC9" w:rsidRPr="00050585" w:rsidRDefault="00261FC9" w:rsidP="00860784">
      <w:pPr>
        <w:pStyle w:val="Titolo1"/>
      </w:pPr>
      <w:r w:rsidRPr="00514B68">
        <w:lastRenderedPageBreak/>
        <w:t>Ricordiamo il passato: promozione della mobilità elettrica in Ticino</w:t>
      </w:r>
    </w:p>
    <w:p w:rsidR="00261FC9" w:rsidRDefault="00261FC9" w:rsidP="00261FC9">
      <w:pPr>
        <w:rPr>
          <w:rFonts w:cs="Arial"/>
          <w:szCs w:val="24"/>
        </w:rPr>
      </w:pPr>
      <w:r w:rsidRPr="00050585">
        <w:rPr>
          <w:rFonts w:cs="Arial"/>
          <w:szCs w:val="24"/>
        </w:rPr>
        <w:t>Dal 1995 al 2018 sono stati presentati 5 messaggi per sussidi p</w:t>
      </w:r>
      <w:r>
        <w:rPr>
          <w:rFonts w:cs="Arial"/>
          <w:szCs w:val="24"/>
        </w:rPr>
        <w:t>er auto elettriche o efficienti.</w:t>
      </w:r>
    </w:p>
    <w:p w:rsidR="00261FC9" w:rsidRPr="00050585" w:rsidRDefault="00261FC9" w:rsidP="00261FC9">
      <w:pPr>
        <w:rPr>
          <w:rFonts w:cs="Arial"/>
          <w:szCs w:val="24"/>
        </w:rPr>
      </w:pPr>
    </w:p>
    <w:tbl>
      <w:tblPr>
        <w:tblStyle w:val="Grigliatabella"/>
        <w:tblW w:w="0" w:type="auto"/>
        <w:tblLayout w:type="fixed"/>
        <w:tblLook w:val="04A0" w:firstRow="1" w:lastRow="0" w:firstColumn="1" w:lastColumn="0" w:noHBand="0" w:noVBand="1"/>
      </w:tblPr>
      <w:tblGrid>
        <w:gridCol w:w="817"/>
        <w:gridCol w:w="851"/>
        <w:gridCol w:w="2976"/>
        <w:gridCol w:w="2835"/>
        <w:gridCol w:w="2299"/>
      </w:tblGrid>
      <w:tr w:rsidR="00261FC9" w:rsidRPr="00261FC9" w:rsidTr="003B0568">
        <w:tc>
          <w:tcPr>
            <w:tcW w:w="9778" w:type="dxa"/>
            <w:gridSpan w:val="5"/>
          </w:tcPr>
          <w:p w:rsidR="00261FC9" w:rsidRPr="00261FC9" w:rsidRDefault="00261FC9" w:rsidP="00261FC9">
            <w:pPr>
              <w:spacing w:before="40" w:after="40"/>
              <w:rPr>
                <w:rFonts w:cs="Arial"/>
                <w:b/>
                <w:sz w:val="22"/>
              </w:rPr>
            </w:pPr>
            <w:r w:rsidRPr="00261FC9">
              <w:rPr>
                <w:rFonts w:cs="Arial"/>
                <w:b/>
                <w:sz w:val="22"/>
              </w:rPr>
              <w:t>Messaggi Sussidi per veicoli elettrici o efficienti Canton Ticino</w:t>
            </w:r>
          </w:p>
        </w:tc>
      </w:tr>
      <w:tr w:rsidR="00261FC9" w:rsidRPr="00261FC9" w:rsidTr="003B0568">
        <w:tc>
          <w:tcPr>
            <w:tcW w:w="817" w:type="dxa"/>
          </w:tcPr>
          <w:p w:rsidR="00261FC9" w:rsidRPr="00261FC9" w:rsidRDefault="00261FC9" w:rsidP="00261FC9">
            <w:pPr>
              <w:spacing w:before="40" w:after="40"/>
              <w:rPr>
                <w:rFonts w:cs="Arial"/>
                <w:sz w:val="22"/>
              </w:rPr>
            </w:pPr>
            <w:r w:rsidRPr="00261FC9">
              <w:rPr>
                <w:rFonts w:cs="Arial"/>
                <w:sz w:val="22"/>
              </w:rPr>
              <w:t>anno</w:t>
            </w:r>
          </w:p>
        </w:tc>
        <w:tc>
          <w:tcPr>
            <w:tcW w:w="851" w:type="dxa"/>
          </w:tcPr>
          <w:p w:rsidR="00261FC9" w:rsidRPr="00261FC9" w:rsidRDefault="00261FC9" w:rsidP="00261FC9">
            <w:pPr>
              <w:spacing w:before="40" w:after="40"/>
              <w:rPr>
                <w:rFonts w:cs="Arial"/>
                <w:sz w:val="22"/>
              </w:rPr>
            </w:pPr>
            <w:r w:rsidRPr="00261FC9">
              <w:rPr>
                <w:rFonts w:cs="Arial"/>
                <w:sz w:val="22"/>
              </w:rPr>
              <w:t xml:space="preserve">Nr. </w:t>
            </w:r>
            <w:proofErr w:type="spellStart"/>
            <w:r w:rsidRPr="00261FC9">
              <w:rPr>
                <w:rFonts w:cs="Arial"/>
                <w:sz w:val="22"/>
              </w:rPr>
              <w:t>Mess</w:t>
            </w:r>
            <w:proofErr w:type="spellEnd"/>
            <w:r w:rsidRPr="00261FC9">
              <w:rPr>
                <w:rFonts w:cs="Arial"/>
                <w:sz w:val="22"/>
              </w:rPr>
              <w:t>.</w:t>
            </w:r>
          </w:p>
        </w:tc>
        <w:tc>
          <w:tcPr>
            <w:tcW w:w="2976" w:type="dxa"/>
          </w:tcPr>
          <w:p w:rsidR="00261FC9" w:rsidRPr="00261FC9" w:rsidRDefault="00261FC9" w:rsidP="00261FC9">
            <w:pPr>
              <w:spacing w:before="40" w:after="40"/>
              <w:rPr>
                <w:rFonts w:cs="Arial"/>
                <w:sz w:val="22"/>
              </w:rPr>
            </w:pPr>
            <w:r w:rsidRPr="00261FC9">
              <w:rPr>
                <w:rFonts w:cs="Arial"/>
                <w:sz w:val="22"/>
              </w:rPr>
              <w:t>Tipologia Veicoli sussidiati</w:t>
            </w:r>
          </w:p>
        </w:tc>
        <w:tc>
          <w:tcPr>
            <w:tcW w:w="2835" w:type="dxa"/>
          </w:tcPr>
          <w:p w:rsidR="00261FC9" w:rsidRPr="00261FC9" w:rsidRDefault="00261FC9" w:rsidP="00261FC9">
            <w:pPr>
              <w:spacing w:before="40" w:after="40"/>
              <w:rPr>
                <w:rFonts w:cs="Arial"/>
                <w:sz w:val="22"/>
              </w:rPr>
            </w:pPr>
            <w:r w:rsidRPr="00261FC9">
              <w:rPr>
                <w:rFonts w:cs="Arial"/>
                <w:sz w:val="22"/>
              </w:rPr>
              <w:t>Credito</w:t>
            </w:r>
          </w:p>
        </w:tc>
        <w:tc>
          <w:tcPr>
            <w:tcW w:w="2299" w:type="dxa"/>
          </w:tcPr>
          <w:p w:rsidR="00261FC9" w:rsidRPr="00261FC9" w:rsidRDefault="00261FC9" w:rsidP="00261FC9">
            <w:pPr>
              <w:spacing w:before="40" w:after="40"/>
              <w:rPr>
                <w:rFonts w:cs="Arial"/>
                <w:sz w:val="22"/>
              </w:rPr>
            </w:pPr>
            <w:r w:rsidRPr="00261FC9">
              <w:rPr>
                <w:rFonts w:cs="Arial"/>
                <w:sz w:val="22"/>
              </w:rPr>
              <w:t>Esito</w:t>
            </w:r>
          </w:p>
        </w:tc>
      </w:tr>
      <w:tr w:rsidR="00261FC9" w:rsidRPr="00261FC9" w:rsidTr="003B0568">
        <w:tc>
          <w:tcPr>
            <w:tcW w:w="817" w:type="dxa"/>
          </w:tcPr>
          <w:p w:rsidR="00261FC9" w:rsidRPr="00261FC9" w:rsidRDefault="00261FC9" w:rsidP="00261FC9">
            <w:pPr>
              <w:spacing w:before="40" w:after="40"/>
              <w:rPr>
                <w:rFonts w:cs="Arial"/>
                <w:sz w:val="22"/>
              </w:rPr>
            </w:pPr>
            <w:r w:rsidRPr="00261FC9">
              <w:rPr>
                <w:rFonts w:cs="Arial"/>
                <w:sz w:val="22"/>
              </w:rPr>
              <w:t>1995</w:t>
            </w:r>
          </w:p>
        </w:tc>
        <w:tc>
          <w:tcPr>
            <w:tcW w:w="851" w:type="dxa"/>
          </w:tcPr>
          <w:p w:rsidR="00261FC9" w:rsidRPr="00261FC9" w:rsidRDefault="00261FC9" w:rsidP="00261FC9">
            <w:pPr>
              <w:spacing w:before="40" w:after="40"/>
              <w:rPr>
                <w:rFonts w:cs="Arial"/>
                <w:sz w:val="22"/>
              </w:rPr>
            </w:pPr>
            <w:r w:rsidRPr="00261FC9">
              <w:rPr>
                <w:rFonts w:cs="Arial"/>
                <w:sz w:val="22"/>
              </w:rPr>
              <w:t>4390</w:t>
            </w:r>
          </w:p>
        </w:tc>
        <w:tc>
          <w:tcPr>
            <w:tcW w:w="2976" w:type="dxa"/>
          </w:tcPr>
          <w:p w:rsidR="00261FC9" w:rsidRPr="00261FC9" w:rsidRDefault="00261FC9" w:rsidP="00261FC9">
            <w:pPr>
              <w:spacing w:before="40" w:after="40"/>
              <w:rPr>
                <w:rFonts w:cs="Arial"/>
                <w:sz w:val="22"/>
              </w:rPr>
            </w:pPr>
            <w:r w:rsidRPr="00261FC9">
              <w:rPr>
                <w:rFonts w:cs="Arial"/>
                <w:sz w:val="22"/>
              </w:rPr>
              <w:t>VEL veicoli elettrici</w:t>
            </w:r>
          </w:p>
        </w:tc>
        <w:tc>
          <w:tcPr>
            <w:tcW w:w="2835" w:type="dxa"/>
          </w:tcPr>
          <w:p w:rsidR="00261FC9" w:rsidRPr="00261FC9" w:rsidRDefault="00261FC9" w:rsidP="00261FC9">
            <w:pPr>
              <w:spacing w:before="40" w:after="40"/>
              <w:rPr>
                <w:rFonts w:cs="Arial"/>
                <w:sz w:val="22"/>
              </w:rPr>
            </w:pPr>
            <w:r w:rsidRPr="00261FC9">
              <w:rPr>
                <w:rFonts w:cs="Arial"/>
                <w:sz w:val="22"/>
              </w:rPr>
              <w:t xml:space="preserve">2 mio Cantone + 10 </w:t>
            </w:r>
            <w:proofErr w:type="spellStart"/>
            <w:r w:rsidRPr="00261FC9">
              <w:rPr>
                <w:rFonts w:cs="Arial"/>
                <w:sz w:val="22"/>
              </w:rPr>
              <w:t>Conf</w:t>
            </w:r>
            <w:proofErr w:type="spellEnd"/>
            <w:r w:rsidRPr="00261FC9">
              <w:rPr>
                <w:rFonts w:cs="Arial"/>
                <w:sz w:val="22"/>
              </w:rPr>
              <w:t>.</w:t>
            </w:r>
          </w:p>
        </w:tc>
        <w:tc>
          <w:tcPr>
            <w:tcW w:w="2299" w:type="dxa"/>
          </w:tcPr>
          <w:p w:rsidR="00261FC9" w:rsidRPr="00261FC9" w:rsidRDefault="00261FC9" w:rsidP="00261FC9">
            <w:pPr>
              <w:spacing w:before="40" w:after="40"/>
              <w:rPr>
                <w:rFonts w:cs="Arial"/>
                <w:sz w:val="22"/>
              </w:rPr>
            </w:pPr>
            <w:r w:rsidRPr="00261FC9">
              <w:rPr>
                <w:rFonts w:cs="Arial"/>
                <w:sz w:val="22"/>
              </w:rPr>
              <w:t>approvato</w:t>
            </w:r>
          </w:p>
        </w:tc>
      </w:tr>
      <w:tr w:rsidR="00261FC9" w:rsidRPr="00261FC9" w:rsidTr="003B0568">
        <w:tc>
          <w:tcPr>
            <w:tcW w:w="817" w:type="dxa"/>
          </w:tcPr>
          <w:p w:rsidR="00261FC9" w:rsidRPr="00261FC9" w:rsidRDefault="00261FC9" w:rsidP="00261FC9">
            <w:pPr>
              <w:spacing w:before="40" w:after="40"/>
              <w:rPr>
                <w:rFonts w:cs="Arial"/>
                <w:sz w:val="22"/>
              </w:rPr>
            </w:pPr>
            <w:r w:rsidRPr="00261FC9">
              <w:rPr>
                <w:rFonts w:cs="Arial"/>
                <w:sz w:val="22"/>
              </w:rPr>
              <w:t>2001</w:t>
            </w:r>
          </w:p>
        </w:tc>
        <w:tc>
          <w:tcPr>
            <w:tcW w:w="851" w:type="dxa"/>
          </w:tcPr>
          <w:p w:rsidR="00261FC9" w:rsidRPr="00261FC9" w:rsidRDefault="00261FC9" w:rsidP="00261FC9">
            <w:pPr>
              <w:spacing w:before="40" w:after="40"/>
              <w:rPr>
                <w:rFonts w:cs="Arial"/>
                <w:sz w:val="22"/>
              </w:rPr>
            </w:pPr>
            <w:r w:rsidRPr="00261FC9">
              <w:rPr>
                <w:rFonts w:cs="Arial"/>
                <w:sz w:val="22"/>
              </w:rPr>
              <w:t>5020</w:t>
            </w:r>
          </w:p>
        </w:tc>
        <w:tc>
          <w:tcPr>
            <w:tcW w:w="2976" w:type="dxa"/>
          </w:tcPr>
          <w:p w:rsidR="00261FC9" w:rsidRPr="00261FC9" w:rsidRDefault="00261FC9" w:rsidP="00261FC9">
            <w:pPr>
              <w:spacing w:before="40" w:after="40"/>
              <w:rPr>
                <w:rFonts w:cs="Arial"/>
                <w:sz w:val="22"/>
              </w:rPr>
            </w:pPr>
            <w:r w:rsidRPr="00261FC9">
              <w:rPr>
                <w:rFonts w:cs="Arial"/>
                <w:sz w:val="22"/>
              </w:rPr>
              <w:t>VEL2 veicolo efficienti</w:t>
            </w:r>
          </w:p>
        </w:tc>
        <w:tc>
          <w:tcPr>
            <w:tcW w:w="2835" w:type="dxa"/>
          </w:tcPr>
          <w:p w:rsidR="00261FC9" w:rsidRPr="00261FC9" w:rsidRDefault="00261FC9" w:rsidP="00261FC9">
            <w:pPr>
              <w:spacing w:before="40" w:after="40"/>
              <w:rPr>
                <w:rFonts w:cs="Arial"/>
                <w:sz w:val="22"/>
              </w:rPr>
            </w:pPr>
            <w:r w:rsidRPr="00261FC9">
              <w:rPr>
                <w:rFonts w:cs="Arial"/>
                <w:sz w:val="22"/>
              </w:rPr>
              <w:t xml:space="preserve">6 mio Cantone + 6.5 </w:t>
            </w:r>
            <w:proofErr w:type="spellStart"/>
            <w:r w:rsidRPr="00261FC9">
              <w:rPr>
                <w:rFonts w:cs="Arial"/>
                <w:sz w:val="22"/>
              </w:rPr>
              <w:t>Conf</w:t>
            </w:r>
            <w:proofErr w:type="spellEnd"/>
            <w:r w:rsidRPr="00261FC9">
              <w:rPr>
                <w:rFonts w:cs="Arial"/>
                <w:sz w:val="22"/>
              </w:rPr>
              <w:t>.</w:t>
            </w:r>
          </w:p>
        </w:tc>
        <w:tc>
          <w:tcPr>
            <w:tcW w:w="2299" w:type="dxa"/>
          </w:tcPr>
          <w:p w:rsidR="00261FC9" w:rsidRPr="00261FC9" w:rsidRDefault="00261FC9" w:rsidP="00261FC9">
            <w:pPr>
              <w:spacing w:before="40" w:after="40"/>
              <w:rPr>
                <w:rFonts w:cs="Arial"/>
                <w:sz w:val="22"/>
              </w:rPr>
            </w:pPr>
            <w:r w:rsidRPr="00261FC9">
              <w:rPr>
                <w:rFonts w:cs="Arial"/>
                <w:sz w:val="22"/>
              </w:rPr>
              <w:t>approvato con riserve</w:t>
            </w:r>
          </w:p>
        </w:tc>
      </w:tr>
      <w:tr w:rsidR="00261FC9" w:rsidRPr="00261FC9" w:rsidTr="003B0568">
        <w:tc>
          <w:tcPr>
            <w:tcW w:w="817" w:type="dxa"/>
          </w:tcPr>
          <w:p w:rsidR="00261FC9" w:rsidRPr="00261FC9" w:rsidRDefault="00261FC9" w:rsidP="00261FC9">
            <w:pPr>
              <w:spacing w:before="40" w:after="40"/>
              <w:rPr>
                <w:rFonts w:cs="Arial"/>
                <w:sz w:val="22"/>
              </w:rPr>
            </w:pPr>
            <w:r w:rsidRPr="00261FC9">
              <w:rPr>
                <w:rFonts w:cs="Arial"/>
                <w:sz w:val="22"/>
              </w:rPr>
              <w:t>2013</w:t>
            </w:r>
          </w:p>
        </w:tc>
        <w:tc>
          <w:tcPr>
            <w:tcW w:w="851" w:type="dxa"/>
          </w:tcPr>
          <w:p w:rsidR="00261FC9" w:rsidRPr="00261FC9" w:rsidRDefault="00261FC9" w:rsidP="00261FC9">
            <w:pPr>
              <w:spacing w:before="40" w:after="40"/>
              <w:rPr>
                <w:rFonts w:cs="Arial"/>
                <w:sz w:val="22"/>
              </w:rPr>
            </w:pPr>
            <w:r w:rsidRPr="00261FC9">
              <w:rPr>
                <w:rFonts w:cs="Arial"/>
                <w:sz w:val="22"/>
              </w:rPr>
              <w:t>6774</w:t>
            </w:r>
          </w:p>
        </w:tc>
        <w:tc>
          <w:tcPr>
            <w:tcW w:w="2976" w:type="dxa"/>
          </w:tcPr>
          <w:p w:rsidR="00261FC9" w:rsidRPr="00261FC9" w:rsidRDefault="00261FC9" w:rsidP="00261FC9">
            <w:pPr>
              <w:spacing w:before="40" w:after="40"/>
              <w:rPr>
                <w:rFonts w:cs="Arial"/>
                <w:sz w:val="22"/>
              </w:rPr>
            </w:pPr>
            <w:r w:rsidRPr="00261FC9">
              <w:rPr>
                <w:rFonts w:cs="Arial"/>
                <w:sz w:val="22"/>
              </w:rPr>
              <w:t>Automobili fino 95 gCO2/km</w:t>
            </w:r>
          </w:p>
        </w:tc>
        <w:tc>
          <w:tcPr>
            <w:tcW w:w="2835" w:type="dxa"/>
          </w:tcPr>
          <w:p w:rsidR="00261FC9" w:rsidRPr="00261FC9" w:rsidRDefault="00261FC9" w:rsidP="00261FC9">
            <w:pPr>
              <w:spacing w:before="40" w:after="40"/>
              <w:rPr>
                <w:rFonts w:cs="Arial"/>
                <w:sz w:val="22"/>
              </w:rPr>
            </w:pPr>
            <w:r w:rsidRPr="00261FC9">
              <w:rPr>
                <w:rFonts w:cs="Arial"/>
                <w:sz w:val="22"/>
              </w:rPr>
              <w:t>30 mio</w:t>
            </w:r>
          </w:p>
        </w:tc>
        <w:tc>
          <w:tcPr>
            <w:tcW w:w="2299" w:type="dxa"/>
          </w:tcPr>
          <w:p w:rsidR="00261FC9" w:rsidRPr="00261FC9" w:rsidRDefault="00261FC9" w:rsidP="00261FC9">
            <w:pPr>
              <w:spacing w:before="40" w:after="40"/>
              <w:rPr>
                <w:rFonts w:cs="Arial"/>
                <w:sz w:val="22"/>
              </w:rPr>
            </w:pPr>
            <w:r w:rsidRPr="00261FC9">
              <w:rPr>
                <w:rFonts w:cs="Arial"/>
                <w:sz w:val="22"/>
              </w:rPr>
              <w:t>respinto dal GC</w:t>
            </w:r>
          </w:p>
        </w:tc>
      </w:tr>
      <w:tr w:rsidR="00261FC9" w:rsidRPr="00261FC9" w:rsidTr="003B0568">
        <w:tc>
          <w:tcPr>
            <w:tcW w:w="817" w:type="dxa"/>
          </w:tcPr>
          <w:p w:rsidR="00261FC9" w:rsidRPr="00261FC9" w:rsidRDefault="00261FC9" w:rsidP="00261FC9">
            <w:pPr>
              <w:spacing w:before="40" w:after="40"/>
              <w:rPr>
                <w:rFonts w:cs="Arial"/>
                <w:sz w:val="22"/>
              </w:rPr>
            </w:pPr>
            <w:r w:rsidRPr="00261FC9">
              <w:rPr>
                <w:rFonts w:cs="Arial"/>
                <w:sz w:val="22"/>
              </w:rPr>
              <w:t>2014</w:t>
            </w:r>
          </w:p>
        </w:tc>
        <w:tc>
          <w:tcPr>
            <w:tcW w:w="851" w:type="dxa"/>
          </w:tcPr>
          <w:p w:rsidR="00261FC9" w:rsidRPr="00261FC9" w:rsidRDefault="00261FC9" w:rsidP="00261FC9">
            <w:pPr>
              <w:spacing w:before="40" w:after="40"/>
              <w:rPr>
                <w:rFonts w:cs="Arial"/>
                <w:sz w:val="22"/>
              </w:rPr>
            </w:pPr>
            <w:r w:rsidRPr="00261FC9">
              <w:rPr>
                <w:rFonts w:cs="Arial"/>
                <w:sz w:val="22"/>
              </w:rPr>
              <w:t>6947</w:t>
            </w:r>
          </w:p>
        </w:tc>
        <w:tc>
          <w:tcPr>
            <w:tcW w:w="2976" w:type="dxa"/>
          </w:tcPr>
          <w:p w:rsidR="00261FC9" w:rsidRPr="00261FC9" w:rsidRDefault="00261FC9" w:rsidP="00261FC9">
            <w:pPr>
              <w:spacing w:before="40" w:after="40"/>
              <w:rPr>
                <w:rFonts w:cs="Arial"/>
                <w:sz w:val="22"/>
              </w:rPr>
            </w:pPr>
            <w:r w:rsidRPr="00261FC9">
              <w:rPr>
                <w:rFonts w:cs="Arial"/>
                <w:sz w:val="22"/>
              </w:rPr>
              <w:t>Automobili elettriche e gas</w:t>
            </w:r>
          </w:p>
        </w:tc>
        <w:tc>
          <w:tcPr>
            <w:tcW w:w="2835" w:type="dxa"/>
          </w:tcPr>
          <w:p w:rsidR="00261FC9" w:rsidRPr="00261FC9" w:rsidRDefault="00261FC9" w:rsidP="00261FC9">
            <w:pPr>
              <w:spacing w:before="40" w:after="40"/>
              <w:rPr>
                <w:rFonts w:cs="Arial"/>
                <w:sz w:val="22"/>
              </w:rPr>
            </w:pPr>
            <w:r w:rsidRPr="00261FC9">
              <w:rPr>
                <w:rFonts w:cs="Arial"/>
                <w:sz w:val="22"/>
              </w:rPr>
              <w:t>12 mio</w:t>
            </w:r>
          </w:p>
        </w:tc>
        <w:tc>
          <w:tcPr>
            <w:tcW w:w="2299" w:type="dxa"/>
          </w:tcPr>
          <w:p w:rsidR="00261FC9" w:rsidRPr="00261FC9" w:rsidRDefault="00261FC9" w:rsidP="00261FC9">
            <w:pPr>
              <w:spacing w:before="40" w:after="40"/>
              <w:rPr>
                <w:rFonts w:cs="Arial"/>
                <w:sz w:val="22"/>
              </w:rPr>
            </w:pPr>
            <w:r w:rsidRPr="00261FC9">
              <w:rPr>
                <w:rFonts w:cs="Arial"/>
                <w:sz w:val="22"/>
              </w:rPr>
              <w:t>approvato dal GC, respinto referendum</w:t>
            </w:r>
          </w:p>
        </w:tc>
      </w:tr>
      <w:tr w:rsidR="00261FC9" w:rsidRPr="00261FC9" w:rsidTr="003B0568">
        <w:tc>
          <w:tcPr>
            <w:tcW w:w="817" w:type="dxa"/>
          </w:tcPr>
          <w:p w:rsidR="00261FC9" w:rsidRPr="00261FC9" w:rsidRDefault="00261FC9" w:rsidP="00261FC9">
            <w:pPr>
              <w:spacing w:before="40" w:after="40"/>
              <w:rPr>
                <w:rFonts w:cs="Arial"/>
                <w:sz w:val="22"/>
              </w:rPr>
            </w:pPr>
            <w:r w:rsidRPr="00261FC9">
              <w:rPr>
                <w:rFonts w:cs="Arial"/>
                <w:sz w:val="22"/>
              </w:rPr>
              <w:t>2018</w:t>
            </w:r>
          </w:p>
        </w:tc>
        <w:tc>
          <w:tcPr>
            <w:tcW w:w="851" w:type="dxa"/>
          </w:tcPr>
          <w:p w:rsidR="00261FC9" w:rsidRPr="00261FC9" w:rsidRDefault="00261FC9" w:rsidP="00261FC9">
            <w:pPr>
              <w:spacing w:before="40" w:after="40"/>
              <w:rPr>
                <w:rFonts w:cs="Arial"/>
                <w:sz w:val="22"/>
              </w:rPr>
            </w:pPr>
            <w:r w:rsidRPr="00261FC9">
              <w:rPr>
                <w:rFonts w:cs="Arial"/>
                <w:sz w:val="22"/>
              </w:rPr>
              <w:t>7540</w:t>
            </w:r>
          </w:p>
        </w:tc>
        <w:tc>
          <w:tcPr>
            <w:tcW w:w="2976" w:type="dxa"/>
          </w:tcPr>
          <w:p w:rsidR="00261FC9" w:rsidRPr="00261FC9" w:rsidRDefault="00261FC9" w:rsidP="00261FC9">
            <w:pPr>
              <w:spacing w:before="40" w:after="40"/>
              <w:rPr>
                <w:rFonts w:cs="Arial"/>
                <w:sz w:val="22"/>
              </w:rPr>
            </w:pPr>
            <w:r w:rsidRPr="00261FC9">
              <w:rPr>
                <w:rFonts w:cs="Arial"/>
                <w:sz w:val="22"/>
              </w:rPr>
              <w:t>Automobili elettriche pure</w:t>
            </w:r>
          </w:p>
        </w:tc>
        <w:tc>
          <w:tcPr>
            <w:tcW w:w="2835" w:type="dxa"/>
          </w:tcPr>
          <w:p w:rsidR="00261FC9" w:rsidRPr="00261FC9" w:rsidRDefault="00261FC9" w:rsidP="00261FC9">
            <w:pPr>
              <w:spacing w:before="40" w:after="40"/>
              <w:rPr>
                <w:rFonts w:cs="Arial"/>
                <w:sz w:val="22"/>
              </w:rPr>
            </w:pPr>
            <w:r w:rsidRPr="00261FC9">
              <w:rPr>
                <w:rFonts w:cs="Arial"/>
                <w:sz w:val="22"/>
              </w:rPr>
              <w:t>2.5 mio</w:t>
            </w:r>
          </w:p>
        </w:tc>
        <w:tc>
          <w:tcPr>
            <w:tcW w:w="2299" w:type="dxa"/>
          </w:tcPr>
          <w:p w:rsidR="00261FC9" w:rsidRPr="00261FC9" w:rsidRDefault="00261FC9" w:rsidP="00261FC9">
            <w:pPr>
              <w:spacing w:before="40" w:after="40"/>
              <w:rPr>
                <w:rFonts w:cs="Arial"/>
                <w:sz w:val="22"/>
              </w:rPr>
            </w:pPr>
          </w:p>
        </w:tc>
      </w:tr>
    </w:tbl>
    <w:p w:rsidR="00261FC9" w:rsidRPr="00514B68" w:rsidRDefault="00261FC9" w:rsidP="00261FC9">
      <w:pPr>
        <w:rPr>
          <w:rFonts w:cs="Arial"/>
          <w:szCs w:val="24"/>
        </w:rPr>
      </w:pPr>
    </w:p>
    <w:p w:rsidR="00261FC9" w:rsidRDefault="00261FC9" w:rsidP="00261FC9">
      <w:pPr>
        <w:rPr>
          <w:rFonts w:cs="Arial"/>
          <w:szCs w:val="24"/>
        </w:rPr>
      </w:pPr>
      <w:r w:rsidRPr="00514B68">
        <w:rPr>
          <w:rFonts w:cs="Arial"/>
          <w:szCs w:val="24"/>
        </w:rPr>
        <w:t>I primi due sono stat</w:t>
      </w:r>
      <w:r>
        <w:rPr>
          <w:rFonts w:cs="Arial"/>
          <w:szCs w:val="24"/>
        </w:rPr>
        <w:t>i</w:t>
      </w:r>
      <w:r w:rsidRPr="00514B68">
        <w:rPr>
          <w:rFonts w:cs="Arial"/>
          <w:szCs w:val="24"/>
        </w:rPr>
        <w:t xml:space="preserve"> approvati, mentre il terzo è stato bocciato dal Parlamento e il quarto respinto dal Popolo a seguito di un </w:t>
      </w:r>
      <w:r>
        <w:rPr>
          <w:rFonts w:cs="Arial"/>
          <w:szCs w:val="24"/>
        </w:rPr>
        <w:t>r</w:t>
      </w:r>
      <w:r w:rsidRPr="00514B68">
        <w:rPr>
          <w:rFonts w:cs="Arial"/>
          <w:szCs w:val="24"/>
        </w:rPr>
        <w:t>eferendum contro la decisione del Parlamento.</w:t>
      </w:r>
    </w:p>
    <w:p w:rsidR="00261FC9" w:rsidRPr="00514B68" w:rsidRDefault="00261FC9" w:rsidP="00261FC9">
      <w:pPr>
        <w:rPr>
          <w:rFonts w:cs="Arial"/>
          <w:szCs w:val="24"/>
        </w:rPr>
      </w:pPr>
    </w:p>
    <w:p w:rsidR="00261FC9" w:rsidRDefault="00261FC9" w:rsidP="00261FC9">
      <w:pPr>
        <w:rPr>
          <w:rFonts w:cs="Arial"/>
          <w:szCs w:val="24"/>
        </w:rPr>
      </w:pPr>
      <w:r w:rsidRPr="00514B68">
        <w:rPr>
          <w:rFonts w:cs="Arial"/>
          <w:szCs w:val="24"/>
        </w:rPr>
        <w:t>Come si può vedere</w:t>
      </w:r>
      <w:r>
        <w:rPr>
          <w:rFonts w:cs="Arial"/>
          <w:szCs w:val="24"/>
        </w:rPr>
        <w:t>,</w:t>
      </w:r>
      <w:r w:rsidRPr="00514B68">
        <w:rPr>
          <w:rFonts w:cs="Arial"/>
          <w:szCs w:val="24"/>
        </w:rPr>
        <w:t xml:space="preserve"> il nostro Cantone dal 1995 ha sperimentato e promosso la mobilità elettrica in varie forme </w:t>
      </w:r>
      <w:r>
        <w:rPr>
          <w:rFonts w:cs="Arial"/>
          <w:szCs w:val="24"/>
        </w:rPr>
        <w:t xml:space="preserve">e </w:t>
      </w:r>
      <w:r w:rsidRPr="00514B68">
        <w:rPr>
          <w:rFonts w:cs="Arial"/>
          <w:szCs w:val="24"/>
        </w:rPr>
        <w:t xml:space="preserve">a suon di sussidi con i progetti VEL1 e poi VEL2 (estendendo i sussidi anche alle vetture </w:t>
      </w:r>
      <w:r>
        <w:rPr>
          <w:rFonts w:cs="Arial"/>
          <w:szCs w:val="24"/>
        </w:rPr>
        <w:t>d</w:t>
      </w:r>
      <w:r w:rsidRPr="00514B68">
        <w:rPr>
          <w:rFonts w:cs="Arial"/>
          <w:szCs w:val="24"/>
        </w:rPr>
        <w:t>iesel)</w:t>
      </w:r>
      <w:r>
        <w:rPr>
          <w:rFonts w:cs="Arial"/>
          <w:szCs w:val="24"/>
        </w:rPr>
        <w:t>.</w:t>
      </w:r>
    </w:p>
    <w:p w:rsidR="00261FC9" w:rsidRPr="00514B68" w:rsidRDefault="00261FC9" w:rsidP="00261FC9">
      <w:pPr>
        <w:rPr>
          <w:rFonts w:cs="Arial"/>
          <w:szCs w:val="24"/>
        </w:rPr>
      </w:pPr>
    </w:p>
    <w:p w:rsidR="00261FC9" w:rsidRDefault="00261FC9" w:rsidP="00261FC9">
      <w:pPr>
        <w:rPr>
          <w:rFonts w:cs="Arial"/>
          <w:szCs w:val="24"/>
        </w:rPr>
      </w:pPr>
      <w:r>
        <w:rPr>
          <w:rFonts w:cs="Arial"/>
          <w:szCs w:val="24"/>
        </w:rPr>
        <w:t>Il progetto VEL</w:t>
      </w:r>
      <w:r w:rsidRPr="00514B68">
        <w:rPr>
          <w:rFonts w:cs="Arial"/>
          <w:szCs w:val="24"/>
        </w:rPr>
        <w:t>1</w:t>
      </w:r>
      <w:r>
        <w:rPr>
          <w:rFonts w:cs="Arial"/>
          <w:szCs w:val="24"/>
        </w:rPr>
        <w:t>,</w:t>
      </w:r>
      <w:r w:rsidRPr="00514B68">
        <w:rPr>
          <w:rFonts w:cs="Arial"/>
          <w:szCs w:val="24"/>
        </w:rPr>
        <w:t xml:space="preserve"> non avendo raggiunto i suoi obiettivi nel solo contesto geografico (Comune di Mendrisio) fissato con il messaggio governativo del 1995, ha dovuto essere in </w:t>
      </w:r>
      <w:r>
        <w:rPr>
          <w:rFonts w:cs="Arial"/>
          <w:szCs w:val="24"/>
        </w:rPr>
        <w:t xml:space="preserve">seguito </w:t>
      </w:r>
      <w:r w:rsidRPr="00514B68">
        <w:rPr>
          <w:rFonts w:cs="Arial"/>
          <w:szCs w:val="24"/>
        </w:rPr>
        <w:t>esteso a tutto il Cantone</w:t>
      </w:r>
      <w:r>
        <w:rPr>
          <w:rFonts w:cs="Arial"/>
          <w:szCs w:val="24"/>
        </w:rPr>
        <w:t>,</w:t>
      </w:r>
      <w:r w:rsidRPr="00514B68">
        <w:rPr>
          <w:rFonts w:cs="Arial"/>
          <w:szCs w:val="24"/>
        </w:rPr>
        <w:t xml:space="preserve"> ma mettendo finalmente in circolazione circa solo 100 autovetture elet</w:t>
      </w:r>
      <w:r>
        <w:rPr>
          <w:rFonts w:cs="Arial"/>
          <w:szCs w:val="24"/>
        </w:rPr>
        <w:t>triche contro le 350 previste.</w:t>
      </w:r>
    </w:p>
    <w:p w:rsidR="00261FC9" w:rsidRPr="00514B68" w:rsidRDefault="00261FC9" w:rsidP="00261FC9">
      <w:pPr>
        <w:rPr>
          <w:rFonts w:cs="Arial"/>
          <w:szCs w:val="24"/>
        </w:rPr>
      </w:pPr>
    </w:p>
    <w:p w:rsidR="00261FC9" w:rsidRDefault="00261FC9" w:rsidP="00261FC9">
      <w:pPr>
        <w:rPr>
          <w:rFonts w:cs="Arial"/>
          <w:szCs w:val="24"/>
        </w:rPr>
      </w:pPr>
      <w:r w:rsidRPr="00514B68">
        <w:rPr>
          <w:rFonts w:cs="Arial"/>
          <w:szCs w:val="24"/>
        </w:rPr>
        <w:t>Il VEL2 prevedeva una spesa per il Cantone di 6 milioni (più 6,5 della Confederazione) per mettere in esercizio 1000 veicoli (</w:t>
      </w:r>
      <w:r>
        <w:rPr>
          <w:rFonts w:cs="Arial"/>
          <w:szCs w:val="24"/>
        </w:rPr>
        <w:t xml:space="preserve">il </w:t>
      </w:r>
      <w:r w:rsidRPr="00514B68">
        <w:rPr>
          <w:rFonts w:cs="Arial"/>
          <w:szCs w:val="24"/>
        </w:rPr>
        <w:t>70% a emissione zero e il 30% di tipo EURO4) all’anno per 4 anni, per un totale di 4000, ed espandere dall’inizio l’esperienza del VEL1 a tutto il Cantone. A consuntivo VEL2 ha messo in circolazione 1500 automobili efficienti, oltre il 90% a benzina o diesel (emissione zero?). Inoltre</w:t>
      </w:r>
      <w:r>
        <w:rPr>
          <w:rFonts w:cs="Arial"/>
          <w:szCs w:val="24"/>
        </w:rPr>
        <w:t>,</w:t>
      </w:r>
      <w:r w:rsidRPr="00514B68">
        <w:rPr>
          <w:rFonts w:cs="Arial"/>
          <w:szCs w:val="24"/>
        </w:rPr>
        <w:t xml:space="preserve"> secondo il rapporto conclusivo </w:t>
      </w:r>
      <w:proofErr w:type="spellStart"/>
      <w:r w:rsidRPr="00514B68">
        <w:rPr>
          <w:rFonts w:cs="Arial"/>
          <w:szCs w:val="24"/>
        </w:rPr>
        <w:t>Rapp</w:t>
      </w:r>
      <w:proofErr w:type="spellEnd"/>
      <w:r w:rsidRPr="00514B68">
        <w:rPr>
          <w:rFonts w:cs="Arial"/>
          <w:szCs w:val="24"/>
        </w:rPr>
        <w:t xml:space="preserve"> Trans</w:t>
      </w:r>
      <w:r>
        <w:rPr>
          <w:rFonts w:cs="Arial"/>
          <w:szCs w:val="24"/>
        </w:rPr>
        <w:t>,</w:t>
      </w:r>
      <w:r w:rsidRPr="00514B68">
        <w:rPr>
          <w:rFonts w:cs="Arial"/>
          <w:szCs w:val="24"/>
        </w:rPr>
        <w:t xml:space="preserve"> delle 1500 automobili sussidiate </w:t>
      </w:r>
      <w:r w:rsidRPr="00514B68">
        <w:rPr>
          <w:rFonts w:cs="Arial"/>
          <w:b/>
          <w:color w:val="000000" w:themeColor="text1"/>
          <w:szCs w:val="24"/>
        </w:rPr>
        <w:t xml:space="preserve">600 sarebbero state comunque acquistate anche senza l’aiuto dello </w:t>
      </w:r>
      <w:r>
        <w:rPr>
          <w:rFonts w:cs="Arial"/>
          <w:b/>
          <w:color w:val="000000" w:themeColor="text1"/>
          <w:szCs w:val="24"/>
        </w:rPr>
        <w:t>S</w:t>
      </w:r>
      <w:r w:rsidRPr="00514B68">
        <w:rPr>
          <w:rFonts w:cs="Arial"/>
          <w:b/>
          <w:color w:val="000000" w:themeColor="text1"/>
          <w:szCs w:val="24"/>
        </w:rPr>
        <w:t>tato</w:t>
      </w:r>
      <w:r w:rsidRPr="00B3404F">
        <w:rPr>
          <w:rFonts w:cs="Arial"/>
          <w:color w:val="000000" w:themeColor="text1"/>
          <w:szCs w:val="24"/>
        </w:rPr>
        <w:t>;</w:t>
      </w:r>
      <w:r w:rsidRPr="00514B68">
        <w:rPr>
          <w:rFonts w:cs="Arial"/>
          <w:szCs w:val="24"/>
        </w:rPr>
        <w:t xml:space="preserve"> rimangono quindi 900 auto efficienti per un costo per Cantone e Confederazione di</w:t>
      </w:r>
      <w:r>
        <w:rPr>
          <w:rFonts w:cs="Arial"/>
          <w:szCs w:val="24"/>
        </w:rPr>
        <w:t xml:space="preserve"> 12,5 milioni.</w:t>
      </w:r>
    </w:p>
    <w:p w:rsidR="00261FC9" w:rsidRPr="00514B68" w:rsidRDefault="00261FC9" w:rsidP="00261FC9">
      <w:pPr>
        <w:rPr>
          <w:rFonts w:cs="Arial"/>
          <w:szCs w:val="24"/>
        </w:rPr>
      </w:pPr>
    </w:p>
    <w:p w:rsidR="00261FC9" w:rsidRDefault="00261FC9" w:rsidP="00261FC9">
      <w:pPr>
        <w:rPr>
          <w:rFonts w:cs="Arial"/>
          <w:szCs w:val="24"/>
        </w:rPr>
      </w:pPr>
      <w:r w:rsidRPr="00514B68">
        <w:rPr>
          <w:rFonts w:cs="Arial"/>
          <w:szCs w:val="24"/>
        </w:rPr>
        <w:t>I risultati e gli effetti sull’ambiente di VEL1 a VEL2 sono stati francamente molto molto modesti, inversamente proporzionali all’enfasi ed alla presenza mediatica che questi progetti hanno sollevato almeno nel nostro Cantone. Dobbiamo evitare di illuderci di poter risolvere i difficili e complessi problemi ambientali enfatizzando progetti che dovrebbero essere giudicati non più che “non riusciti”</w:t>
      </w:r>
      <w:r>
        <w:rPr>
          <w:rFonts w:cs="Arial"/>
          <w:szCs w:val="24"/>
        </w:rPr>
        <w:t>,</w:t>
      </w:r>
      <w:r w:rsidRPr="00514B68">
        <w:rPr>
          <w:rFonts w:cs="Arial"/>
          <w:szCs w:val="24"/>
        </w:rPr>
        <w:t xml:space="preserve"> per non dire falliti.</w:t>
      </w:r>
    </w:p>
    <w:p w:rsidR="00261FC9" w:rsidRPr="00514B68" w:rsidRDefault="00261FC9" w:rsidP="00261FC9">
      <w:pPr>
        <w:rPr>
          <w:rFonts w:cs="Arial"/>
          <w:szCs w:val="24"/>
        </w:rPr>
      </w:pPr>
    </w:p>
    <w:p w:rsidR="00261FC9" w:rsidRDefault="00261FC9" w:rsidP="00261FC9">
      <w:pPr>
        <w:rPr>
          <w:rFonts w:cs="Arial"/>
          <w:szCs w:val="24"/>
        </w:rPr>
      </w:pPr>
      <w:r w:rsidRPr="00514B68">
        <w:rPr>
          <w:rFonts w:cs="Arial"/>
          <w:szCs w:val="24"/>
        </w:rPr>
        <w:t>Il VEL2</w:t>
      </w:r>
      <w:r>
        <w:rPr>
          <w:rFonts w:cs="Arial"/>
          <w:szCs w:val="24"/>
        </w:rPr>
        <w:t>,</w:t>
      </w:r>
      <w:r w:rsidRPr="00514B68">
        <w:rPr>
          <w:rFonts w:cs="Arial"/>
          <w:szCs w:val="24"/>
        </w:rPr>
        <w:t xml:space="preserve"> costato all’ente pubblico 12,5 milioni</w:t>
      </w:r>
      <w:r>
        <w:rPr>
          <w:rFonts w:cs="Arial"/>
          <w:szCs w:val="24"/>
        </w:rPr>
        <w:t>,</w:t>
      </w:r>
      <w:r w:rsidRPr="00514B68">
        <w:rPr>
          <w:rFonts w:cs="Arial"/>
          <w:szCs w:val="24"/>
        </w:rPr>
        <w:t xml:space="preserve"> non ha avuto effetti</w:t>
      </w:r>
      <w:r>
        <w:rPr>
          <w:rFonts w:cs="Arial"/>
          <w:szCs w:val="24"/>
        </w:rPr>
        <w:t xml:space="preserve"> tangibili:</w:t>
      </w:r>
      <w:r w:rsidRPr="00514B68">
        <w:rPr>
          <w:rFonts w:cs="Arial"/>
          <w:szCs w:val="24"/>
        </w:rPr>
        <w:t xml:space="preserve"> si stima</w:t>
      </w:r>
      <w:r>
        <w:rPr>
          <w:rFonts w:cs="Arial"/>
          <w:szCs w:val="24"/>
        </w:rPr>
        <w:t>no</w:t>
      </w:r>
      <w:r w:rsidRPr="00514B68">
        <w:rPr>
          <w:rFonts w:cs="Arial"/>
          <w:szCs w:val="24"/>
        </w:rPr>
        <w:t xml:space="preserve"> nei per mille il risparmio energetico e le minori immissioni di CO2 nel settore dei trasporti. </w:t>
      </w:r>
      <w:r>
        <w:rPr>
          <w:rFonts w:cs="Arial"/>
          <w:szCs w:val="24"/>
        </w:rPr>
        <w:t>È t</w:t>
      </w:r>
      <w:r w:rsidRPr="00514B68">
        <w:rPr>
          <w:rFonts w:cs="Arial"/>
          <w:szCs w:val="24"/>
        </w:rPr>
        <w:t>almente poco da essere più che compensato dall’aumento della motorizzazione avvenut</w:t>
      </w:r>
      <w:r>
        <w:rPr>
          <w:rFonts w:cs="Arial"/>
          <w:szCs w:val="24"/>
        </w:rPr>
        <w:t>o</w:t>
      </w:r>
      <w:r w:rsidRPr="00514B68">
        <w:rPr>
          <w:rFonts w:cs="Arial"/>
          <w:szCs w:val="24"/>
        </w:rPr>
        <w:t xml:space="preserve"> nei 4 anni dell’operazione</w:t>
      </w:r>
      <w:r>
        <w:rPr>
          <w:rFonts w:cs="Arial"/>
          <w:szCs w:val="24"/>
        </w:rPr>
        <w:t>, che</w:t>
      </w:r>
      <w:r w:rsidRPr="00514B68">
        <w:rPr>
          <w:rFonts w:cs="Arial"/>
          <w:szCs w:val="24"/>
        </w:rPr>
        <w:t xml:space="preserve"> ha registrato un più 3%</w:t>
      </w:r>
      <w:r>
        <w:rPr>
          <w:rFonts w:cs="Arial"/>
          <w:szCs w:val="24"/>
        </w:rPr>
        <w:t>,</w:t>
      </w:r>
      <w:r w:rsidRPr="00514B68">
        <w:rPr>
          <w:rFonts w:cs="Arial"/>
          <w:szCs w:val="24"/>
        </w:rPr>
        <w:t xml:space="preserve"> quindi dieci volte l’effetto VEL2.</w:t>
      </w:r>
    </w:p>
    <w:p w:rsidR="00261FC9" w:rsidRPr="00514B68" w:rsidRDefault="00261FC9" w:rsidP="00261FC9">
      <w:pPr>
        <w:rPr>
          <w:rFonts w:cs="Arial"/>
          <w:szCs w:val="24"/>
        </w:rPr>
      </w:pPr>
    </w:p>
    <w:p w:rsidR="00960E6D" w:rsidRDefault="00960E6D">
      <w:pPr>
        <w:rPr>
          <w:rFonts w:cs="Arial"/>
          <w:szCs w:val="24"/>
        </w:rPr>
      </w:pPr>
      <w:r>
        <w:rPr>
          <w:rFonts w:cs="Arial"/>
          <w:szCs w:val="24"/>
        </w:rPr>
        <w:br w:type="page"/>
      </w:r>
    </w:p>
    <w:p w:rsidR="00261FC9" w:rsidRPr="00514B68" w:rsidRDefault="00261FC9" w:rsidP="00261FC9">
      <w:pPr>
        <w:rPr>
          <w:rFonts w:cs="Arial"/>
          <w:szCs w:val="24"/>
        </w:rPr>
      </w:pPr>
      <w:r w:rsidRPr="00514B68">
        <w:rPr>
          <w:rFonts w:cs="Arial"/>
          <w:szCs w:val="24"/>
        </w:rPr>
        <w:lastRenderedPageBreak/>
        <w:t>A s</w:t>
      </w:r>
      <w:r>
        <w:rPr>
          <w:rFonts w:cs="Arial"/>
          <w:szCs w:val="24"/>
        </w:rPr>
        <w:t>eguito della bocciatura nel 2015 del credito di 12 mio del messaggio 6947,</w:t>
      </w:r>
      <w:r w:rsidRPr="00514B68">
        <w:rPr>
          <w:rFonts w:cs="Arial"/>
          <w:szCs w:val="24"/>
        </w:rPr>
        <w:t xml:space="preserve"> la promozione VEL e l’associazione </w:t>
      </w:r>
      <w:proofErr w:type="spellStart"/>
      <w:r w:rsidRPr="00514B68">
        <w:rPr>
          <w:rFonts w:cs="Arial"/>
          <w:szCs w:val="24"/>
        </w:rPr>
        <w:t>Infovel</w:t>
      </w:r>
      <w:proofErr w:type="spellEnd"/>
      <w:r w:rsidRPr="00514B68">
        <w:rPr>
          <w:rFonts w:cs="Arial"/>
          <w:szCs w:val="24"/>
        </w:rPr>
        <w:t xml:space="preserve"> </w:t>
      </w:r>
      <w:r>
        <w:rPr>
          <w:rFonts w:cs="Arial"/>
          <w:szCs w:val="24"/>
        </w:rPr>
        <w:t>sono</w:t>
      </w:r>
      <w:r w:rsidRPr="00514B68">
        <w:rPr>
          <w:rFonts w:cs="Arial"/>
          <w:szCs w:val="24"/>
        </w:rPr>
        <w:t xml:space="preserve"> stat</w:t>
      </w:r>
      <w:r>
        <w:rPr>
          <w:rFonts w:cs="Arial"/>
          <w:szCs w:val="24"/>
        </w:rPr>
        <w:t>i</w:t>
      </w:r>
      <w:r w:rsidRPr="00514B68">
        <w:rPr>
          <w:rFonts w:cs="Arial"/>
          <w:szCs w:val="24"/>
        </w:rPr>
        <w:t xml:space="preserve"> chius</w:t>
      </w:r>
      <w:r>
        <w:rPr>
          <w:rFonts w:cs="Arial"/>
          <w:szCs w:val="24"/>
        </w:rPr>
        <w:t>i.</w:t>
      </w:r>
      <w:r w:rsidRPr="00514B68">
        <w:rPr>
          <w:rFonts w:cs="Arial"/>
          <w:szCs w:val="24"/>
        </w:rPr>
        <w:t xml:space="preserve"> </w:t>
      </w:r>
      <w:r w:rsidRPr="00860784">
        <w:rPr>
          <w:rFonts w:cs="Arial"/>
          <w:b/>
          <w:sz w:val="23"/>
          <w:szCs w:val="23"/>
        </w:rPr>
        <w:t>Da allora però in 3 anni, senza sussidi (a parte il bonus sulle tasse di circolazione introdotto nel 2009 e corretto con il messaggio 6774), le auto elettriche sono cresciute di 2-3 volte per rapporto al numero in circolazione dopo 20 anni di VEL.</w:t>
      </w:r>
    </w:p>
    <w:p w:rsidR="00261FC9" w:rsidRDefault="00261FC9" w:rsidP="00261FC9">
      <w:pPr>
        <w:rPr>
          <w:rFonts w:cs="Arial"/>
          <w:szCs w:val="24"/>
        </w:rPr>
      </w:pPr>
    </w:p>
    <w:p w:rsidR="00860784" w:rsidRDefault="00860784" w:rsidP="00261FC9">
      <w:pPr>
        <w:rPr>
          <w:rFonts w:cs="Arial"/>
          <w:szCs w:val="24"/>
        </w:rPr>
      </w:pPr>
    </w:p>
    <w:p w:rsidR="00261FC9" w:rsidRPr="00514B68" w:rsidRDefault="00261FC9" w:rsidP="00261FC9">
      <w:pPr>
        <w:rPr>
          <w:rFonts w:cs="Arial"/>
          <w:szCs w:val="24"/>
        </w:rPr>
      </w:pPr>
    </w:p>
    <w:p w:rsidR="00261FC9" w:rsidRPr="00514B68" w:rsidRDefault="00261FC9" w:rsidP="00860784">
      <w:pPr>
        <w:pStyle w:val="Titolo1"/>
      </w:pPr>
      <w:r w:rsidRPr="00514B68">
        <w:t>Benefici per il clima?</w:t>
      </w:r>
    </w:p>
    <w:p w:rsidR="00261FC9" w:rsidRDefault="00261FC9" w:rsidP="00261FC9">
      <w:pPr>
        <w:rPr>
          <w:rFonts w:cs="Arial"/>
          <w:szCs w:val="24"/>
        </w:rPr>
      </w:pPr>
      <w:r w:rsidRPr="00514B68">
        <w:rPr>
          <w:rFonts w:cs="Arial"/>
          <w:szCs w:val="24"/>
        </w:rPr>
        <w:t xml:space="preserve">Con il nuovo messaggio da 3 milioni il </w:t>
      </w:r>
      <w:r>
        <w:rPr>
          <w:rFonts w:cs="Arial"/>
          <w:szCs w:val="24"/>
        </w:rPr>
        <w:t xml:space="preserve">Consiglio di Stato </w:t>
      </w:r>
      <w:r w:rsidRPr="00514B68">
        <w:rPr>
          <w:rFonts w:cs="Arial"/>
          <w:szCs w:val="24"/>
        </w:rPr>
        <w:t>propone di  sussidiare per 2</w:t>
      </w:r>
      <w:r>
        <w:rPr>
          <w:rFonts w:cs="Arial"/>
          <w:szCs w:val="24"/>
        </w:rPr>
        <w:t>,</w:t>
      </w:r>
      <w:r w:rsidRPr="00514B68">
        <w:rPr>
          <w:rFonts w:cs="Arial"/>
          <w:szCs w:val="24"/>
        </w:rPr>
        <w:t>5 mio la messa in circolazione in Ticino di circa 1250 auto puramente elettriche. Purtroppo i benefici in termini di diminuzione delle immissioni di CO2 (gas a effetto serra) saranno di nuovo microscopici</w:t>
      </w:r>
      <w:r>
        <w:rPr>
          <w:rFonts w:cs="Arial"/>
          <w:szCs w:val="24"/>
        </w:rPr>
        <w:t>,</w:t>
      </w:r>
      <w:r w:rsidRPr="00514B68">
        <w:rPr>
          <w:rFonts w:cs="Arial"/>
          <w:szCs w:val="24"/>
        </w:rPr>
        <w:t xml:space="preserve"> pur ammettendo che le vetture elettriche siano considerate a zero gCO2/km, per rapporto ad autovetture a 130 gCO2/km </w:t>
      </w:r>
      <w:r>
        <w:rPr>
          <w:rFonts w:cs="Arial"/>
          <w:szCs w:val="24"/>
        </w:rPr>
        <w:t>(</w:t>
      </w:r>
      <w:r w:rsidRPr="00514B68">
        <w:rPr>
          <w:rFonts w:cs="Arial"/>
          <w:szCs w:val="24"/>
        </w:rPr>
        <w:t>media nuove immatricolazioni 2017</w:t>
      </w:r>
      <w:r>
        <w:rPr>
          <w:rFonts w:cs="Arial"/>
          <w:szCs w:val="24"/>
        </w:rPr>
        <w:t>).</w:t>
      </w:r>
    </w:p>
    <w:p w:rsidR="00261FC9" w:rsidRPr="00514B68" w:rsidRDefault="00261FC9" w:rsidP="00261FC9">
      <w:pPr>
        <w:rPr>
          <w:rFonts w:cs="Arial"/>
          <w:szCs w:val="24"/>
        </w:rPr>
      </w:pPr>
    </w:p>
    <w:p w:rsidR="00261FC9" w:rsidRDefault="00261FC9" w:rsidP="00261FC9">
      <w:pPr>
        <w:rPr>
          <w:rFonts w:cs="Arial"/>
          <w:szCs w:val="24"/>
        </w:rPr>
      </w:pPr>
      <w:r w:rsidRPr="00514B68">
        <w:rPr>
          <w:rFonts w:cs="Arial"/>
          <w:szCs w:val="24"/>
        </w:rPr>
        <w:t>Se poi</w:t>
      </w:r>
      <w:r>
        <w:rPr>
          <w:rFonts w:cs="Arial"/>
          <w:szCs w:val="24"/>
        </w:rPr>
        <w:t>,</w:t>
      </w:r>
      <w:r w:rsidRPr="00514B68">
        <w:rPr>
          <w:rFonts w:cs="Arial"/>
          <w:szCs w:val="24"/>
        </w:rPr>
        <w:t xml:space="preserve"> come esposto sopra</w:t>
      </w:r>
      <w:r>
        <w:rPr>
          <w:rFonts w:cs="Arial"/>
          <w:szCs w:val="24"/>
        </w:rPr>
        <w:t>,</w:t>
      </w:r>
      <w:r w:rsidRPr="00514B68">
        <w:rPr>
          <w:rFonts w:cs="Arial"/>
          <w:szCs w:val="24"/>
        </w:rPr>
        <w:t xml:space="preserve"> consideriamo che sicuramente più della metà di queste auto verrebbero acquistate </w:t>
      </w:r>
      <w:r>
        <w:rPr>
          <w:rFonts w:cs="Arial"/>
          <w:szCs w:val="24"/>
        </w:rPr>
        <w:t>anche senza sussidi (</w:t>
      </w:r>
      <w:r w:rsidRPr="00514B68">
        <w:rPr>
          <w:rFonts w:cs="Arial"/>
          <w:szCs w:val="24"/>
        </w:rPr>
        <w:t>vedi evoluzione immatricolazioni 2015, 2016,</w:t>
      </w:r>
      <w:r>
        <w:rPr>
          <w:rFonts w:cs="Arial"/>
          <w:szCs w:val="24"/>
        </w:rPr>
        <w:t xml:space="preserve"> </w:t>
      </w:r>
      <w:r w:rsidRPr="00514B68">
        <w:rPr>
          <w:rFonts w:cs="Arial"/>
          <w:szCs w:val="24"/>
        </w:rPr>
        <w:t>2017,</w:t>
      </w:r>
      <w:r>
        <w:rPr>
          <w:rFonts w:cs="Arial"/>
          <w:szCs w:val="24"/>
        </w:rPr>
        <w:t xml:space="preserve"> </w:t>
      </w:r>
      <w:r w:rsidRPr="00514B68">
        <w:rPr>
          <w:rFonts w:cs="Arial"/>
          <w:szCs w:val="24"/>
        </w:rPr>
        <w:t>2018) arriviamo a riduzioni di CO2 attorno alle 12mila Ton/anno.</w:t>
      </w:r>
    </w:p>
    <w:p w:rsidR="00261FC9" w:rsidRPr="00514B68" w:rsidRDefault="00261FC9" w:rsidP="00261FC9">
      <w:pPr>
        <w:rPr>
          <w:rFonts w:cs="Arial"/>
          <w:szCs w:val="24"/>
        </w:rPr>
      </w:pPr>
    </w:p>
    <w:p w:rsidR="00261FC9" w:rsidRDefault="00261FC9" w:rsidP="00261FC9">
      <w:pPr>
        <w:rPr>
          <w:rFonts w:cs="Arial"/>
          <w:szCs w:val="24"/>
        </w:rPr>
      </w:pPr>
      <w:r w:rsidRPr="00514B68">
        <w:rPr>
          <w:rFonts w:cs="Arial"/>
          <w:szCs w:val="24"/>
        </w:rPr>
        <w:t>Se aggiungiamo che la produzione della batteria di un’auto elettrica genera ancora importanti quantitativi di CO2 e che in Svizzera si consuma anche energia elettrica prodotta da impianti a carbone (mix energetico SES 40% non certificato)</w:t>
      </w:r>
      <w:r>
        <w:rPr>
          <w:rFonts w:cs="Arial"/>
          <w:szCs w:val="24"/>
        </w:rPr>
        <w:t>,</w:t>
      </w:r>
      <w:r w:rsidRPr="00514B68">
        <w:rPr>
          <w:rFonts w:cs="Arial"/>
          <w:szCs w:val="24"/>
        </w:rPr>
        <w:t xml:space="preserve"> vediamo che l’impatto del credito di 2.5 mio sul bilancio globale CO2 della mobilità in Ticino è praticamente nullo.</w:t>
      </w:r>
    </w:p>
    <w:p w:rsidR="00261FC9" w:rsidRPr="00514B68" w:rsidRDefault="00261FC9" w:rsidP="00261FC9">
      <w:pPr>
        <w:rPr>
          <w:rFonts w:cs="Arial"/>
          <w:szCs w:val="24"/>
        </w:rPr>
      </w:pPr>
    </w:p>
    <w:p w:rsidR="00261FC9" w:rsidRDefault="00261FC9" w:rsidP="00261FC9">
      <w:pPr>
        <w:rPr>
          <w:rFonts w:cs="Arial"/>
          <w:szCs w:val="24"/>
        </w:rPr>
      </w:pPr>
      <w:r>
        <w:rPr>
          <w:rFonts w:cs="Arial"/>
          <w:szCs w:val="24"/>
        </w:rPr>
        <w:t xml:space="preserve">Purtroppo le automobili </w:t>
      </w:r>
      <w:r w:rsidRPr="00514B68">
        <w:rPr>
          <w:rFonts w:cs="Arial"/>
          <w:szCs w:val="24"/>
        </w:rPr>
        <w:t>elettriche non hanno ancora dato la prova di essere molto migliori dei moderni modelli a combustibili fossili</w:t>
      </w:r>
      <w:r>
        <w:rPr>
          <w:rFonts w:cs="Arial"/>
          <w:szCs w:val="24"/>
        </w:rPr>
        <w:t>,</w:t>
      </w:r>
      <w:r w:rsidRPr="00514B68">
        <w:rPr>
          <w:rFonts w:cs="Arial"/>
          <w:szCs w:val="24"/>
        </w:rPr>
        <w:t xml:space="preserve"> in particolare per quanto riguarda l’energia necessaria per la produzione degli accumulatori al litio e di quella necessaria alla ricarica</w:t>
      </w:r>
      <w:r>
        <w:rPr>
          <w:rFonts w:cs="Arial"/>
          <w:szCs w:val="24"/>
        </w:rPr>
        <w:t>,</w:t>
      </w:r>
      <w:r w:rsidRPr="00514B68">
        <w:rPr>
          <w:rFonts w:cs="Arial"/>
          <w:szCs w:val="24"/>
        </w:rPr>
        <w:t xml:space="preserve"> quando sappiamo che nel mix elettrico europeo c’è ancora molto carbone e in svizzera nucleare. Un</w:t>
      </w:r>
      <w:r>
        <w:rPr>
          <w:rFonts w:cs="Arial"/>
          <w:szCs w:val="24"/>
        </w:rPr>
        <w:t>’</w:t>
      </w:r>
      <w:r w:rsidRPr="00514B68">
        <w:rPr>
          <w:rFonts w:cs="Arial"/>
          <w:szCs w:val="24"/>
        </w:rPr>
        <w:t>auto elettrica con il mix europeo produce 90 gCO2/km.</w:t>
      </w:r>
    </w:p>
    <w:p w:rsidR="00261FC9" w:rsidRPr="00514B68" w:rsidRDefault="00261FC9" w:rsidP="00261FC9">
      <w:pPr>
        <w:rPr>
          <w:rFonts w:cs="Arial"/>
          <w:szCs w:val="24"/>
        </w:rPr>
      </w:pPr>
    </w:p>
    <w:p w:rsidR="00261FC9" w:rsidRPr="00514B68" w:rsidRDefault="00261FC9" w:rsidP="00261FC9">
      <w:pPr>
        <w:spacing w:after="120"/>
        <w:rPr>
          <w:rFonts w:cs="Arial"/>
          <w:szCs w:val="24"/>
        </w:rPr>
      </w:pPr>
      <w:r w:rsidRPr="00514B68">
        <w:rPr>
          <w:rFonts w:cs="Arial"/>
          <w:szCs w:val="24"/>
        </w:rPr>
        <w:t xml:space="preserve">Lo studio comparativo EMPA e Paul </w:t>
      </w:r>
      <w:proofErr w:type="spellStart"/>
      <w:r w:rsidRPr="00514B68">
        <w:rPr>
          <w:rFonts w:cs="Arial"/>
          <w:szCs w:val="24"/>
        </w:rPr>
        <w:t>Scherrer</w:t>
      </w:r>
      <w:proofErr w:type="spellEnd"/>
      <w:r w:rsidRPr="00514B68">
        <w:rPr>
          <w:rFonts w:cs="Arial"/>
          <w:szCs w:val="24"/>
        </w:rPr>
        <w:t xml:space="preserve"> </w:t>
      </w:r>
      <w:proofErr w:type="spellStart"/>
      <w:r w:rsidRPr="00514B68">
        <w:rPr>
          <w:rFonts w:cs="Arial"/>
          <w:szCs w:val="24"/>
        </w:rPr>
        <w:t>Institut</w:t>
      </w:r>
      <w:proofErr w:type="spellEnd"/>
      <w:r w:rsidRPr="00514B68">
        <w:rPr>
          <w:rFonts w:cs="Arial"/>
          <w:szCs w:val="24"/>
        </w:rPr>
        <w:t xml:space="preserve"> lo conferma</w:t>
      </w:r>
      <w:r>
        <w:rPr>
          <w:rFonts w:cs="Arial"/>
          <w:szCs w:val="24"/>
        </w:rPr>
        <w:t>,</w:t>
      </w:r>
      <w:r w:rsidRPr="00514B68">
        <w:rPr>
          <w:rFonts w:cs="Arial"/>
          <w:szCs w:val="24"/>
        </w:rPr>
        <w:t xml:space="preserve"> come pure la fondazione svizzera per l’energia SES.</w:t>
      </w:r>
    </w:p>
    <w:p w:rsidR="00261FC9" w:rsidRPr="00514B68" w:rsidRDefault="00261FC9" w:rsidP="00261FC9">
      <w:pPr>
        <w:spacing w:after="120"/>
        <w:rPr>
          <w:rFonts w:cs="Arial"/>
          <w:i/>
          <w:szCs w:val="24"/>
        </w:rPr>
      </w:pPr>
      <w:r w:rsidRPr="00514B68">
        <w:rPr>
          <w:rFonts w:cs="Arial"/>
          <w:i/>
          <w:szCs w:val="24"/>
        </w:rPr>
        <w:t xml:space="preserve">Il bilancio ambientale dei modelli di automobili elettriche attuali deve essere valutato in modo differenziato. Il confronto di alcuni indicatori ambientali nocivi alla salute dell’uomo e di ecosistemi dimostra che hanno un impatto maggiore per le autovetture elettriche pur alimentate con energia rinnovabile che le autovetture con motore a combustione moderni. </w:t>
      </w:r>
    </w:p>
    <w:p w:rsidR="00261FC9" w:rsidRPr="00B3404F" w:rsidRDefault="00261FC9" w:rsidP="00261FC9">
      <w:pPr>
        <w:autoSpaceDE w:val="0"/>
        <w:autoSpaceDN w:val="0"/>
        <w:adjustRightInd w:val="0"/>
        <w:rPr>
          <w:rFonts w:cs="Arial"/>
          <w:bCs/>
          <w:i/>
          <w:lang w:val="de-DE"/>
        </w:rPr>
      </w:pPr>
      <w:proofErr w:type="spellStart"/>
      <w:r w:rsidRPr="00B3404F">
        <w:rPr>
          <w:rFonts w:cs="Arial"/>
          <w:lang w:val="de-DE"/>
        </w:rPr>
        <w:t>Fonte</w:t>
      </w:r>
      <w:proofErr w:type="spellEnd"/>
      <w:r>
        <w:rPr>
          <w:rFonts w:cs="Arial"/>
          <w:lang w:val="de-DE"/>
        </w:rPr>
        <w:t>:</w:t>
      </w:r>
      <w:r w:rsidRPr="00B3404F">
        <w:rPr>
          <w:rFonts w:cs="Arial"/>
          <w:lang w:val="de-DE"/>
        </w:rPr>
        <w:t xml:space="preserve"> </w:t>
      </w:r>
      <w:r w:rsidRPr="00B3404F">
        <w:rPr>
          <w:rFonts w:cs="Arial"/>
          <w:bCs/>
          <w:i/>
          <w:lang w:val="de-DE"/>
        </w:rPr>
        <w:t>Gegenüberstellung verschiedener aktueller Schweizer Ökobilanzstudien im Bereich Elektromobilität EMPA PSI 2011</w:t>
      </w:r>
    </w:p>
    <w:p w:rsidR="00261FC9" w:rsidRPr="00B3404F" w:rsidRDefault="00261FC9" w:rsidP="00261FC9">
      <w:pPr>
        <w:autoSpaceDE w:val="0"/>
        <w:autoSpaceDN w:val="0"/>
        <w:adjustRightInd w:val="0"/>
        <w:rPr>
          <w:rFonts w:cs="Arial"/>
          <w:bCs/>
          <w:szCs w:val="24"/>
          <w:lang w:val="de-DE"/>
        </w:rPr>
      </w:pPr>
    </w:p>
    <w:p w:rsidR="00261FC9" w:rsidRPr="00261FC9" w:rsidRDefault="00261FC9" w:rsidP="00261FC9">
      <w:pPr>
        <w:rPr>
          <w:rFonts w:cs="Arial"/>
          <w:b/>
          <w:sz w:val="23"/>
          <w:szCs w:val="23"/>
        </w:rPr>
      </w:pPr>
      <w:r w:rsidRPr="00261FC9">
        <w:rPr>
          <w:rFonts w:cs="Arial"/>
          <w:b/>
          <w:sz w:val="23"/>
          <w:szCs w:val="23"/>
        </w:rPr>
        <w:t>La conferma è venuta anche da un recente rapporto dell’Ufficio federale dell’ambiente, che classificava sia l’autovettura a gas sia l’autovettura ibrida migliori in termini di CO2 per rapporto all’autovettura elettrica pura.</w:t>
      </w:r>
    </w:p>
    <w:p w:rsidR="00261FC9" w:rsidRPr="00B3404F" w:rsidRDefault="00261FC9" w:rsidP="00261FC9">
      <w:pPr>
        <w:rPr>
          <w:rFonts w:cs="Arial"/>
          <w:szCs w:val="24"/>
        </w:rPr>
      </w:pPr>
    </w:p>
    <w:p w:rsidR="00261FC9" w:rsidRPr="001D6E9A" w:rsidRDefault="00261FC9" w:rsidP="00261FC9">
      <w:pPr>
        <w:rPr>
          <w:rFonts w:cs="Arial"/>
        </w:rPr>
      </w:pPr>
      <w:r w:rsidRPr="001D6E9A">
        <w:rPr>
          <w:rFonts w:cs="Arial"/>
          <w:noProof/>
          <w:lang w:eastAsia="it-CH"/>
        </w:rPr>
        <w:lastRenderedPageBreak/>
        <w:drawing>
          <wp:inline distT="0" distB="0" distL="0" distR="0" wp14:anchorId="50963A59" wp14:editId="2E493F40">
            <wp:extent cx="6120130" cy="273092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20130" cy="2730926"/>
                    </a:xfrm>
                    <a:prstGeom prst="rect">
                      <a:avLst/>
                    </a:prstGeom>
                    <a:noFill/>
                    <a:ln w="9525">
                      <a:noFill/>
                      <a:miter lim="800000"/>
                      <a:headEnd/>
                      <a:tailEnd/>
                    </a:ln>
                  </pic:spPr>
                </pic:pic>
              </a:graphicData>
            </a:graphic>
          </wp:inline>
        </w:drawing>
      </w:r>
    </w:p>
    <w:p w:rsidR="00261FC9" w:rsidRPr="006235A9" w:rsidRDefault="00261FC9" w:rsidP="00261FC9">
      <w:pPr>
        <w:rPr>
          <w:rFonts w:cs="Arial"/>
          <w:szCs w:val="24"/>
        </w:rPr>
      </w:pPr>
    </w:p>
    <w:p w:rsidR="00261FC9" w:rsidRDefault="00261FC9" w:rsidP="00261FC9">
      <w:pPr>
        <w:rPr>
          <w:rFonts w:cs="Arial"/>
          <w:szCs w:val="24"/>
        </w:rPr>
      </w:pPr>
      <w:r w:rsidRPr="006235A9">
        <w:rPr>
          <w:rFonts w:cs="Arial"/>
          <w:szCs w:val="24"/>
        </w:rPr>
        <w:t xml:space="preserve">Per garantire un tangibile beneficio dell’autovettura elettrica </w:t>
      </w:r>
      <w:r>
        <w:rPr>
          <w:rFonts w:cs="Arial"/>
          <w:szCs w:val="24"/>
        </w:rPr>
        <w:t>per quanto riguarda le</w:t>
      </w:r>
      <w:r w:rsidRPr="006235A9">
        <w:rPr>
          <w:rFonts w:cs="Arial"/>
          <w:szCs w:val="24"/>
        </w:rPr>
        <w:t xml:space="preserve"> emissioni di CO2, oltre a ridurre il carico ambientale della produzione delle batterie, si dovrà eliminare la quota parte di energia elettrica da carbone o altro vettore fossile</w:t>
      </w:r>
      <w:r>
        <w:rPr>
          <w:rFonts w:cs="Arial"/>
          <w:szCs w:val="24"/>
        </w:rPr>
        <w:t>;</w:t>
      </w:r>
      <w:r w:rsidRPr="006235A9">
        <w:rPr>
          <w:rFonts w:cs="Arial"/>
          <w:szCs w:val="24"/>
        </w:rPr>
        <w:t xml:space="preserve"> concretamente l’energia elettrica per la ricarica delle batterie delle automobili elettriche deve essere prodotta da nuovo rinnovabile. </w:t>
      </w:r>
      <w:r>
        <w:rPr>
          <w:rFonts w:cs="Arial"/>
          <w:szCs w:val="24"/>
        </w:rPr>
        <w:t>Queste c</w:t>
      </w:r>
      <w:r w:rsidRPr="006235A9">
        <w:rPr>
          <w:rFonts w:cs="Arial"/>
          <w:szCs w:val="24"/>
        </w:rPr>
        <w:t>ondizioni almeno nei prossimi 3-5 anni non sono affatto garantite</w:t>
      </w:r>
      <w:r>
        <w:rPr>
          <w:rFonts w:cs="Arial"/>
          <w:szCs w:val="24"/>
        </w:rPr>
        <w:t xml:space="preserve">, salvo per stazioni di ricarica </w:t>
      </w:r>
      <w:proofErr w:type="spellStart"/>
      <w:r>
        <w:rPr>
          <w:rFonts w:cs="Arial"/>
          <w:szCs w:val="24"/>
        </w:rPr>
        <w:t>Emoti</w:t>
      </w:r>
      <w:proofErr w:type="spellEnd"/>
      <w:r w:rsidRPr="006235A9">
        <w:rPr>
          <w:rFonts w:cs="Arial"/>
          <w:szCs w:val="24"/>
        </w:rPr>
        <w:t>.</w:t>
      </w:r>
    </w:p>
    <w:p w:rsidR="00261FC9" w:rsidRPr="006235A9" w:rsidRDefault="00261FC9" w:rsidP="00261FC9">
      <w:pPr>
        <w:rPr>
          <w:rFonts w:cs="Arial"/>
          <w:szCs w:val="24"/>
        </w:rPr>
      </w:pPr>
    </w:p>
    <w:p w:rsidR="00261FC9" w:rsidRDefault="00261FC9" w:rsidP="00261FC9">
      <w:pPr>
        <w:rPr>
          <w:rFonts w:cs="Arial"/>
          <w:szCs w:val="24"/>
        </w:rPr>
      </w:pPr>
      <w:r w:rsidRPr="006235A9">
        <w:rPr>
          <w:rFonts w:cs="Arial"/>
          <w:szCs w:val="24"/>
        </w:rPr>
        <w:t>La tipologia di automobili che più si avvicinerà allo zero gCO2/km è l’autovettura a idrogeno o a gas</w:t>
      </w:r>
      <w:r>
        <w:rPr>
          <w:rFonts w:cs="Arial"/>
          <w:szCs w:val="24"/>
        </w:rPr>
        <w:t>,</w:t>
      </w:r>
      <w:r w:rsidRPr="006235A9">
        <w:rPr>
          <w:rFonts w:cs="Arial"/>
          <w:szCs w:val="24"/>
        </w:rPr>
        <w:t xml:space="preserve"> a condizione che l’idrogeno e il gas siano prodotti da fonti rinnovabili (elettricità rinnovabile sia per elettrolisi idrogeno, sia per processo </w:t>
      </w:r>
      <w:proofErr w:type="spellStart"/>
      <w:r w:rsidRPr="006235A9">
        <w:rPr>
          <w:rFonts w:cs="Arial"/>
          <w:szCs w:val="24"/>
        </w:rPr>
        <w:t>power</w:t>
      </w:r>
      <w:proofErr w:type="spellEnd"/>
      <w:r w:rsidRPr="006235A9">
        <w:rPr>
          <w:rFonts w:cs="Arial"/>
          <w:szCs w:val="24"/>
        </w:rPr>
        <w:t xml:space="preserve"> to gas, e biogas).</w:t>
      </w:r>
    </w:p>
    <w:p w:rsidR="00261FC9" w:rsidRDefault="00261FC9" w:rsidP="00261FC9">
      <w:pPr>
        <w:rPr>
          <w:rFonts w:cs="Arial"/>
          <w:szCs w:val="24"/>
        </w:rPr>
      </w:pPr>
    </w:p>
    <w:p w:rsidR="00261FC9" w:rsidRPr="00BE4A81" w:rsidRDefault="00261FC9" w:rsidP="00261FC9">
      <w:pPr>
        <w:rPr>
          <w:rFonts w:cs="Arial"/>
          <w:szCs w:val="24"/>
        </w:rPr>
      </w:pPr>
      <w:r w:rsidRPr="00BE4A81">
        <w:rPr>
          <w:rFonts w:cs="Arial"/>
          <w:szCs w:val="24"/>
        </w:rPr>
        <w:t>La misura più efficace per ridurre le emissioni di CO2 è quella prevista dalla Confederazione con la Strategia energetica 2050, la quale impone agli importatori una media di auto vendute sotto i 95 gCO2/km</w:t>
      </w:r>
      <w:r>
        <w:rPr>
          <w:rFonts w:cs="Arial"/>
          <w:szCs w:val="24"/>
        </w:rPr>
        <w:t xml:space="preserve"> a partire dal </w:t>
      </w:r>
      <w:r w:rsidRPr="00BE4A81">
        <w:rPr>
          <w:rFonts w:cs="Arial"/>
          <w:szCs w:val="24"/>
        </w:rPr>
        <w:t>2020, pena il pagamento di sanzioni.</w:t>
      </w:r>
    </w:p>
    <w:p w:rsidR="00261FC9" w:rsidRDefault="00261FC9" w:rsidP="00261FC9">
      <w:pPr>
        <w:rPr>
          <w:rFonts w:cs="Arial"/>
          <w:szCs w:val="24"/>
        </w:rPr>
      </w:pPr>
    </w:p>
    <w:p w:rsidR="00261FC9" w:rsidRDefault="00261FC9" w:rsidP="00261FC9">
      <w:pPr>
        <w:rPr>
          <w:rFonts w:cs="Arial"/>
          <w:szCs w:val="24"/>
        </w:rPr>
      </w:pPr>
    </w:p>
    <w:p w:rsidR="00261FC9" w:rsidRPr="006235A9" w:rsidRDefault="00261FC9" w:rsidP="00261FC9">
      <w:pPr>
        <w:rPr>
          <w:rFonts w:cs="Arial"/>
          <w:szCs w:val="24"/>
        </w:rPr>
      </w:pPr>
    </w:p>
    <w:p w:rsidR="00261FC9" w:rsidRPr="006235A9" w:rsidRDefault="00261FC9" w:rsidP="00860784">
      <w:pPr>
        <w:pStyle w:val="Titolo1"/>
      </w:pPr>
      <w:r w:rsidRPr="006235A9">
        <w:t>Benefici per la qualità dell’aria in Ticino</w:t>
      </w:r>
    </w:p>
    <w:p w:rsidR="00261FC9" w:rsidRPr="006235A9" w:rsidRDefault="00261FC9" w:rsidP="00261FC9">
      <w:pPr>
        <w:rPr>
          <w:rFonts w:cs="Arial"/>
          <w:szCs w:val="24"/>
        </w:rPr>
      </w:pPr>
      <w:r w:rsidRPr="006235A9">
        <w:rPr>
          <w:rFonts w:cs="Arial"/>
          <w:szCs w:val="24"/>
        </w:rPr>
        <w:t>L’autovettura elettrica per rapporto alle autovetture a combustione interna ha il vantaggio di non produrre ossidi di azoto, polveri sottili, CO, HC, ecc.</w:t>
      </w:r>
    </w:p>
    <w:p w:rsidR="00261FC9" w:rsidRPr="006235A9" w:rsidRDefault="00261FC9" w:rsidP="00261FC9">
      <w:pPr>
        <w:rPr>
          <w:rFonts w:cs="Arial"/>
          <w:szCs w:val="24"/>
        </w:rPr>
      </w:pPr>
    </w:p>
    <w:p w:rsidR="00261FC9" w:rsidRPr="006235A9" w:rsidRDefault="00261FC9" w:rsidP="00261FC9">
      <w:pPr>
        <w:rPr>
          <w:rFonts w:cs="Arial"/>
          <w:szCs w:val="24"/>
        </w:rPr>
      </w:pPr>
      <w:r w:rsidRPr="006235A9">
        <w:rPr>
          <w:rFonts w:cs="Arial"/>
          <w:szCs w:val="24"/>
        </w:rPr>
        <w:t>Con il credito di 2,5 mio, riprendendo le ipotesi precedenti</w:t>
      </w:r>
      <w:r>
        <w:rPr>
          <w:rFonts w:cs="Arial"/>
          <w:szCs w:val="24"/>
        </w:rPr>
        <w:t>,</w:t>
      </w:r>
      <w:r w:rsidRPr="006235A9">
        <w:rPr>
          <w:rFonts w:cs="Arial"/>
          <w:szCs w:val="24"/>
        </w:rPr>
        <w:t xml:space="preserve"> verranno messe in circolazione in Ticino circa 300 a 600 autovetture elettriche al posto di autovetture a combustione interna.</w:t>
      </w:r>
    </w:p>
    <w:p w:rsidR="00261FC9" w:rsidRPr="006235A9" w:rsidRDefault="00261FC9" w:rsidP="00261FC9">
      <w:pPr>
        <w:rPr>
          <w:rFonts w:cs="Arial"/>
          <w:szCs w:val="24"/>
        </w:rPr>
      </w:pPr>
    </w:p>
    <w:p w:rsidR="00261FC9" w:rsidRDefault="00261FC9" w:rsidP="00261FC9">
      <w:pPr>
        <w:rPr>
          <w:rFonts w:cs="Arial"/>
          <w:szCs w:val="24"/>
        </w:rPr>
      </w:pPr>
      <w:r w:rsidRPr="006235A9">
        <w:rPr>
          <w:rFonts w:cs="Arial"/>
          <w:szCs w:val="24"/>
        </w:rPr>
        <w:t>Il carico inquinante delle nuove autovetture Euro6 è nettamente migliorato per rapporto al passato</w:t>
      </w:r>
      <w:r>
        <w:rPr>
          <w:rFonts w:cs="Arial"/>
          <w:szCs w:val="24"/>
        </w:rPr>
        <w:t>. Queste</w:t>
      </w:r>
      <w:r w:rsidRPr="006235A9">
        <w:rPr>
          <w:rFonts w:cs="Arial"/>
          <w:szCs w:val="24"/>
        </w:rPr>
        <w:t xml:space="preserve"> autovetture </w:t>
      </w:r>
      <w:r>
        <w:rPr>
          <w:rFonts w:cs="Arial"/>
          <w:szCs w:val="24"/>
        </w:rPr>
        <w:t>continueranno a</w:t>
      </w:r>
      <w:r w:rsidRPr="006235A9">
        <w:rPr>
          <w:rFonts w:cs="Arial"/>
          <w:szCs w:val="24"/>
        </w:rPr>
        <w:t xml:space="preserve"> essere vendute ed immatricolate in grandi quantità e sostituiranno in gran parte vetture di vecchia generazione con importanti diminuzioni delle immissioni di particolato e ossidi di azoto (vedi diesel).</w:t>
      </w:r>
    </w:p>
    <w:p w:rsidR="00860784" w:rsidRPr="006235A9" w:rsidRDefault="00860784" w:rsidP="00261FC9">
      <w:pPr>
        <w:rPr>
          <w:rFonts w:cs="Arial"/>
          <w:szCs w:val="24"/>
        </w:rPr>
      </w:pPr>
    </w:p>
    <w:p w:rsidR="00261FC9" w:rsidRDefault="00261FC9" w:rsidP="00261FC9">
      <w:pPr>
        <w:rPr>
          <w:rFonts w:cs="Arial"/>
          <w:szCs w:val="24"/>
        </w:rPr>
      </w:pPr>
      <w:r>
        <w:rPr>
          <w:rFonts w:cs="Arial"/>
          <w:szCs w:val="24"/>
        </w:rPr>
        <w:br w:type="page"/>
      </w:r>
    </w:p>
    <w:tbl>
      <w:tblPr>
        <w:tblStyle w:val="Grigliatabella"/>
        <w:tblW w:w="0" w:type="auto"/>
        <w:tblLook w:val="04A0" w:firstRow="1" w:lastRow="0" w:firstColumn="1" w:lastColumn="0" w:noHBand="0" w:noVBand="1"/>
      </w:tblPr>
      <w:tblGrid>
        <w:gridCol w:w="1998"/>
        <w:gridCol w:w="2008"/>
        <w:gridCol w:w="1886"/>
        <w:gridCol w:w="1995"/>
        <w:gridCol w:w="1967"/>
      </w:tblGrid>
      <w:tr w:rsidR="00261FC9" w:rsidRPr="00261FC9" w:rsidTr="003B0568">
        <w:tc>
          <w:tcPr>
            <w:tcW w:w="9854" w:type="dxa"/>
            <w:gridSpan w:val="5"/>
          </w:tcPr>
          <w:p w:rsidR="00261FC9" w:rsidRPr="00261FC9" w:rsidRDefault="00261FC9" w:rsidP="00860784">
            <w:pPr>
              <w:spacing w:before="20" w:after="20"/>
              <w:rPr>
                <w:rFonts w:cs="Arial"/>
                <w:b/>
                <w:sz w:val="22"/>
              </w:rPr>
            </w:pPr>
            <w:r w:rsidRPr="00261FC9">
              <w:rPr>
                <w:rFonts w:cs="Arial"/>
                <w:b/>
                <w:sz w:val="22"/>
              </w:rPr>
              <w:lastRenderedPageBreak/>
              <w:t>Valori limite emissioni veicoli nuovi motore a Benzina</w:t>
            </w:r>
          </w:p>
        </w:tc>
      </w:tr>
      <w:tr w:rsidR="00261FC9" w:rsidRPr="00261FC9" w:rsidTr="003B0568">
        <w:tc>
          <w:tcPr>
            <w:tcW w:w="1998" w:type="dxa"/>
          </w:tcPr>
          <w:p w:rsidR="00261FC9" w:rsidRPr="00261FC9" w:rsidRDefault="00261FC9" w:rsidP="00860784">
            <w:pPr>
              <w:spacing w:before="20" w:after="20"/>
              <w:rPr>
                <w:rFonts w:cs="Arial"/>
                <w:sz w:val="22"/>
              </w:rPr>
            </w:pP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Anno</w:t>
            </w:r>
          </w:p>
        </w:tc>
        <w:tc>
          <w:tcPr>
            <w:tcW w:w="1886" w:type="dxa"/>
          </w:tcPr>
          <w:p w:rsidR="00261FC9" w:rsidRPr="00261FC9" w:rsidRDefault="00261FC9" w:rsidP="00860784">
            <w:pPr>
              <w:spacing w:before="20" w:after="20"/>
              <w:ind w:right="289"/>
              <w:jc w:val="right"/>
              <w:rPr>
                <w:rFonts w:cs="Arial"/>
                <w:sz w:val="22"/>
              </w:rPr>
            </w:pPr>
            <w:r w:rsidRPr="00261FC9">
              <w:rPr>
                <w:rFonts w:cs="Arial"/>
                <w:sz w:val="22"/>
              </w:rPr>
              <w:t>NOX</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HC+ NOX</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PM</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1</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1/92</w:t>
            </w:r>
          </w:p>
        </w:tc>
        <w:tc>
          <w:tcPr>
            <w:tcW w:w="1886" w:type="dxa"/>
          </w:tcPr>
          <w:p w:rsidR="00261FC9" w:rsidRPr="00261FC9" w:rsidRDefault="00261FC9" w:rsidP="00860784">
            <w:pPr>
              <w:spacing w:before="20" w:after="20"/>
              <w:ind w:right="289"/>
              <w:jc w:val="right"/>
              <w:rPr>
                <w:rFonts w:cs="Arial"/>
                <w:sz w:val="22"/>
              </w:rPr>
            </w:pPr>
            <w:r w:rsidRPr="00261FC9">
              <w:rPr>
                <w:rFonts w:cs="Arial"/>
                <w:sz w:val="22"/>
              </w:rPr>
              <w:t>-</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0.97</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2</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1/97</w:t>
            </w:r>
          </w:p>
        </w:tc>
        <w:tc>
          <w:tcPr>
            <w:tcW w:w="1886" w:type="dxa"/>
          </w:tcPr>
          <w:p w:rsidR="00261FC9" w:rsidRPr="00261FC9" w:rsidRDefault="00261FC9" w:rsidP="00860784">
            <w:pPr>
              <w:spacing w:before="20" w:after="20"/>
              <w:ind w:right="289"/>
              <w:jc w:val="right"/>
              <w:rPr>
                <w:rFonts w:cs="Arial"/>
                <w:sz w:val="22"/>
              </w:rPr>
            </w:pPr>
            <w:r w:rsidRPr="00261FC9">
              <w:rPr>
                <w:rFonts w:cs="Arial"/>
                <w:sz w:val="22"/>
              </w:rPr>
              <w:t>-</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0.50</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3</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1/00</w:t>
            </w:r>
          </w:p>
        </w:tc>
        <w:tc>
          <w:tcPr>
            <w:tcW w:w="1886" w:type="dxa"/>
          </w:tcPr>
          <w:p w:rsidR="00261FC9" w:rsidRPr="00261FC9" w:rsidRDefault="00261FC9" w:rsidP="00860784">
            <w:pPr>
              <w:spacing w:before="20" w:after="20"/>
              <w:ind w:right="289"/>
              <w:jc w:val="right"/>
              <w:rPr>
                <w:rFonts w:cs="Arial"/>
                <w:sz w:val="22"/>
              </w:rPr>
            </w:pPr>
            <w:r w:rsidRPr="00261FC9">
              <w:rPr>
                <w:rFonts w:cs="Arial"/>
                <w:sz w:val="22"/>
              </w:rPr>
              <w:t>0.15</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4</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1/05</w:t>
            </w:r>
          </w:p>
        </w:tc>
        <w:tc>
          <w:tcPr>
            <w:tcW w:w="1886" w:type="dxa"/>
          </w:tcPr>
          <w:p w:rsidR="00261FC9" w:rsidRPr="00261FC9" w:rsidRDefault="00261FC9" w:rsidP="00860784">
            <w:pPr>
              <w:spacing w:before="20" w:after="20"/>
              <w:ind w:right="289"/>
              <w:jc w:val="right"/>
              <w:rPr>
                <w:rFonts w:cs="Arial"/>
                <w:sz w:val="22"/>
              </w:rPr>
            </w:pPr>
            <w:r w:rsidRPr="00261FC9">
              <w:rPr>
                <w:rFonts w:cs="Arial"/>
                <w:sz w:val="22"/>
              </w:rPr>
              <w:t>0.08</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5</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9/09</w:t>
            </w:r>
          </w:p>
        </w:tc>
        <w:tc>
          <w:tcPr>
            <w:tcW w:w="1886" w:type="dxa"/>
          </w:tcPr>
          <w:p w:rsidR="00261FC9" w:rsidRPr="00261FC9" w:rsidRDefault="00261FC9" w:rsidP="00860784">
            <w:pPr>
              <w:spacing w:before="20" w:after="20"/>
              <w:ind w:right="289"/>
              <w:jc w:val="right"/>
              <w:rPr>
                <w:rFonts w:cs="Arial"/>
                <w:sz w:val="22"/>
              </w:rPr>
            </w:pPr>
            <w:r w:rsidRPr="00261FC9">
              <w:rPr>
                <w:rFonts w:cs="Arial"/>
                <w:sz w:val="22"/>
              </w:rPr>
              <w:t>0.06</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0.005</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6</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8/14</w:t>
            </w:r>
          </w:p>
        </w:tc>
        <w:tc>
          <w:tcPr>
            <w:tcW w:w="1886" w:type="dxa"/>
          </w:tcPr>
          <w:p w:rsidR="00261FC9" w:rsidRPr="00261FC9" w:rsidRDefault="00261FC9" w:rsidP="00860784">
            <w:pPr>
              <w:spacing w:before="20" w:after="20"/>
              <w:ind w:right="289"/>
              <w:jc w:val="right"/>
              <w:rPr>
                <w:rFonts w:cs="Arial"/>
                <w:sz w:val="22"/>
              </w:rPr>
            </w:pPr>
            <w:r w:rsidRPr="00261FC9">
              <w:rPr>
                <w:rFonts w:cs="Arial"/>
                <w:sz w:val="22"/>
              </w:rPr>
              <w:t>0.06</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0.005</w:t>
            </w:r>
          </w:p>
        </w:tc>
      </w:tr>
    </w:tbl>
    <w:p w:rsidR="00261FC9" w:rsidRPr="001D6E9A" w:rsidRDefault="00261FC9" w:rsidP="00261FC9">
      <w:pPr>
        <w:rPr>
          <w:rFonts w:cs="Arial"/>
        </w:rPr>
      </w:pPr>
    </w:p>
    <w:tbl>
      <w:tblPr>
        <w:tblStyle w:val="Grigliatabella"/>
        <w:tblW w:w="0" w:type="auto"/>
        <w:tblLook w:val="04A0" w:firstRow="1" w:lastRow="0" w:firstColumn="1" w:lastColumn="0" w:noHBand="0" w:noVBand="1"/>
      </w:tblPr>
      <w:tblGrid>
        <w:gridCol w:w="1998"/>
        <w:gridCol w:w="2008"/>
        <w:gridCol w:w="1886"/>
        <w:gridCol w:w="1995"/>
        <w:gridCol w:w="1967"/>
      </w:tblGrid>
      <w:tr w:rsidR="00261FC9" w:rsidRPr="00261FC9" w:rsidTr="003B0568">
        <w:tc>
          <w:tcPr>
            <w:tcW w:w="9854" w:type="dxa"/>
            <w:gridSpan w:val="5"/>
          </w:tcPr>
          <w:p w:rsidR="00261FC9" w:rsidRPr="00261FC9" w:rsidRDefault="00261FC9" w:rsidP="00860784">
            <w:pPr>
              <w:spacing w:before="20" w:after="20"/>
              <w:rPr>
                <w:rFonts w:cs="Arial"/>
                <w:b/>
                <w:sz w:val="22"/>
              </w:rPr>
            </w:pPr>
            <w:r w:rsidRPr="00261FC9">
              <w:rPr>
                <w:rFonts w:cs="Arial"/>
                <w:b/>
                <w:sz w:val="22"/>
              </w:rPr>
              <w:t>Valori limite emissioni veicoli nuovi motore a Diesel</w:t>
            </w:r>
          </w:p>
        </w:tc>
      </w:tr>
      <w:tr w:rsidR="00261FC9" w:rsidRPr="00261FC9" w:rsidTr="003B0568">
        <w:tc>
          <w:tcPr>
            <w:tcW w:w="1998" w:type="dxa"/>
          </w:tcPr>
          <w:p w:rsidR="00261FC9" w:rsidRPr="00261FC9" w:rsidRDefault="00261FC9" w:rsidP="00860784">
            <w:pPr>
              <w:spacing w:before="20" w:after="20"/>
              <w:rPr>
                <w:rFonts w:cs="Arial"/>
                <w:sz w:val="22"/>
              </w:rPr>
            </w:pP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Anno</w:t>
            </w:r>
          </w:p>
        </w:tc>
        <w:tc>
          <w:tcPr>
            <w:tcW w:w="1886" w:type="dxa"/>
          </w:tcPr>
          <w:p w:rsidR="00261FC9" w:rsidRPr="00261FC9" w:rsidRDefault="00261FC9" w:rsidP="00860784">
            <w:pPr>
              <w:spacing w:before="20" w:after="20"/>
              <w:ind w:right="147"/>
              <w:jc w:val="right"/>
              <w:rPr>
                <w:rFonts w:cs="Arial"/>
                <w:sz w:val="22"/>
              </w:rPr>
            </w:pPr>
            <w:r w:rsidRPr="00261FC9">
              <w:rPr>
                <w:rFonts w:cs="Arial"/>
                <w:sz w:val="22"/>
              </w:rPr>
              <w:t>NOX</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HC+ NOX</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PM</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1</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1/92</w:t>
            </w:r>
          </w:p>
        </w:tc>
        <w:tc>
          <w:tcPr>
            <w:tcW w:w="1886" w:type="dxa"/>
          </w:tcPr>
          <w:p w:rsidR="00261FC9" w:rsidRPr="00261FC9" w:rsidRDefault="00261FC9" w:rsidP="00860784">
            <w:pPr>
              <w:spacing w:before="20" w:after="20"/>
              <w:ind w:right="147"/>
              <w:jc w:val="right"/>
              <w:rPr>
                <w:rFonts w:cs="Arial"/>
                <w:sz w:val="22"/>
              </w:rPr>
            </w:pPr>
            <w:r w:rsidRPr="00261FC9">
              <w:rPr>
                <w:rFonts w:cs="Arial"/>
                <w:sz w:val="22"/>
              </w:rPr>
              <w:t>-</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1.13</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0.14</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2</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1/96</w:t>
            </w:r>
          </w:p>
        </w:tc>
        <w:tc>
          <w:tcPr>
            <w:tcW w:w="1886" w:type="dxa"/>
          </w:tcPr>
          <w:p w:rsidR="00261FC9" w:rsidRPr="00261FC9" w:rsidRDefault="00261FC9" w:rsidP="00860784">
            <w:pPr>
              <w:spacing w:before="20" w:after="20"/>
              <w:ind w:right="147"/>
              <w:jc w:val="right"/>
              <w:rPr>
                <w:rFonts w:cs="Arial"/>
                <w:sz w:val="22"/>
              </w:rPr>
            </w:pPr>
            <w:r w:rsidRPr="00261FC9">
              <w:rPr>
                <w:rFonts w:cs="Arial"/>
                <w:sz w:val="22"/>
              </w:rPr>
              <w:t>0.55</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0.70</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0.08</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3</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1/00</w:t>
            </w:r>
          </w:p>
        </w:tc>
        <w:tc>
          <w:tcPr>
            <w:tcW w:w="1886" w:type="dxa"/>
          </w:tcPr>
          <w:p w:rsidR="00261FC9" w:rsidRPr="00261FC9" w:rsidRDefault="00261FC9" w:rsidP="00860784">
            <w:pPr>
              <w:spacing w:before="20" w:after="20"/>
              <w:ind w:right="147"/>
              <w:jc w:val="right"/>
              <w:rPr>
                <w:rFonts w:cs="Arial"/>
                <w:sz w:val="22"/>
              </w:rPr>
            </w:pPr>
            <w:r w:rsidRPr="00261FC9">
              <w:rPr>
                <w:rFonts w:cs="Arial"/>
                <w:sz w:val="22"/>
              </w:rPr>
              <w:t>0.5</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0.56</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0.05</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4</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1/05</w:t>
            </w:r>
          </w:p>
        </w:tc>
        <w:tc>
          <w:tcPr>
            <w:tcW w:w="1886" w:type="dxa"/>
          </w:tcPr>
          <w:p w:rsidR="00261FC9" w:rsidRPr="00261FC9" w:rsidRDefault="00261FC9" w:rsidP="00860784">
            <w:pPr>
              <w:spacing w:before="20" w:after="20"/>
              <w:ind w:right="147"/>
              <w:jc w:val="right"/>
              <w:rPr>
                <w:rFonts w:cs="Arial"/>
                <w:sz w:val="22"/>
              </w:rPr>
            </w:pPr>
            <w:r w:rsidRPr="00261FC9">
              <w:rPr>
                <w:rFonts w:cs="Arial"/>
                <w:sz w:val="22"/>
              </w:rPr>
              <w:t>0.25</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0.30</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0.05</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5</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9/09</w:t>
            </w:r>
          </w:p>
        </w:tc>
        <w:tc>
          <w:tcPr>
            <w:tcW w:w="1886" w:type="dxa"/>
          </w:tcPr>
          <w:p w:rsidR="00261FC9" w:rsidRPr="00261FC9" w:rsidRDefault="00261FC9" w:rsidP="00860784">
            <w:pPr>
              <w:spacing w:before="20" w:after="20"/>
              <w:ind w:right="147"/>
              <w:jc w:val="right"/>
              <w:rPr>
                <w:rFonts w:cs="Arial"/>
                <w:sz w:val="22"/>
              </w:rPr>
            </w:pPr>
            <w:r w:rsidRPr="00261FC9">
              <w:rPr>
                <w:rFonts w:cs="Arial"/>
                <w:sz w:val="22"/>
              </w:rPr>
              <w:t>0.18</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0.23</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0.005</w:t>
            </w:r>
          </w:p>
        </w:tc>
      </w:tr>
      <w:tr w:rsidR="00261FC9" w:rsidRPr="00261FC9" w:rsidTr="003B0568">
        <w:tc>
          <w:tcPr>
            <w:tcW w:w="1998" w:type="dxa"/>
          </w:tcPr>
          <w:p w:rsidR="00261FC9" w:rsidRPr="00261FC9" w:rsidRDefault="00261FC9" w:rsidP="00860784">
            <w:pPr>
              <w:spacing w:before="20" w:after="20"/>
              <w:rPr>
                <w:rFonts w:cs="Arial"/>
                <w:sz w:val="22"/>
              </w:rPr>
            </w:pPr>
            <w:r w:rsidRPr="00261FC9">
              <w:rPr>
                <w:rFonts w:cs="Arial"/>
                <w:sz w:val="22"/>
              </w:rPr>
              <w:t>Euro 6</w:t>
            </w:r>
          </w:p>
        </w:tc>
        <w:tc>
          <w:tcPr>
            <w:tcW w:w="2008" w:type="dxa"/>
          </w:tcPr>
          <w:p w:rsidR="00261FC9" w:rsidRPr="00261FC9" w:rsidRDefault="00261FC9" w:rsidP="00860784">
            <w:pPr>
              <w:spacing w:before="20" w:after="20"/>
              <w:ind w:right="246"/>
              <w:jc w:val="right"/>
              <w:rPr>
                <w:rFonts w:cs="Arial"/>
                <w:sz w:val="22"/>
              </w:rPr>
            </w:pPr>
            <w:r w:rsidRPr="00261FC9">
              <w:rPr>
                <w:rFonts w:cs="Arial"/>
                <w:sz w:val="22"/>
              </w:rPr>
              <w:t>8/14</w:t>
            </w:r>
          </w:p>
        </w:tc>
        <w:tc>
          <w:tcPr>
            <w:tcW w:w="1886" w:type="dxa"/>
          </w:tcPr>
          <w:p w:rsidR="00261FC9" w:rsidRPr="00261FC9" w:rsidRDefault="00261FC9" w:rsidP="00860784">
            <w:pPr>
              <w:spacing w:before="20" w:after="20"/>
              <w:ind w:right="147"/>
              <w:jc w:val="right"/>
              <w:rPr>
                <w:rFonts w:cs="Arial"/>
                <w:sz w:val="22"/>
              </w:rPr>
            </w:pPr>
            <w:r w:rsidRPr="00261FC9">
              <w:rPr>
                <w:rFonts w:cs="Arial"/>
                <w:sz w:val="22"/>
              </w:rPr>
              <w:t>0.08</w:t>
            </w:r>
          </w:p>
        </w:tc>
        <w:tc>
          <w:tcPr>
            <w:tcW w:w="1995" w:type="dxa"/>
          </w:tcPr>
          <w:p w:rsidR="00261FC9" w:rsidRPr="00261FC9" w:rsidRDefault="00261FC9" w:rsidP="00860784">
            <w:pPr>
              <w:spacing w:before="20" w:after="20"/>
              <w:ind w:right="158"/>
              <w:jc w:val="right"/>
              <w:rPr>
                <w:rFonts w:cs="Arial"/>
                <w:sz w:val="22"/>
              </w:rPr>
            </w:pPr>
            <w:r w:rsidRPr="00261FC9">
              <w:rPr>
                <w:rFonts w:cs="Arial"/>
                <w:sz w:val="22"/>
              </w:rPr>
              <w:t>0.17</w:t>
            </w:r>
          </w:p>
        </w:tc>
        <w:tc>
          <w:tcPr>
            <w:tcW w:w="1967" w:type="dxa"/>
          </w:tcPr>
          <w:p w:rsidR="00261FC9" w:rsidRPr="00261FC9" w:rsidRDefault="00261FC9" w:rsidP="00860784">
            <w:pPr>
              <w:spacing w:before="20" w:after="20"/>
              <w:ind w:right="282"/>
              <w:jc w:val="right"/>
              <w:rPr>
                <w:rFonts w:cs="Arial"/>
                <w:sz w:val="22"/>
              </w:rPr>
            </w:pPr>
            <w:r w:rsidRPr="00261FC9">
              <w:rPr>
                <w:rFonts w:cs="Arial"/>
                <w:sz w:val="22"/>
              </w:rPr>
              <w:t>0.005</w:t>
            </w:r>
          </w:p>
        </w:tc>
      </w:tr>
    </w:tbl>
    <w:p w:rsidR="00261FC9" w:rsidRPr="006235A9" w:rsidRDefault="00261FC9" w:rsidP="00261FC9">
      <w:pPr>
        <w:rPr>
          <w:rFonts w:cs="Arial"/>
          <w:szCs w:val="24"/>
        </w:rPr>
      </w:pPr>
    </w:p>
    <w:p w:rsidR="00261FC9" w:rsidRPr="006235A9" w:rsidRDefault="00261FC9" w:rsidP="00261FC9">
      <w:pPr>
        <w:rPr>
          <w:rFonts w:cs="Arial"/>
          <w:szCs w:val="24"/>
        </w:rPr>
      </w:pPr>
      <w:r w:rsidRPr="006235A9">
        <w:rPr>
          <w:rFonts w:cs="Arial"/>
          <w:szCs w:val="24"/>
        </w:rPr>
        <w:t xml:space="preserve">Ogni anno in Ticino </w:t>
      </w:r>
      <w:r>
        <w:rPr>
          <w:rFonts w:cs="Arial"/>
          <w:szCs w:val="24"/>
        </w:rPr>
        <w:t>avvengono</w:t>
      </w:r>
      <w:r w:rsidRPr="006235A9">
        <w:rPr>
          <w:rFonts w:cs="Arial"/>
          <w:szCs w:val="24"/>
        </w:rPr>
        <w:t xml:space="preserve"> circa 20’000 nuove immatricolazioni di nuove automobili</w:t>
      </w:r>
      <w:r>
        <w:rPr>
          <w:rFonts w:cs="Arial"/>
          <w:szCs w:val="24"/>
        </w:rPr>
        <w:t>,</w:t>
      </w:r>
      <w:r w:rsidRPr="006235A9">
        <w:rPr>
          <w:rFonts w:cs="Arial"/>
          <w:szCs w:val="24"/>
        </w:rPr>
        <w:t xml:space="preserve"> </w:t>
      </w:r>
      <w:r>
        <w:rPr>
          <w:rFonts w:cs="Arial"/>
          <w:szCs w:val="24"/>
        </w:rPr>
        <w:t xml:space="preserve">mentre </w:t>
      </w:r>
      <w:r w:rsidRPr="006235A9">
        <w:rPr>
          <w:rFonts w:cs="Arial"/>
          <w:szCs w:val="24"/>
        </w:rPr>
        <w:t xml:space="preserve">circa 18’000 </w:t>
      </w:r>
      <w:r>
        <w:rPr>
          <w:rFonts w:cs="Arial"/>
          <w:szCs w:val="24"/>
        </w:rPr>
        <w:t xml:space="preserve">auto </w:t>
      </w:r>
      <w:r w:rsidRPr="006235A9">
        <w:rPr>
          <w:rFonts w:cs="Arial"/>
          <w:szCs w:val="24"/>
        </w:rPr>
        <w:t>datate vengono tolte dalla circolazione.</w:t>
      </w:r>
    </w:p>
    <w:p w:rsidR="00261FC9" w:rsidRPr="00860784" w:rsidRDefault="00261FC9" w:rsidP="00261FC9">
      <w:pPr>
        <w:rPr>
          <w:rFonts w:cs="Arial"/>
          <w:sz w:val="18"/>
          <w:szCs w:val="18"/>
        </w:rPr>
      </w:pPr>
    </w:p>
    <w:p w:rsidR="00261FC9" w:rsidRPr="006235A9" w:rsidRDefault="00261FC9" w:rsidP="00261FC9">
      <w:pPr>
        <w:rPr>
          <w:rFonts w:cs="Arial"/>
          <w:szCs w:val="24"/>
        </w:rPr>
      </w:pPr>
      <w:r w:rsidRPr="006235A9">
        <w:rPr>
          <w:rFonts w:cs="Arial"/>
          <w:szCs w:val="24"/>
        </w:rPr>
        <w:t>Il credito da 2.5 mio per aumentare dell’</w:t>
      </w:r>
      <w:r>
        <w:rPr>
          <w:rFonts w:cs="Arial"/>
          <w:szCs w:val="24"/>
        </w:rPr>
        <w:t>1</w:t>
      </w:r>
      <w:r w:rsidRPr="006235A9">
        <w:rPr>
          <w:rFonts w:cs="Arial"/>
          <w:szCs w:val="24"/>
        </w:rPr>
        <w:t xml:space="preserve">-1,5% la quota parte di autovetture elettriche </w:t>
      </w:r>
      <w:r>
        <w:rPr>
          <w:rFonts w:cs="Arial"/>
          <w:szCs w:val="24"/>
        </w:rPr>
        <w:t>fra le</w:t>
      </w:r>
      <w:r w:rsidRPr="006235A9">
        <w:rPr>
          <w:rFonts w:cs="Arial"/>
          <w:szCs w:val="24"/>
        </w:rPr>
        <w:t xml:space="preserve"> nuove immatricolazioni (massimo 600 vetture elettriche in più in 2-3 anni per rapporto a 40 a 60’000 Euro 6) porterà benefici impercettibili per rapporto alle immissioni di tutto il parco veicoli cantonale.</w:t>
      </w:r>
    </w:p>
    <w:p w:rsidR="00261FC9" w:rsidRPr="006235A9" w:rsidRDefault="00261FC9" w:rsidP="00261FC9">
      <w:pPr>
        <w:rPr>
          <w:rFonts w:cs="Arial"/>
          <w:szCs w:val="24"/>
        </w:rPr>
      </w:pPr>
    </w:p>
    <w:tbl>
      <w:tblPr>
        <w:tblStyle w:val="Grigliatabella"/>
        <w:tblW w:w="0" w:type="auto"/>
        <w:tblLook w:val="04A0" w:firstRow="1" w:lastRow="0" w:firstColumn="1" w:lastColumn="0" w:noHBand="0" w:noVBand="1"/>
      </w:tblPr>
      <w:tblGrid>
        <w:gridCol w:w="3259"/>
        <w:gridCol w:w="3259"/>
        <w:gridCol w:w="3260"/>
      </w:tblGrid>
      <w:tr w:rsidR="00261FC9" w:rsidRPr="00261FC9" w:rsidTr="003B0568">
        <w:tc>
          <w:tcPr>
            <w:tcW w:w="9778" w:type="dxa"/>
            <w:gridSpan w:val="3"/>
          </w:tcPr>
          <w:p w:rsidR="00261FC9" w:rsidRPr="00261FC9" w:rsidRDefault="00261FC9" w:rsidP="00860784">
            <w:pPr>
              <w:spacing w:before="20" w:after="20"/>
              <w:rPr>
                <w:rFonts w:cs="Arial"/>
                <w:b/>
                <w:sz w:val="22"/>
              </w:rPr>
            </w:pPr>
            <w:r w:rsidRPr="00261FC9">
              <w:rPr>
                <w:rFonts w:cs="Arial"/>
                <w:b/>
                <w:sz w:val="22"/>
              </w:rPr>
              <w:t xml:space="preserve">Autovetture immatricolate in Ticino per categoria (fonte risposta 7 </w:t>
            </w:r>
            <w:proofErr w:type="spellStart"/>
            <w:r w:rsidRPr="00261FC9">
              <w:rPr>
                <w:rFonts w:cs="Arial"/>
                <w:b/>
                <w:sz w:val="22"/>
              </w:rPr>
              <w:t>nov</w:t>
            </w:r>
            <w:proofErr w:type="spellEnd"/>
            <w:r w:rsidRPr="00261FC9">
              <w:rPr>
                <w:rFonts w:cs="Arial"/>
                <w:b/>
                <w:sz w:val="22"/>
              </w:rPr>
              <w:t xml:space="preserve">. 2018 CdS) </w:t>
            </w:r>
          </w:p>
        </w:tc>
      </w:tr>
      <w:tr w:rsidR="00261FC9" w:rsidRPr="00261FC9" w:rsidTr="003B0568">
        <w:tc>
          <w:tcPr>
            <w:tcW w:w="3259" w:type="dxa"/>
          </w:tcPr>
          <w:p w:rsidR="00261FC9" w:rsidRPr="00261FC9" w:rsidRDefault="00261FC9" w:rsidP="00860784">
            <w:pPr>
              <w:spacing w:before="20" w:after="20"/>
              <w:ind w:right="208"/>
              <w:jc w:val="right"/>
              <w:rPr>
                <w:rFonts w:cs="Arial"/>
                <w:b/>
                <w:sz w:val="22"/>
              </w:rPr>
            </w:pPr>
            <w:r w:rsidRPr="00261FC9">
              <w:rPr>
                <w:rFonts w:cs="Arial"/>
                <w:b/>
                <w:sz w:val="22"/>
              </w:rPr>
              <w:t>Categoria</w:t>
            </w:r>
          </w:p>
        </w:tc>
        <w:tc>
          <w:tcPr>
            <w:tcW w:w="3259" w:type="dxa"/>
          </w:tcPr>
          <w:p w:rsidR="00261FC9" w:rsidRPr="00261FC9" w:rsidRDefault="00261FC9" w:rsidP="00860784">
            <w:pPr>
              <w:spacing w:before="20" w:after="20"/>
              <w:ind w:right="206"/>
              <w:jc w:val="right"/>
              <w:rPr>
                <w:rFonts w:cs="Arial"/>
                <w:b/>
                <w:sz w:val="22"/>
              </w:rPr>
            </w:pPr>
            <w:r w:rsidRPr="00261FC9">
              <w:rPr>
                <w:rFonts w:cs="Arial"/>
                <w:b/>
                <w:sz w:val="22"/>
              </w:rPr>
              <w:t>Numero</w:t>
            </w:r>
          </w:p>
        </w:tc>
        <w:tc>
          <w:tcPr>
            <w:tcW w:w="3260" w:type="dxa"/>
          </w:tcPr>
          <w:p w:rsidR="00261FC9" w:rsidRPr="00261FC9" w:rsidRDefault="00261FC9" w:rsidP="00860784">
            <w:pPr>
              <w:spacing w:before="20" w:after="20"/>
              <w:jc w:val="right"/>
              <w:rPr>
                <w:rFonts w:cs="Arial"/>
                <w:b/>
                <w:sz w:val="22"/>
              </w:rPr>
            </w:pPr>
          </w:p>
        </w:tc>
      </w:tr>
      <w:tr w:rsidR="00261FC9" w:rsidRPr="00261FC9" w:rsidTr="003B0568">
        <w:tc>
          <w:tcPr>
            <w:tcW w:w="3259" w:type="dxa"/>
          </w:tcPr>
          <w:p w:rsidR="00261FC9" w:rsidRPr="00261FC9" w:rsidRDefault="00261FC9" w:rsidP="00860784">
            <w:pPr>
              <w:spacing w:before="20" w:after="20"/>
              <w:ind w:right="208"/>
              <w:jc w:val="right"/>
              <w:rPr>
                <w:rFonts w:cs="Arial"/>
                <w:sz w:val="22"/>
              </w:rPr>
            </w:pPr>
            <w:r w:rsidRPr="00261FC9">
              <w:rPr>
                <w:rFonts w:cs="Arial"/>
                <w:sz w:val="22"/>
              </w:rPr>
              <w:t xml:space="preserve">Euro 0 (B00) </w:t>
            </w:r>
          </w:p>
        </w:tc>
        <w:tc>
          <w:tcPr>
            <w:tcW w:w="3259" w:type="dxa"/>
          </w:tcPr>
          <w:p w:rsidR="00261FC9" w:rsidRPr="00261FC9" w:rsidRDefault="00261FC9" w:rsidP="00860784">
            <w:pPr>
              <w:spacing w:before="20" w:after="20"/>
              <w:ind w:right="206"/>
              <w:jc w:val="right"/>
              <w:rPr>
                <w:rFonts w:cs="Arial"/>
                <w:sz w:val="22"/>
              </w:rPr>
            </w:pPr>
            <w:r w:rsidRPr="00261FC9">
              <w:rPr>
                <w:rFonts w:cs="Arial"/>
                <w:sz w:val="22"/>
              </w:rPr>
              <w:t>2'950</w:t>
            </w:r>
          </w:p>
        </w:tc>
        <w:tc>
          <w:tcPr>
            <w:tcW w:w="3260" w:type="dxa"/>
          </w:tcPr>
          <w:p w:rsidR="00261FC9" w:rsidRPr="00261FC9" w:rsidRDefault="00261FC9" w:rsidP="00860784">
            <w:pPr>
              <w:spacing w:before="20" w:after="20"/>
              <w:ind w:right="348"/>
              <w:jc w:val="right"/>
              <w:rPr>
                <w:rFonts w:cs="Arial"/>
                <w:sz w:val="22"/>
              </w:rPr>
            </w:pPr>
            <w:r w:rsidRPr="00261FC9">
              <w:rPr>
                <w:rFonts w:cs="Arial"/>
                <w:sz w:val="22"/>
              </w:rPr>
              <w:t>1%</w:t>
            </w:r>
          </w:p>
        </w:tc>
      </w:tr>
      <w:tr w:rsidR="00261FC9" w:rsidRPr="00261FC9" w:rsidTr="003B0568">
        <w:tc>
          <w:tcPr>
            <w:tcW w:w="3259" w:type="dxa"/>
          </w:tcPr>
          <w:p w:rsidR="00261FC9" w:rsidRPr="00261FC9" w:rsidRDefault="00261FC9" w:rsidP="00860784">
            <w:pPr>
              <w:spacing w:before="20" w:after="20"/>
              <w:ind w:right="208"/>
              <w:jc w:val="right"/>
              <w:rPr>
                <w:rFonts w:cs="Arial"/>
                <w:sz w:val="22"/>
              </w:rPr>
            </w:pPr>
            <w:r w:rsidRPr="00261FC9">
              <w:rPr>
                <w:rFonts w:cs="Arial"/>
                <w:sz w:val="22"/>
              </w:rPr>
              <w:t xml:space="preserve">Euro 1 (B01) </w:t>
            </w:r>
          </w:p>
        </w:tc>
        <w:tc>
          <w:tcPr>
            <w:tcW w:w="3259" w:type="dxa"/>
          </w:tcPr>
          <w:p w:rsidR="00261FC9" w:rsidRPr="00261FC9" w:rsidRDefault="00261FC9" w:rsidP="00860784">
            <w:pPr>
              <w:spacing w:before="20" w:after="20"/>
              <w:ind w:right="206"/>
              <w:jc w:val="right"/>
              <w:rPr>
                <w:rFonts w:cs="Arial"/>
                <w:sz w:val="22"/>
              </w:rPr>
            </w:pPr>
            <w:r w:rsidRPr="00261FC9">
              <w:rPr>
                <w:rFonts w:cs="Arial"/>
                <w:sz w:val="22"/>
              </w:rPr>
              <w:t>4300</w:t>
            </w:r>
          </w:p>
        </w:tc>
        <w:tc>
          <w:tcPr>
            <w:tcW w:w="3260" w:type="dxa"/>
          </w:tcPr>
          <w:p w:rsidR="00261FC9" w:rsidRPr="00261FC9" w:rsidRDefault="00261FC9" w:rsidP="00860784">
            <w:pPr>
              <w:spacing w:before="20" w:after="20"/>
              <w:ind w:right="348"/>
              <w:jc w:val="right"/>
              <w:rPr>
                <w:rFonts w:cs="Arial"/>
                <w:sz w:val="22"/>
              </w:rPr>
            </w:pPr>
            <w:r w:rsidRPr="00261FC9">
              <w:rPr>
                <w:rFonts w:cs="Arial"/>
                <w:sz w:val="22"/>
              </w:rPr>
              <w:t>2%</w:t>
            </w:r>
          </w:p>
        </w:tc>
      </w:tr>
      <w:tr w:rsidR="00261FC9" w:rsidRPr="00261FC9" w:rsidTr="003B0568">
        <w:tc>
          <w:tcPr>
            <w:tcW w:w="3259" w:type="dxa"/>
          </w:tcPr>
          <w:p w:rsidR="00261FC9" w:rsidRPr="00261FC9" w:rsidRDefault="00261FC9" w:rsidP="00860784">
            <w:pPr>
              <w:spacing w:before="20" w:after="20"/>
              <w:ind w:right="208"/>
              <w:jc w:val="right"/>
              <w:rPr>
                <w:rFonts w:cs="Arial"/>
                <w:sz w:val="22"/>
              </w:rPr>
            </w:pPr>
            <w:r w:rsidRPr="00261FC9">
              <w:rPr>
                <w:rFonts w:cs="Arial"/>
                <w:sz w:val="22"/>
              </w:rPr>
              <w:t xml:space="preserve">Euro 2 (B02) </w:t>
            </w:r>
          </w:p>
        </w:tc>
        <w:tc>
          <w:tcPr>
            <w:tcW w:w="3259" w:type="dxa"/>
          </w:tcPr>
          <w:p w:rsidR="00261FC9" w:rsidRPr="00261FC9" w:rsidRDefault="00261FC9" w:rsidP="00860784">
            <w:pPr>
              <w:spacing w:before="20" w:after="20"/>
              <w:ind w:right="206"/>
              <w:jc w:val="right"/>
              <w:rPr>
                <w:rFonts w:cs="Arial"/>
                <w:sz w:val="22"/>
              </w:rPr>
            </w:pPr>
            <w:r w:rsidRPr="00261FC9">
              <w:rPr>
                <w:rFonts w:cs="Arial"/>
                <w:sz w:val="22"/>
              </w:rPr>
              <w:t>8'314</w:t>
            </w:r>
          </w:p>
        </w:tc>
        <w:tc>
          <w:tcPr>
            <w:tcW w:w="3260" w:type="dxa"/>
          </w:tcPr>
          <w:p w:rsidR="00261FC9" w:rsidRPr="00261FC9" w:rsidRDefault="00261FC9" w:rsidP="00860784">
            <w:pPr>
              <w:spacing w:before="20" w:after="20"/>
              <w:ind w:right="348"/>
              <w:jc w:val="right"/>
              <w:rPr>
                <w:rFonts w:cs="Arial"/>
                <w:sz w:val="22"/>
              </w:rPr>
            </w:pPr>
            <w:r w:rsidRPr="00261FC9">
              <w:rPr>
                <w:rFonts w:cs="Arial"/>
                <w:sz w:val="22"/>
              </w:rPr>
              <w:t>4%</w:t>
            </w:r>
          </w:p>
        </w:tc>
      </w:tr>
      <w:tr w:rsidR="00261FC9" w:rsidRPr="00261FC9" w:rsidTr="003B0568">
        <w:tc>
          <w:tcPr>
            <w:tcW w:w="3259" w:type="dxa"/>
          </w:tcPr>
          <w:p w:rsidR="00261FC9" w:rsidRPr="00261FC9" w:rsidRDefault="00261FC9" w:rsidP="00860784">
            <w:pPr>
              <w:spacing w:before="20" w:after="20"/>
              <w:ind w:right="208"/>
              <w:jc w:val="right"/>
              <w:rPr>
                <w:rFonts w:cs="Arial"/>
                <w:sz w:val="22"/>
              </w:rPr>
            </w:pPr>
            <w:r w:rsidRPr="00261FC9">
              <w:rPr>
                <w:rFonts w:cs="Arial"/>
                <w:sz w:val="22"/>
              </w:rPr>
              <w:t xml:space="preserve">Euro 3 (B03) </w:t>
            </w:r>
          </w:p>
        </w:tc>
        <w:tc>
          <w:tcPr>
            <w:tcW w:w="3259" w:type="dxa"/>
          </w:tcPr>
          <w:p w:rsidR="00261FC9" w:rsidRPr="00261FC9" w:rsidRDefault="00261FC9" w:rsidP="00860784">
            <w:pPr>
              <w:spacing w:before="20" w:after="20"/>
              <w:ind w:right="206"/>
              <w:jc w:val="right"/>
              <w:rPr>
                <w:rFonts w:cs="Arial"/>
                <w:sz w:val="22"/>
              </w:rPr>
            </w:pPr>
            <w:r w:rsidRPr="00261FC9">
              <w:rPr>
                <w:rFonts w:cs="Arial"/>
                <w:sz w:val="22"/>
              </w:rPr>
              <w:t>15'431</w:t>
            </w:r>
          </w:p>
        </w:tc>
        <w:tc>
          <w:tcPr>
            <w:tcW w:w="3260" w:type="dxa"/>
          </w:tcPr>
          <w:p w:rsidR="00261FC9" w:rsidRPr="00261FC9" w:rsidRDefault="00261FC9" w:rsidP="00860784">
            <w:pPr>
              <w:spacing w:before="20" w:after="20"/>
              <w:ind w:right="348"/>
              <w:jc w:val="right"/>
              <w:rPr>
                <w:rFonts w:cs="Arial"/>
                <w:sz w:val="22"/>
              </w:rPr>
            </w:pPr>
            <w:r w:rsidRPr="00261FC9">
              <w:rPr>
                <w:rFonts w:cs="Arial"/>
                <w:sz w:val="22"/>
              </w:rPr>
              <w:t>7%</w:t>
            </w:r>
          </w:p>
        </w:tc>
      </w:tr>
      <w:tr w:rsidR="00261FC9" w:rsidRPr="00261FC9" w:rsidTr="003B0568">
        <w:tc>
          <w:tcPr>
            <w:tcW w:w="3259" w:type="dxa"/>
          </w:tcPr>
          <w:p w:rsidR="00261FC9" w:rsidRPr="00261FC9" w:rsidRDefault="00261FC9" w:rsidP="00860784">
            <w:pPr>
              <w:spacing w:before="20" w:after="20"/>
              <w:ind w:right="208"/>
              <w:jc w:val="right"/>
              <w:rPr>
                <w:rFonts w:cs="Arial"/>
                <w:sz w:val="22"/>
              </w:rPr>
            </w:pPr>
            <w:r w:rsidRPr="00261FC9">
              <w:rPr>
                <w:rFonts w:cs="Arial"/>
                <w:sz w:val="22"/>
              </w:rPr>
              <w:t xml:space="preserve">Euro 4 (B04) </w:t>
            </w:r>
          </w:p>
        </w:tc>
        <w:tc>
          <w:tcPr>
            <w:tcW w:w="3259" w:type="dxa"/>
          </w:tcPr>
          <w:p w:rsidR="00261FC9" w:rsidRPr="00261FC9" w:rsidRDefault="00261FC9" w:rsidP="00860784">
            <w:pPr>
              <w:spacing w:before="20" w:after="20"/>
              <w:ind w:right="206"/>
              <w:jc w:val="right"/>
              <w:rPr>
                <w:rFonts w:cs="Arial"/>
                <w:sz w:val="22"/>
              </w:rPr>
            </w:pPr>
            <w:r w:rsidRPr="00261FC9">
              <w:rPr>
                <w:rFonts w:cs="Arial"/>
                <w:sz w:val="22"/>
              </w:rPr>
              <w:t>53'336</w:t>
            </w:r>
          </w:p>
        </w:tc>
        <w:tc>
          <w:tcPr>
            <w:tcW w:w="3260" w:type="dxa"/>
          </w:tcPr>
          <w:p w:rsidR="00261FC9" w:rsidRPr="00261FC9" w:rsidRDefault="00261FC9" w:rsidP="00860784">
            <w:pPr>
              <w:spacing w:before="20" w:after="20"/>
              <w:ind w:right="348"/>
              <w:jc w:val="right"/>
              <w:rPr>
                <w:rFonts w:cs="Arial"/>
                <w:sz w:val="22"/>
              </w:rPr>
            </w:pPr>
            <w:r w:rsidRPr="00261FC9">
              <w:rPr>
                <w:rFonts w:cs="Arial"/>
                <w:sz w:val="22"/>
              </w:rPr>
              <w:t>23%</w:t>
            </w:r>
          </w:p>
        </w:tc>
      </w:tr>
      <w:tr w:rsidR="00261FC9" w:rsidRPr="00261FC9" w:rsidTr="003B0568">
        <w:tc>
          <w:tcPr>
            <w:tcW w:w="3259" w:type="dxa"/>
          </w:tcPr>
          <w:p w:rsidR="00261FC9" w:rsidRPr="00261FC9" w:rsidRDefault="00261FC9" w:rsidP="00860784">
            <w:pPr>
              <w:spacing w:before="20" w:after="20"/>
              <w:ind w:right="208"/>
              <w:jc w:val="right"/>
              <w:rPr>
                <w:rFonts w:cs="Arial"/>
                <w:sz w:val="22"/>
              </w:rPr>
            </w:pPr>
            <w:r w:rsidRPr="00261FC9">
              <w:rPr>
                <w:rFonts w:cs="Arial"/>
                <w:sz w:val="22"/>
              </w:rPr>
              <w:t xml:space="preserve">Euro 5 (da B05 a B05b) </w:t>
            </w:r>
          </w:p>
        </w:tc>
        <w:tc>
          <w:tcPr>
            <w:tcW w:w="3259" w:type="dxa"/>
          </w:tcPr>
          <w:p w:rsidR="00261FC9" w:rsidRPr="00261FC9" w:rsidRDefault="00261FC9" w:rsidP="00860784">
            <w:pPr>
              <w:spacing w:before="20" w:after="20"/>
              <w:ind w:right="206"/>
              <w:jc w:val="right"/>
              <w:rPr>
                <w:rFonts w:cs="Arial"/>
                <w:sz w:val="22"/>
              </w:rPr>
            </w:pPr>
            <w:r w:rsidRPr="00261FC9">
              <w:rPr>
                <w:rFonts w:cs="Arial"/>
                <w:sz w:val="22"/>
              </w:rPr>
              <w:t>69'466</w:t>
            </w:r>
          </w:p>
        </w:tc>
        <w:tc>
          <w:tcPr>
            <w:tcW w:w="3260" w:type="dxa"/>
          </w:tcPr>
          <w:p w:rsidR="00261FC9" w:rsidRPr="00261FC9" w:rsidRDefault="00261FC9" w:rsidP="00860784">
            <w:pPr>
              <w:spacing w:before="20" w:after="20"/>
              <w:ind w:right="348"/>
              <w:jc w:val="right"/>
              <w:rPr>
                <w:rFonts w:cs="Arial"/>
                <w:sz w:val="22"/>
              </w:rPr>
            </w:pPr>
            <w:r w:rsidRPr="00261FC9">
              <w:rPr>
                <w:rFonts w:cs="Arial"/>
                <w:sz w:val="22"/>
              </w:rPr>
              <w:t>30%</w:t>
            </w:r>
          </w:p>
        </w:tc>
      </w:tr>
      <w:tr w:rsidR="00261FC9" w:rsidRPr="00261FC9" w:rsidTr="003B0568">
        <w:tc>
          <w:tcPr>
            <w:tcW w:w="3259" w:type="dxa"/>
          </w:tcPr>
          <w:p w:rsidR="00261FC9" w:rsidRPr="00261FC9" w:rsidRDefault="00261FC9" w:rsidP="00860784">
            <w:pPr>
              <w:spacing w:before="20" w:after="20"/>
              <w:ind w:right="208"/>
              <w:jc w:val="right"/>
              <w:rPr>
                <w:rFonts w:cs="Arial"/>
                <w:sz w:val="22"/>
              </w:rPr>
            </w:pPr>
            <w:r w:rsidRPr="00261FC9">
              <w:rPr>
                <w:rFonts w:cs="Arial"/>
                <w:sz w:val="22"/>
              </w:rPr>
              <w:t xml:space="preserve">Euro 6 (da B06a a B06d) </w:t>
            </w:r>
          </w:p>
        </w:tc>
        <w:tc>
          <w:tcPr>
            <w:tcW w:w="3259" w:type="dxa"/>
          </w:tcPr>
          <w:p w:rsidR="00261FC9" w:rsidRPr="00261FC9" w:rsidRDefault="00261FC9" w:rsidP="00860784">
            <w:pPr>
              <w:spacing w:before="20" w:after="20"/>
              <w:ind w:right="206"/>
              <w:jc w:val="right"/>
              <w:rPr>
                <w:rFonts w:cs="Arial"/>
                <w:sz w:val="22"/>
              </w:rPr>
            </w:pPr>
            <w:r w:rsidRPr="00261FC9">
              <w:rPr>
                <w:rFonts w:cs="Arial"/>
                <w:sz w:val="22"/>
              </w:rPr>
              <w:t>73'369</w:t>
            </w:r>
          </w:p>
        </w:tc>
        <w:tc>
          <w:tcPr>
            <w:tcW w:w="3260" w:type="dxa"/>
          </w:tcPr>
          <w:p w:rsidR="00261FC9" w:rsidRPr="00261FC9" w:rsidRDefault="00261FC9" w:rsidP="00860784">
            <w:pPr>
              <w:spacing w:before="20" w:after="20"/>
              <w:ind w:right="348"/>
              <w:jc w:val="right"/>
              <w:rPr>
                <w:rFonts w:cs="Arial"/>
                <w:sz w:val="22"/>
              </w:rPr>
            </w:pPr>
            <w:r w:rsidRPr="00261FC9">
              <w:rPr>
                <w:rFonts w:cs="Arial"/>
                <w:sz w:val="22"/>
              </w:rPr>
              <w:t>32%</w:t>
            </w:r>
          </w:p>
        </w:tc>
      </w:tr>
    </w:tbl>
    <w:p w:rsidR="00261FC9" w:rsidRPr="00302EE5" w:rsidRDefault="00261FC9" w:rsidP="00261FC9">
      <w:pPr>
        <w:pStyle w:val="Default"/>
        <w:jc w:val="both"/>
        <w:rPr>
          <w:color w:val="auto"/>
        </w:rPr>
      </w:pPr>
    </w:p>
    <w:p w:rsidR="00261FC9" w:rsidRPr="00302EE5" w:rsidRDefault="00261FC9" w:rsidP="00261FC9">
      <w:pPr>
        <w:pStyle w:val="Default"/>
        <w:jc w:val="both"/>
      </w:pPr>
      <w:r w:rsidRPr="00302EE5">
        <w:rPr>
          <w:color w:val="auto"/>
        </w:rPr>
        <w:t xml:space="preserve">A fine 2018 in Ticino </w:t>
      </w:r>
      <w:r w:rsidRPr="00302EE5">
        <w:t>sono immatricolate circa 30mila autovetture diesel Euro 3 o inferiori che hanno immissioni di NOX e di particolato nettamente superior</w:t>
      </w:r>
      <w:r>
        <w:t>i</w:t>
      </w:r>
      <w:r w:rsidRPr="00302EE5">
        <w:t xml:space="preserve"> alle nuove Euro 6 a diesel o benzina</w:t>
      </w:r>
    </w:p>
    <w:p w:rsidR="00261FC9" w:rsidRDefault="00261FC9" w:rsidP="00261FC9">
      <w:pPr>
        <w:rPr>
          <w:rFonts w:cs="Arial"/>
          <w:szCs w:val="24"/>
        </w:rPr>
      </w:pPr>
      <w:r w:rsidRPr="00302EE5">
        <w:rPr>
          <w:rFonts w:cs="Arial"/>
          <w:szCs w:val="24"/>
        </w:rPr>
        <w:t>Un’autovettura Euro 3</w:t>
      </w:r>
      <w:r>
        <w:rPr>
          <w:rFonts w:cs="Arial"/>
          <w:szCs w:val="24"/>
        </w:rPr>
        <w:t xml:space="preserve"> produce NOX come 6 </w:t>
      </w:r>
      <w:r w:rsidRPr="00302EE5">
        <w:rPr>
          <w:rFonts w:cs="Arial"/>
          <w:szCs w:val="24"/>
        </w:rPr>
        <w:t>autovetture diesel nuov</w:t>
      </w:r>
      <w:r>
        <w:rPr>
          <w:rFonts w:cs="Arial"/>
          <w:szCs w:val="24"/>
        </w:rPr>
        <w:t>e</w:t>
      </w:r>
      <w:r w:rsidRPr="00302EE5">
        <w:rPr>
          <w:rFonts w:cs="Arial"/>
          <w:szCs w:val="24"/>
        </w:rPr>
        <w:t xml:space="preserve"> Euro 6 e polveri sottili come 10 Euro </w:t>
      </w:r>
      <w:r>
        <w:rPr>
          <w:rFonts w:cs="Arial"/>
          <w:szCs w:val="24"/>
        </w:rPr>
        <w:t>6</w:t>
      </w:r>
      <w:r w:rsidRPr="00302EE5">
        <w:rPr>
          <w:rFonts w:cs="Arial"/>
          <w:szCs w:val="24"/>
        </w:rPr>
        <w:t xml:space="preserve">. </w:t>
      </w:r>
      <w:r>
        <w:rPr>
          <w:rFonts w:cs="Arial"/>
          <w:szCs w:val="24"/>
        </w:rPr>
        <w:t>Il r</w:t>
      </w:r>
      <w:r w:rsidRPr="00302EE5">
        <w:rPr>
          <w:rFonts w:cs="Arial"/>
          <w:szCs w:val="24"/>
        </w:rPr>
        <w:t xml:space="preserve">apporto </w:t>
      </w:r>
      <w:r>
        <w:rPr>
          <w:rFonts w:cs="Arial"/>
          <w:szCs w:val="24"/>
        </w:rPr>
        <w:t xml:space="preserve">è </w:t>
      </w:r>
      <w:r w:rsidRPr="00302EE5">
        <w:rPr>
          <w:rFonts w:cs="Arial"/>
          <w:szCs w:val="24"/>
        </w:rPr>
        <w:t>ancora migliore se confrontiamo le vecchie diesel con le nuove a b</w:t>
      </w:r>
      <w:r>
        <w:rPr>
          <w:rFonts w:cs="Arial"/>
          <w:szCs w:val="24"/>
        </w:rPr>
        <w:t>enzina.</w:t>
      </w:r>
    </w:p>
    <w:p w:rsidR="00261FC9" w:rsidRPr="00860784" w:rsidRDefault="00261FC9" w:rsidP="00261FC9">
      <w:pPr>
        <w:rPr>
          <w:rFonts w:cs="Arial"/>
          <w:sz w:val="18"/>
          <w:szCs w:val="18"/>
        </w:rPr>
      </w:pPr>
    </w:p>
    <w:p w:rsidR="00261FC9" w:rsidRPr="009B0CE1" w:rsidRDefault="00261FC9" w:rsidP="00261FC9">
      <w:pPr>
        <w:rPr>
          <w:rFonts w:cs="Arial"/>
          <w:szCs w:val="24"/>
        </w:rPr>
      </w:pPr>
      <w:r w:rsidRPr="00BE696B">
        <w:rPr>
          <w:rFonts w:cs="Arial"/>
          <w:szCs w:val="24"/>
        </w:rPr>
        <w:t>È quindi palese che la misura più efficace per migliorare la qualità dell’aria attraverso la promozione di autovetture elettriche è combinare e condizionare il sussidio per l’acquisto alla rottamazione o messa fuori circolazione di una vettura Euro 3 o precedenti.</w:t>
      </w:r>
      <w:r w:rsidRPr="00BE696B">
        <w:t xml:space="preserve"> </w:t>
      </w:r>
      <w:r w:rsidRPr="00BE696B">
        <w:rPr>
          <w:rFonts w:cs="Arial"/>
          <w:szCs w:val="24"/>
        </w:rPr>
        <w:t>Se ad essere sostituita con l’acquisto di un’auto elettrica fosse invece un’automobile di nuova generazione Euro 6 i benefici per l’ambiente sarebbero praticamente nulli, mentre senza sostituzione vi sarebbe comunque un’automobile in più sulle nostre strade.</w:t>
      </w:r>
    </w:p>
    <w:p w:rsidR="00261FC9" w:rsidRPr="00860784" w:rsidRDefault="00261FC9" w:rsidP="00860784">
      <w:pPr>
        <w:rPr>
          <w:rFonts w:cs="Arial"/>
          <w:sz w:val="12"/>
          <w:szCs w:val="12"/>
        </w:rPr>
      </w:pPr>
    </w:p>
    <w:p w:rsidR="00860784" w:rsidRPr="00860784" w:rsidRDefault="00261FC9" w:rsidP="00860784">
      <w:pPr>
        <w:rPr>
          <w:rFonts w:cs="Arial"/>
          <w:b/>
          <w:bCs/>
          <w:iCs/>
        </w:rPr>
      </w:pPr>
      <w:r w:rsidRPr="00860784">
        <w:rPr>
          <w:rFonts w:cs="Arial"/>
          <w:iCs/>
        </w:rPr>
        <w:lastRenderedPageBreak/>
        <w:t xml:space="preserve">Questo meccanismo era già previsto nel M6947 (senza che fosse stato causa del suo rifiuto popolare), motivo per cui se era attuabile 4 anni fa deve esserlo ancora oggi. </w:t>
      </w:r>
      <w:r w:rsidRPr="00860784">
        <w:rPr>
          <w:rFonts w:cs="Arial"/>
          <w:b/>
          <w:bCs/>
          <w:iCs/>
          <w:sz w:val="23"/>
          <w:szCs w:val="23"/>
        </w:rPr>
        <w:t>Il richiedente dovrà dimostrare l’avvenuta rottamazione oppure la messa fuori circolazione (senza necessità di certificare la rottamazione) del veicolo di cui era precedentemente in possesso</w:t>
      </w:r>
      <w:r w:rsidRPr="00860784">
        <w:rPr>
          <w:rFonts w:cs="Arial"/>
          <w:iCs/>
          <w:sz w:val="23"/>
          <w:szCs w:val="23"/>
        </w:rPr>
        <w:t xml:space="preserve"> </w:t>
      </w:r>
      <w:r w:rsidRPr="00860784">
        <w:rPr>
          <w:rFonts w:cs="Arial"/>
          <w:b/>
          <w:bCs/>
          <w:iCs/>
          <w:sz w:val="23"/>
          <w:szCs w:val="23"/>
        </w:rPr>
        <w:t>(M6947 p.</w:t>
      </w:r>
      <w:r w:rsidR="00860784">
        <w:rPr>
          <w:rFonts w:cs="Arial"/>
          <w:b/>
          <w:bCs/>
          <w:iCs/>
          <w:sz w:val="23"/>
          <w:szCs w:val="23"/>
        </w:rPr>
        <w:t xml:space="preserve"> </w:t>
      </w:r>
      <w:r w:rsidRPr="00860784">
        <w:rPr>
          <w:rFonts w:cs="Arial"/>
          <w:b/>
          <w:bCs/>
          <w:iCs/>
          <w:sz w:val="23"/>
          <w:szCs w:val="23"/>
        </w:rPr>
        <w:t>5).</w:t>
      </w:r>
    </w:p>
    <w:p w:rsidR="00261FC9" w:rsidRPr="000241E6" w:rsidRDefault="00261FC9" w:rsidP="00860784">
      <w:r w:rsidRPr="00860784">
        <w:rPr>
          <w:rFonts w:cs="Arial"/>
          <w:iCs/>
        </w:rPr>
        <w:t>Il beneficio in termini ambientali ed energetici sarà effettivo solo con questa condizione. Saranno invece neutre le conseguenze sul traffico che quotidianamente intasa le strade. Riteniamo indispensabile che lo Stato, utilizzando soldi della collettività, non aggravi questo problema, che dovrebbe semmai impegnarsi per risolvere o perlomeno migliorare.</w:t>
      </w:r>
    </w:p>
    <w:p w:rsidR="00261FC9" w:rsidRDefault="00261FC9" w:rsidP="00261FC9">
      <w:pPr>
        <w:rPr>
          <w:rFonts w:cs="Arial"/>
          <w:szCs w:val="24"/>
        </w:rPr>
      </w:pPr>
    </w:p>
    <w:p w:rsidR="00261FC9" w:rsidRPr="00894596" w:rsidRDefault="00261FC9" w:rsidP="00261FC9">
      <w:pPr>
        <w:rPr>
          <w:rFonts w:cs="Arial"/>
          <w:szCs w:val="24"/>
        </w:rPr>
      </w:pPr>
    </w:p>
    <w:p w:rsidR="00261FC9" w:rsidRPr="00860784" w:rsidRDefault="00261FC9" w:rsidP="00860784">
      <w:pPr>
        <w:pStyle w:val="Titolo1"/>
      </w:pPr>
      <w:r w:rsidRPr="00860784">
        <w:t>Misure ambientali: effetti reali e percezione</w:t>
      </w:r>
    </w:p>
    <w:p w:rsidR="00261FC9" w:rsidRPr="00894596" w:rsidRDefault="00261FC9" w:rsidP="00261FC9">
      <w:pPr>
        <w:rPr>
          <w:rFonts w:cs="Arial"/>
          <w:szCs w:val="24"/>
        </w:rPr>
      </w:pPr>
      <w:r w:rsidRPr="00894596">
        <w:rPr>
          <w:rFonts w:cs="Arial"/>
          <w:szCs w:val="24"/>
        </w:rPr>
        <w:t>Da decenni siamo tutti coscienti e informati sui rischi per l’ambiente e la salute delle immissioni atmosferiche</w:t>
      </w:r>
      <w:r>
        <w:rPr>
          <w:rFonts w:cs="Arial"/>
          <w:szCs w:val="24"/>
        </w:rPr>
        <w:t>,</w:t>
      </w:r>
      <w:r w:rsidRPr="00894596">
        <w:rPr>
          <w:rFonts w:cs="Arial"/>
          <w:szCs w:val="24"/>
        </w:rPr>
        <w:t xml:space="preserve"> in particolare </w:t>
      </w:r>
      <w:r>
        <w:rPr>
          <w:rFonts w:cs="Arial"/>
          <w:szCs w:val="24"/>
        </w:rPr>
        <w:t xml:space="preserve">di </w:t>
      </w:r>
      <w:r w:rsidRPr="00894596">
        <w:rPr>
          <w:rFonts w:cs="Arial"/>
          <w:szCs w:val="24"/>
        </w:rPr>
        <w:t>quelle che produciamo per muoverci.</w:t>
      </w:r>
    </w:p>
    <w:p w:rsidR="00261FC9" w:rsidRPr="00860784" w:rsidRDefault="00261FC9" w:rsidP="00261FC9">
      <w:pPr>
        <w:rPr>
          <w:rFonts w:cs="Arial"/>
          <w:sz w:val="20"/>
          <w:szCs w:val="20"/>
        </w:rPr>
      </w:pPr>
    </w:p>
    <w:p w:rsidR="00261FC9" w:rsidRPr="00894596" w:rsidRDefault="00261FC9" w:rsidP="00261FC9">
      <w:pPr>
        <w:rPr>
          <w:rFonts w:cs="Arial"/>
          <w:szCs w:val="24"/>
        </w:rPr>
      </w:pPr>
      <w:r w:rsidRPr="00894596">
        <w:rPr>
          <w:rFonts w:cs="Arial"/>
          <w:szCs w:val="24"/>
        </w:rPr>
        <w:t>A diversi livelli</w:t>
      </w:r>
      <w:r>
        <w:rPr>
          <w:rFonts w:cs="Arial"/>
          <w:szCs w:val="24"/>
        </w:rPr>
        <w:t>,</w:t>
      </w:r>
      <w:r w:rsidRPr="00894596">
        <w:rPr>
          <w:rFonts w:cs="Arial"/>
          <w:szCs w:val="24"/>
        </w:rPr>
        <w:t xml:space="preserve"> locale (Cantone), nazionale (Confederazione) o </w:t>
      </w:r>
      <w:proofErr w:type="spellStart"/>
      <w:r w:rsidRPr="00894596">
        <w:rPr>
          <w:rFonts w:cs="Arial"/>
          <w:szCs w:val="24"/>
        </w:rPr>
        <w:t>internazione</w:t>
      </w:r>
      <w:proofErr w:type="spellEnd"/>
      <w:r w:rsidRPr="00894596">
        <w:rPr>
          <w:rFonts w:cs="Arial"/>
          <w:szCs w:val="24"/>
        </w:rPr>
        <w:t xml:space="preserve"> (Unione Europea)</w:t>
      </w:r>
      <w:r>
        <w:rPr>
          <w:rFonts w:cs="Arial"/>
          <w:szCs w:val="24"/>
        </w:rPr>
        <w:t>,</w:t>
      </w:r>
      <w:r w:rsidRPr="00894596">
        <w:rPr>
          <w:rFonts w:cs="Arial"/>
          <w:szCs w:val="24"/>
        </w:rPr>
        <w:t xml:space="preserve"> sono state sviluppate strategie ed adottate normative che hanno contribuito a limitare l’impatto ambientale della crescente motorizzazione.</w:t>
      </w:r>
    </w:p>
    <w:p w:rsidR="00261FC9" w:rsidRPr="00860784" w:rsidRDefault="00261FC9" w:rsidP="00261FC9">
      <w:pPr>
        <w:rPr>
          <w:rFonts w:cs="Arial"/>
          <w:sz w:val="20"/>
          <w:szCs w:val="20"/>
        </w:rPr>
      </w:pPr>
    </w:p>
    <w:p w:rsidR="00261FC9" w:rsidRPr="00894596" w:rsidRDefault="00261FC9" w:rsidP="00261FC9">
      <w:pPr>
        <w:rPr>
          <w:rFonts w:cs="Arial"/>
          <w:szCs w:val="24"/>
        </w:rPr>
      </w:pPr>
      <w:r w:rsidRPr="00894596">
        <w:rPr>
          <w:rFonts w:cs="Arial"/>
          <w:szCs w:val="24"/>
        </w:rPr>
        <w:t>Fino a un anno fa eravamo tutti convinti dei vantaggi della motorizzazione diesel</w:t>
      </w:r>
      <w:r>
        <w:rPr>
          <w:rFonts w:cs="Arial"/>
          <w:szCs w:val="24"/>
        </w:rPr>
        <w:t>;</w:t>
      </w:r>
      <w:r w:rsidRPr="00894596">
        <w:rPr>
          <w:rFonts w:cs="Arial"/>
          <w:szCs w:val="24"/>
        </w:rPr>
        <w:t xml:space="preserve"> in Ticino abbiamo introdotto tasse di circolazione che favoriscono le autovetture a basso CO2, tra le quali chiaramente le autovetture diesel</w:t>
      </w:r>
      <w:r>
        <w:rPr>
          <w:rFonts w:cs="Arial"/>
          <w:szCs w:val="24"/>
        </w:rPr>
        <w:t>,</w:t>
      </w:r>
      <w:r w:rsidRPr="00894596">
        <w:rPr>
          <w:rFonts w:cs="Arial"/>
          <w:szCs w:val="24"/>
        </w:rPr>
        <w:t xml:space="preserve"> che hanno immissioni specifiche di CO2 inferiori del 15% per rapporto a quelle </w:t>
      </w:r>
      <w:r>
        <w:rPr>
          <w:rFonts w:cs="Arial"/>
          <w:szCs w:val="24"/>
        </w:rPr>
        <w:t xml:space="preserve">a </w:t>
      </w:r>
      <w:r w:rsidRPr="00894596">
        <w:rPr>
          <w:rFonts w:cs="Arial"/>
          <w:szCs w:val="24"/>
        </w:rPr>
        <w:t xml:space="preserve">benzina. Il </w:t>
      </w:r>
      <w:proofErr w:type="spellStart"/>
      <w:r w:rsidRPr="00894596">
        <w:rPr>
          <w:rFonts w:cs="Arial"/>
          <w:szCs w:val="24"/>
        </w:rPr>
        <w:t>Dieselgate</w:t>
      </w:r>
      <w:proofErr w:type="spellEnd"/>
      <w:r w:rsidRPr="00894596">
        <w:rPr>
          <w:rFonts w:cs="Arial"/>
          <w:szCs w:val="24"/>
        </w:rPr>
        <w:t xml:space="preserve"> ha purtroppo dimostrato che non avevamo le competenze per poter verificare le immissioni reali e gestire la complessità della materia</w:t>
      </w:r>
      <w:r>
        <w:rPr>
          <w:rFonts w:cs="Arial"/>
          <w:szCs w:val="24"/>
        </w:rPr>
        <w:t xml:space="preserve">, che è in </w:t>
      </w:r>
      <w:r w:rsidRPr="00894596">
        <w:rPr>
          <w:rFonts w:cs="Arial"/>
          <w:szCs w:val="24"/>
        </w:rPr>
        <w:t>costante evoluzione tecnologica e normativa.</w:t>
      </w:r>
    </w:p>
    <w:p w:rsidR="00261FC9" w:rsidRPr="00860784" w:rsidRDefault="00261FC9" w:rsidP="00261FC9">
      <w:pPr>
        <w:rPr>
          <w:rFonts w:cs="Arial"/>
          <w:sz w:val="20"/>
          <w:szCs w:val="20"/>
        </w:rPr>
      </w:pPr>
    </w:p>
    <w:p w:rsidR="00261FC9" w:rsidRPr="00894596" w:rsidRDefault="00261FC9" w:rsidP="00261FC9">
      <w:pPr>
        <w:rPr>
          <w:rFonts w:cs="Arial"/>
          <w:szCs w:val="24"/>
        </w:rPr>
      </w:pPr>
      <w:r>
        <w:rPr>
          <w:rFonts w:cs="Arial"/>
          <w:szCs w:val="24"/>
        </w:rPr>
        <w:t>Per c</w:t>
      </w:r>
      <w:r w:rsidRPr="00894596">
        <w:rPr>
          <w:rFonts w:cs="Arial"/>
          <w:szCs w:val="24"/>
        </w:rPr>
        <w:t>hi ha acquistato un veicolo “ecologico” incentivato con tasse di circolazione ridotte (vedi sistema bonus introdotto nel 2009)</w:t>
      </w:r>
      <w:r>
        <w:rPr>
          <w:rFonts w:cs="Arial"/>
          <w:szCs w:val="24"/>
        </w:rPr>
        <w:t>,</w:t>
      </w:r>
      <w:r w:rsidRPr="00894596">
        <w:rPr>
          <w:rFonts w:cs="Arial"/>
          <w:szCs w:val="24"/>
        </w:rPr>
        <w:t xml:space="preserve"> ma si è visto a due riprese eliminare il bonus a seguito della modifica dei coef</w:t>
      </w:r>
      <w:r>
        <w:rPr>
          <w:rFonts w:cs="Arial"/>
          <w:szCs w:val="24"/>
        </w:rPr>
        <w:t>ficienti energetici prima e del</w:t>
      </w:r>
      <w:r w:rsidRPr="00894596">
        <w:rPr>
          <w:rFonts w:cs="Arial"/>
          <w:szCs w:val="24"/>
        </w:rPr>
        <w:t xml:space="preserve"> pacchetto di riequilibrio poi, non è più particolarmente chiaro che cosa lo Stato st</w:t>
      </w:r>
      <w:r>
        <w:rPr>
          <w:rFonts w:cs="Arial"/>
          <w:szCs w:val="24"/>
        </w:rPr>
        <w:t>i</w:t>
      </w:r>
      <w:r w:rsidRPr="00894596">
        <w:rPr>
          <w:rFonts w:cs="Arial"/>
          <w:szCs w:val="24"/>
        </w:rPr>
        <w:t>a combinando in politica ambientale e può nutrire legittimi dubbi sulla sua coerenza ed efficacia. In questo senso il Cantone dovrebbe dimostrare più continuità nelle misure già adottate evitando confusione e disillusioni.</w:t>
      </w:r>
    </w:p>
    <w:p w:rsidR="00261FC9" w:rsidRPr="00860784" w:rsidRDefault="00261FC9" w:rsidP="00261FC9">
      <w:pPr>
        <w:rPr>
          <w:rFonts w:cs="Arial"/>
          <w:sz w:val="20"/>
          <w:szCs w:val="20"/>
        </w:rPr>
      </w:pPr>
    </w:p>
    <w:p w:rsidR="00261FC9" w:rsidRPr="00894596" w:rsidRDefault="00261FC9" w:rsidP="00261FC9">
      <w:pPr>
        <w:rPr>
          <w:rFonts w:cs="Arial"/>
          <w:szCs w:val="24"/>
        </w:rPr>
      </w:pPr>
      <w:r w:rsidRPr="00894596">
        <w:rPr>
          <w:rFonts w:cs="Arial"/>
          <w:szCs w:val="24"/>
        </w:rPr>
        <w:t>Con il VEL 1 e VEL</w:t>
      </w:r>
      <w:r>
        <w:rPr>
          <w:rFonts w:cs="Arial"/>
          <w:szCs w:val="24"/>
        </w:rPr>
        <w:t xml:space="preserve"> </w:t>
      </w:r>
      <w:r w:rsidRPr="00894596">
        <w:rPr>
          <w:rFonts w:cs="Arial"/>
          <w:szCs w:val="24"/>
        </w:rPr>
        <w:t>2 il nostro Cantone ha dapprima sperimentato poi applicato misure attive per ridurre il carico ambientale della motorizzazione</w:t>
      </w:r>
      <w:r>
        <w:rPr>
          <w:rFonts w:cs="Arial"/>
          <w:szCs w:val="24"/>
        </w:rPr>
        <w:t>,</w:t>
      </w:r>
      <w:r w:rsidRPr="00894596">
        <w:rPr>
          <w:rFonts w:cs="Arial"/>
          <w:szCs w:val="24"/>
        </w:rPr>
        <w:t xml:space="preserve"> arrivando a sussidiare autovetture diesel con un carico ambientale (NOX) </w:t>
      </w:r>
      <w:r>
        <w:rPr>
          <w:rFonts w:cs="Arial"/>
          <w:szCs w:val="24"/>
        </w:rPr>
        <w:t>6</w:t>
      </w:r>
      <w:r w:rsidRPr="00894596">
        <w:rPr>
          <w:rFonts w:cs="Arial"/>
          <w:szCs w:val="24"/>
        </w:rPr>
        <w:t xml:space="preserve"> volte </w:t>
      </w:r>
      <w:r>
        <w:rPr>
          <w:rFonts w:cs="Arial"/>
          <w:szCs w:val="24"/>
        </w:rPr>
        <w:t xml:space="preserve">rispettivamente (PM) 10 volte </w:t>
      </w:r>
      <w:r w:rsidRPr="00894596">
        <w:rPr>
          <w:rFonts w:cs="Arial"/>
          <w:szCs w:val="24"/>
        </w:rPr>
        <w:t>superiore alla nuova generazione. In parallelo abbiamo lasciato porte aperte allo sviluppo sfrenato della motorizzazione tollerando posteggi abusivi e concedendone nuovi in grandi quantità.</w:t>
      </w:r>
    </w:p>
    <w:p w:rsidR="00261FC9" w:rsidRPr="00860784" w:rsidRDefault="00261FC9" w:rsidP="00261FC9">
      <w:pPr>
        <w:rPr>
          <w:rFonts w:cs="Arial"/>
          <w:sz w:val="20"/>
          <w:szCs w:val="20"/>
        </w:rPr>
      </w:pPr>
    </w:p>
    <w:p w:rsidR="00261FC9" w:rsidRPr="00894596" w:rsidRDefault="00261FC9" w:rsidP="00261FC9">
      <w:pPr>
        <w:rPr>
          <w:rFonts w:cs="Arial"/>
          <w:szCs w:val="24"/>
        </w:rPr>
      </w:pPr>
      <w:r w:rsidRPr="00894596">
        <w:rPr>
          <w:rFonts w:cs="Arial"/>
          <w:szCs w:val="24"/>
        </w:rPr>
        <w:t xml:space="preserve">Con il messaggio </w:t>
      </w:r>
      <w:r w:rsidR="00860784">
        <w:rPr>
          <w:rFonts w:cs="Arial"/>
          <w:szCs w:val="24"/>
        </w:rPr>
        <w:t xml:space="preserve">n. </w:t>
      </w:r>
      <w:r w:rsidRPr="00894596">
        <w:rPr>
          <w:rFonts w:cs="Arial"/>
          <w:szCs w:val="24"/>
        </w:rPr>
        <w:t>7540 ci troviamo di nuovo confrontati con una situazione analoga</w:t>
      </w:r>
      <w:r>
        <w:rPr>
          <w:rFonts w:cs="Arial"/>
          <w:szCs w:val="24"/>
        </w:rPr>
        <w:t>,</w:t>
      </w:r>
      <w:r w:rsidRPr="00894596">
        <w:rPr>
          <w:rFonts w:cs="Arial"/>
          <w:szCs w:val="24"/>
        </w:rPr>
        <w:t xml:space="preserve"> una nuova promozione di (seppur poche) autovetture elettriche</w:t>
      </w:r>
      <w:r>
        <w:rPr>
          <w:rFonts w:cs="Arial"/>
          <w:szCs w:val="24"/>
        </w:rPr>
        <w:t>,</w:t>
      </w:r>
      <w:r w:rsidRPr="00894596">
        <w:rPr>
          <w:rFonts w:cs="Arial"/>
          <w:szCs w:val="24"/>
        </w:rPr>
        <w:t xml:space="preserve"> che</w:t>
      </w:r>
      <w:r>
        <w:rPr>
          <w:rFonts w:cs="Arial"/>
          <w:szCs w:val="24"/>
        </w:rPr>
        <w:t>,</w:t>
      </w:r>
      <w:r w:rsidRPr="00894596">
        <w:rPr>
          <w:rFonts w:cs="Arial"/>
          <w:szCs w:val="24"/>
        </w:rPr>
        <w:t xml:space="preserve"> come abbiamo visto precedentemente</w:t>
      </w:r>
      <w:r>
        <w:rPr>
          <w:rFonts w:cs="Arial"/>
          <w:szCs w:val="24"/>
        </w:rPr>
        <w:t>,</w:t>
      </w:r>
      <w:r w:rsidRPr="00894596">
        <w:rPr>
          <w:rFonts w:cs="Arial"/>
          <w:szCs w:val="24"/>
        </w:rPr>
        <w:t xml:space="preserve"> non avranno alcun effetto tangibile n</w:t>
      </w:r>
      <w:r>
        <w:rPr>
          <w:rFonts w:cs="Arial"/>
          <w:szCs w:val="24"/>
        </w:rPr>
        <w:t>é</w:t>
      </w:r>
      <w:r w:rsidRPr="00894596">
        <w:rPr>
          <w:rFonts w:cs="Arial"/>
          <w:szCs w:val="24"/>
        </w:rPr>
        <w:t xml:space="preserve"> sul clima globale n</w:t>
      </w:r>
      <w:r>
        <w:rPr>
          <w:rFonts w:cs="Arial"/>
          <w:szCs w:val="24"/>
        </w:rPr>
        <w:t>é</w:t>
      </w:r>
      <w:r w:rsidRPr="00894596">
        <w:rPr>
          <w:rFonts w:cs="Arial"/>
          <w:szCs w:val="24"/>
        </w:rPr>
        <w:t xml:space="preserve"> sulla qualità dell’aria in Ticino.</w:t>
      </w:r>
    </w:p>
    <w:p w:rsidR="00261FC9" w:rsidRPr="00860784" w:rsidRDefault="00261FC9" w:rsidP="00261FC9">
      <w:pPr>
        <w:rPr>
          <w:rFonts w:cs="Arial"/>
          <w:sz w:val="20"/>
          <w:szCs w:val="20"/>
        </w:rPr>
      </w:pPr>
    </w:p>
    <w:p w:rsidR="00261FC9" w:rsidRPr="00894596" w:rsidRDefault="00261FC9" w:rsidP="00261FC9">
      <w:pPr>
        <w:rPr>
          <w:rFonts w:cs="Arial"/>
          <w:szCs w:val="24"/>
        </w:rPr>
      </w:pPr>
      <w:r w:rsidRPr="00894596">
        <w:rPr>
          <w:rFonts w:cs="Arial"/>
          <w:szCs w:val="24"/>
        </w:rPr>
        <w:t>Ci vuole la giusta razionalità nel giudicare queste tecnologie, non possiamo lasciarci trasportare dall’entusiasmo e dalla notorietà dei progetti pilota</w:t>
      </w:r>
      <w:r>
        <w:rPr>
          <w:rFonts w:cs="Arial"/>
          <w:szCs w:val="24"/>
        </w:rPr>
        <w:t>,</w:t>
      </w:r>
      <w:r w:rsidRPr="00894596">
        <w:rPr>
          <w:rFonts w:cs="Arial"/>
          <w:szCs w:val="24"/>
        </w:rPr>
        <w:t xml:space="preserve"> la cui forte visibilità mediatica locale </w:t>
      </w:r>
      <w:r>
        <w:rPr>
          <w:rFonts w:cs="Arial"/>
          <w:szCs w:val="24"/>
        </w:rPr>
        <w:t xml:space="preserve">ne </w:t>
      </w:r>
      <w:r w:rsidRPr="00894596">
        <w:rPr>
          <w:rFonts w:cs="Arial"/>
          <w:szCs w:val="24"/>
        </w:rPr>
        <w:t>distorce la reale consistenza. Inoltre in Svizzera e in Ticino non abbiamo un</w:t>
      </w:r>
      <w:r>
        <w:rPr>
          <w:rFonts w:cs="Arial"/>
          <w:szCs w:val="24"/>
        </w:rPr>
        <w:t>’</w:t>
      </w:r>
      <w:r w:rsidRPr="00894596">
        <w:rPr>
          <w:rFonts w:cs="Arial"/>
          <w:szCs w:val="24"/>
        </w:rPr>
        <w:t>industria automobilista da sostenere.</w:t>
      </w:r>
    </w:p>
    <w:p w:rsidR="00261FC9" w:rsidRPr="00860784" w:rsidRDefault="00261FC9" w:rsidP="00261FC9">
      <w:pPr>
        <w:rPr>
          <w:rFonts w:cs="Arial"/>
          <w:sz w:val="20"/>
          <w:szCs w:val="20"/>
        </w:rPr>
      </w:pPr>
    </w:p>
    <w:p w:rsidR="00261FC9" w:rsidRPr="00894596" w:rsidRDefault="00261FC9" w:rsidP="00261FC9">
      <w:pPr>
        <w:rPr>
          <w:rFonts w:cs="Arial"/>
          <w:szCs w:val="24"/>
        </w:rPr>
      </w:pPr>
      <w:r w:rsidRPr="00894596">
        <w:rPr>
          <w:rFonts w:cs="Arial"/>
          <w:szCs w:val="24"/>
        </w:rPr>
        <w:lastRenderedPageBreak/>
        <w:t>Di nuovo la proposta non prevede la rottamazione</w:t>
      </w:r>
      <w:r>
        <w:rPr>
          <w:rFonts w:cs="Arial"/>
          <w:szCs w:val="24"/>
        </w:rPr>
        <w:t>,</w:t>
      </w:r>
      <w:r w:rsidRPr="00894596">
        <w:rPr>
          <w:rFonts w:cs="Arial"/>
          <w:szCs w:val="24"/>
        </w:rPr>
        <w:t xml:space="preserve"> sebbene nel 2010 il rapporto PEC parlasse di incentivi per la rottamazione </w:t>
      </w:r>
      <w:r>
        <w:rPr>
          <w:rFonts w:cs="Arial"/>
          <w:szCs w:val="24"/>
        </w:rPr>
        <w:t xml:space="preserve">di </w:t>
      </w:r>
      <w:r w:rsidRPr="00894596">
        <w:rPr>
          <w:rFonts w:cs="Arial"/>
          <w:szCs w:val="24"/>
        </w:rPr>
        <w:t>auto di più di 9 anni per 500mila franchi all’anno su 3 o 9 anni.</w:t>
      </w:r>
    </w:p>
    <w:p w:rsidR="00261FC9" w:rsidRPr="00860784" w:rsidRDefault="00261FC9" w:rsidP="00261FC9">
      <w:pPr>
        <w:rPr>
          <w:rFonts w:cs="Arial"/>
          <w:sz w:val="20"/>
          <w:szCs w:val="20"/>
        </w:rPr>
      </w:pPr>
    </w:p>
    <w:p w:rsidR="00261FC9" w:rsidRPr="00894596" w:rsidRDefault="00261FC9" w:rsidP="00261FC9">
      <w:pPr>
        <w:rPr>
          <w:rFonts w:cs="Arial"/>
          <w:szCs w:val="24"/>
        </w:rPr>
      </w:pPr>
      <w:r w:rsidRPr="00894596">
        <w:rPr>
          <w:rFonts w:cs="Arial"/>
          <w:szCs w:val="24"/>
        </w:rPr>
        <w:t>Sussidiare un’autovettura elettrica</w:t>
      </w:r>
      <w:r>
        <w:rPr>
          <w:rFonts w:cs="Arial"/>
          <w:szCs w:val="24"/>
        </w:rPr>
        <w:t>,</w:t>
      </w:r>
      <w:r w:rsidRPr="00894596">
        <w:rPr>
          <w:rFonts w:cs="Arial"/>
          <w:szCs w:val="24"/>
        </w:rPr>
        <w:t xml:space="preserve"> senza condizionarlo al ritiro dalla circolazione di una vettura obsoleta e molto inquinante per rapporto agli standard 2019, non porterà altro che un</w:t>
      </w:r>
      <w:r>
        <w:rPr>
          <w:rFonts w:cs="Arial"/>
          <w:szCs w:val="24"/>
        </w:rPr>
        <w:t>’</w:t>
      </w:r>
      <w:r w:rsidRPr="00894596">
        <w:rPr>
          <w:rFonts w:cs="Arial"/>
          <w:szCs w:val="24"/>
        </w:rPr>
        <w:t>autovettura in più in circolazione sulle nostre strade, che occuperà esattamente il medesimo spazio di una convenzionale e contribuirà a mantenere alt</w:t>
      </w:r>
      <w:r>
        <w:rPr>
          <w:rFonts w:cs="Arial"/>
          <w:szCs w:val="24"/>
        </w:rPr>
        <w:t>i</w:t>
      </w:r>
      <w:r w:rsidRPr="00894596">
        <w:rPr>
          <w:rFonts w:cs="Arial"/>
          <w:szCs w:val="24"/>
        </w:rPr>
        <w:t xml:space="preserve"> </w:t>
      </w:r>
      <w:r>
        <w:rPr>
          <w:rFonts w:cs="Arial"/>
          <w:szCs w:val="24"/>
        </w:rPr>
        <w:t xml:space="preserve">il </w:t>
      </w:r>
      <w:r w:rsidRPr="00894596">
        <w:rPr>
          <w:rFonts w:cs="Arial"/>
          <w:szCs w:val="24"/>
        </w:rPr>
        <w:t xml:space="preserve">tasso di motorizzazione in Ticino e il livello di congestione </w:t>
      </w:r>
      <w:r>
        <w:rPr>
          <w:rFonts w:cs="Arial"/>
          <w:szCs w:val="24"/>
        </w:rPr>
        <w:t>de</w:t>
      </w:r>
      <w:r w:rsidRPr="00894596">
        <w:rPr>
          <w:rFonts w:cs="Arial"/>
          <w:szCs w:val="24"/>
        </w:rPr>
        <w:t>lle nostre strade.</w:t>
      </w:r>
    </w:p>
    <w:p w:rsidR="00261FC9" w:rsidRPr="00860784" w:rsidRDefault="00261FC9" w:rsidP="00261FC9">
      <w:pPr>
        <w:rPr>
          <w:rFonts w:cs="Arial"/>
          <w:sz w:val="20"/>
          <w:szCs w:val="20"/>
        </w:rPr>
      </w:pPr>
    </w:p>
    <w:p w:rsidR="00261FC9" w:rsidRPr="00894596" w:rsidRDefault="00261FC9" w:rsidP="00261FC9">
      <w:pPr>
        <w:rPr>
          <w:rFonts w:cs="Arial"/>
          <w:szCs w:val="24"/>
        </w:rPr>
      </w:pPr>
      <w:r w:rsidRPr="00894596">
        <w:rPr>
          <w:rFonts w:cs="Arial"/>
          <w:szCs w:val="24"/>
        </w:rPr>
        <w:t xml:space="preserve">La percezione che abbiamo dell’automobile elettrica però è che </w:t>
      </w:r>
      <w:r>
        <w:rPr>
          <w:rFonts w:cs="Arial"/>
          <w:szCs w:val="24"/>
        </w:rPr>
        <w:t>permetta di</w:t>
      </w:r>
      <w:r w:rsidRPr="00894596">
        <w:rPr>
          <w:rFonts w:cs="Arial"/>
          <w:szCs w:val="24"/>
        </w:rPr>
        <w:t xml:space="preserve"> circol</w:t>
      </w:r>
      <w:r>
        <w:rPr>
          <w:rFonts w:cs="Arial"/>
          <w:szCs w:val="24"/>
        </w:rPr>
        <w:t>are</w:t>
      </w:r>
      <w:r w:rsidRPr="00894596">
        <w:rPr>
          <w:rFonts w:cs="Arial"/>
          <w:szCs w:val="24"/>
        </w:rPr>
        <w:t xml:space="preserve"> senza inquinare (tra l’altro falsa</w:t>
      </w:r>
      <w:r>
        <w:rPr>
          <w:rFonts w:cs="Arial"/>
          <w:szCs w:val="24"/>
        </w:rPr>
        <w:t>,</w:t>
      </w:r>
      <w:r w:rsidRPr="00894596">
        <w:rPr>
          <w:rFonts w:cs="Arial"/>
          <w:szCs w:val="24"/>
        </w:rPr>
        <w:t xml:space="preserve"> vedi bilancio CO2) e ci porterà</w:t>
      </w:r>
      <w:r>
        <w:rPr>
          <w:rFonts w:cs="Arial"/>
          <w:szCs w:val="24"/>
        </w:rPr>
        <w:t>,</w:t>
      </w:r>
      <w:r w:rsidRPr="00894596">
        <w:rPr>
          <w:rFonts w:cs="Arial"/>
          <w:szCs w:val="24"/>
        </w:rPr>
        <w:t xml:space="preserve"> come affermato dal Direttore USTRA Jörg </w:t>
      </w:r>
      <w:proofErr w:type="spellStart"/>
      <w:r w:rsidRPr="00894596">
        <w:rPr>
          <w:rFonts w:cs="Arial"/>
          <w:szCs w:val="24"/>
        </w:rPr>
        <w:t>Röthlisberger</w:t>
      </w:r>
      <w:proofErr w:type="spellEnd"/>
      <w:r>
        <w:rPr>
          <w:rFonts w:cs="Arial"/>
          <w:szCs w:val="24"/>
        </w:rPr>
        <w:t>,</w:t>
      </w:r>
      <w:r w:rsidRPr="00894596">
        <w:rPr>
          <w:rFonts w:cs="Arial"/>
          <w:szCs w:val="24"/>
        </w:rPr>
        <w:t xml:space="preserve"> a circolare più frequentemente</w:t>
      </w:r>
      <w:r>
        <w:rPr>
          <w:rFonts w:cs="Arial"/>
          <w:szCs w:val="24"/>
        </w:rPr>
        <w:t xml:space="preserve"> (</w:t>
      </w:r>
      <w:r w:rsidRPr="00894596">
        <w:rPr>
          <w:rFonts w:cs="Arial"/>
          <w:szCs w:val="24"/>
        </w:rPr>
        <w:t xml:space="preserve">effetto </w:t>
      </w:r>
      <w:proofErr w:type="spellStart"/>
      <w:r w:rsidRPr="00894596">
        <w:rPr>
          <w:rFonts w:cs="Arial"/>
          <w:szCs w:val="24"/>
        </w:rPr>
        <w:t>rebound</w:t>
      </w:r>
      <w:proofErr w:type="spellEnd"/>
      <w:r>
        <w:rPr>
          <w:rFonts w:cs="Arial"/>
          <w:szCs w:val="24"/>
        </w:rPr>
        <w:t>)</w:t>
      </w:r>
      <w:r w:rsidRPr="00894596">
        <w:rPr>
          <w:rFonts w:cs="Arial"/>
          <w:szCs w:val="24"/>
        </w:rPr>
        <w:t>, accresce</w:t>
      </w:r>
      <w:r>
        <w:rPr>
          <w:rFonts w:cs="Arial"/>
          <w:szCs w:val="24"/>
        </w:rPr>
        <w:t xml:space="preserve">ndo </w:t>
      </w:r>
      <w:r w:rsidRPr="00894596">
        <w:rPr>
          <w:rFonts w:cs="Arial"/>
          <w:szCs w:val="24"/>
        </w:rPr>
        <w:t>ingorghi e code sulle nostre strade.</w:t>
      </w:r>
    </w:p>
    <w:p w:rsidR="00261FC9" w:rsidRPr="00860784" w:rsidRDefault="00261FC9" w:rsidP="00261FC9">
      <w:pPr>
        <w:rPr>
          <w:rFonts w:cs="Arial"/>
          <w:sz w:val="20"/>
          <w:szCs w:val="20"/>
        </w:rPr>
      </w:pPr>
    </w:p>
    <w:p w:rsidR="00261FC9" w:rsidRPr="00894596" w:rsidRDefault="00261FC9" w:rsidP="00261FC9">
      <w:pPr>
        <w:rPr>
          <w:rFonts w:cs="Arial"/>
          <w:szCs w:val="24"/>
        </w:rPr>
      </w:pPr>
      <w:r w:rsidRPr="00894596">
        <w:rPr>
          <w:rFonts w:cs="Arial"/>
          <w:szCs w:val="24"/>
        </w:rPr>
        <w:t xml:space="preserve">Il nostro Cantone ha un tasso di motorizzazione di 635 veicoli </w:t>
      </w:r>
      <w:r>
        <w:rPr>
          <w:rFonts w:cs="Arial"/>
          <w:szCs w:val="24"/>
        </w:rPr>
        <w:t xml:space="preserve">per </w:t>
      </w:r>
      <w:r w:rsidRPr="00894596">
        <w:rPr>
          <w:rFonts w:cs="Arial"/>
          <w:szCs w:val="24"/>
        </w:rPr>
        <w:t xml:space="preserve">1000 abitanti, per rapporto alla media </w:t>
      </w:r>
      <w:r>
        <w:rPr>
          <w:rFonts w:cs="Arial"/>
          <w:szCs w:val="24"/>
        </w:rPr>
        <w:t>svizzera</w:t>
      </w:r>
      <w:r w:rsidRPr="00894596">
        <w:rPr>
          <w:rFonts w:cs="Arial"/>
          <w:szCs w:val="24"/>
        </w:rPr>
        <w:t xml:space="preserve"> di 543</w:t>
      </w:r>
      <w:r>
        <w:rPr>
          <w:rFonts w:cs="Arial"/>
          <w:szCs w:val="24"/>
        </w:rPr>
        <w:t>:</w:t>
      </w:r>
      <w:r w:rsidRPr="00894596">
        <w:rPr>
          <w:rFonts w:cs="Arial"/>
          <w:szCs w:val="24"/>
        </w:rPr>
        <w:t xml:space="preserve"> sono 9</w:t>
      </w:r>
      <w:r>
        <w:rPr>
          <w:rFonts w:cs="Arial"/>
          <w:szCs w:val="24"/>
        </w:rPr>
        <w:t>2</w:t>
      </w:r>
      <w:r w:rsidRPr="00894596">
        <w:rPr>
          <w:rFonts w:cs="Arial"/>
          <w:szCs w:val="24"/>
        </w:rPr>
        <w:t xml:space="preserve"> in più</w:t>
      </w:r>
      <w:r>
        <w:rPr>
          <w:rFonts w:cs="Arial"/>
          <w:szCs w:val="24"/>
        </w:rPr>
        <w:t>.</w:t>
      </w:r>
      <w:r w:rsidRPr="00894596">
        <w:rPr>
          <w:rFonts w:cs="Arial"/>
          <w:szCs w:val="24"/>
        </w:rPr>
        <w:t xml:space="preserve"> È</w:t>
      </w:r>
      <w:r>
        <w:rPr>
          <w:rFonts w:cs="Arial"/>
          <w:szCs w:val="24"/>
        </w:rPr>
        <w:t xml:space="preserve"> </w:t>
      </w:r>
      <w:r w:rsidRPr="00894596">
        <w:rPr>
          <w:rFonts w:cs="Arial"/>
          <w:szCs w:val="24"/>
        </w:rPr>
        <w:t>su questo argomento che dobbiamo lavorare</w:t>
      </w:r>
      <w:r>
        <w:rPr>
          <w:rFonts w:cs="Arial"/>
          <w:szCs w:val="24"/>
        </w:rPr>
        <w:t>,</w:t>
      </w:r>
      <w:r w:rsidRPr="00894596">
        <w:rPr>
          <w:rFonts w:cs="Arial"/>
          <w:szCs w:val="24"/>
        </w:rPr>
        <w:t xml:space="preserve"> fissando obiettivi che </w:t>
      </w:r>
      <w:r>
        <w:rPr>
          <w:rFonts w:cs="Arial"/>
          <w:szCs w:val="24"/>
        </w:rPr>
        <w:t xml:space="preserve">per </w:t>
      </w:r>
      <w:r w:rsidRPr="00894596">
        <w:rPr>
          <w:rFonts w:cs="Arial"/>
          <w:szCs w:val="24"/>
        </w:rPr>
        <w:t>intanto il Cantone non ha.</w:t>
      </w:r>
    </w:p>
    <w:p w:rsidR="00261FC9" w:rsidRDefault="00261FC9" w:rsidP="00261FC9">
      <w:pPr>
        <w:rPr>
          <w:rFonts w:cs="Arial"/>
          <w:szCs w:val="24"/>
        </w:rPr>
      </w:pPr>
    </w:p>
    <w:p w:rsidR="00261FC9" w:rsidRPr="00FC513D" w:rsidRDefault="00261FC9" w:rsidP="00261FC9">
      <w:pPr>
        <w:rPr>
          <w:rFonts w:cs="Arial"/>
          <w:szCs w:val="24"/>
        </w:rPr>
      </w:pPr>
    </w:p>
    <w:p w:rsidR="00261FC9" w:rsidRPr="00FC513D" w:rsidRDefault="00261FC9" w:rsidP="00860784">
      <w:pPr>
        <w:pStyle w:val="Titolo1"/>
      </w:pPr>
      <w:r w:rsidRPr="00FC513D">
        <w:t>Conclusione</w:t>
      </w:r>
    </w:p>
    <w:p w:rsidR="00261FC9" w:rsidRPr="00FC513D" w:rsidRDefault="00261FC9" w:rsidP="00261FC9">
      <w:pPr>
        <w:rPr>
          <w:rFonts w:cs="Arial"/>
          <w:szCs w:val="24"/>
        </w:rPr>
      </w:pPr>
      <w:r>
        <w:rPr>
          <w:rFonts w:cs="Arial"/>
          <w:szCs w:val="24"/>
        </w:rPr>
        <w:t xml:space="preserve">Il messaggio </w:t>
      </w:r>
      <w:r w:rsidR="00860784">
        <w:rPr>
          <w:rFonts w:cs="Arial"/>
          <w:szCs w:val="24"/>
        </w:rPr>
        <w:t xml:space="preserve">n. </w:t>
      </w:r>
      <w:r>
        <w:rPr>
          <w:rFonts w:cs="Arial"/>
          <w:szCs w:val="24"/>
        </w:rPr>
        <w:t xml:space="preserve">7540 </w:t>
      </w:r>
      <w:r w:rsidRPr="00FC513D">
        <w:rPr>
          <w:rFonts w:cs="Arial"/>
          <w:szCs w:val="24"/>
        </w:rPr>
        <w:t>chiede un credito di 3 milioni</w:t>
      </w:r>
      <w:r>
        <w:rPr>
          <w:rFonts w:cs="Arial"/>
          <w:szCs w:val="24"/>
        </w:rPr>
        <w:t>,</w:t>
      </w:r>
      <w:r w:rsidRPr="00FC513D">
        <w:rPr>
          <w:rFonts w:cs="Arial"/>
          <w:szCs w:val="24"/>
        </w:rPr>
        <w:t xml:space="preserve"> dei quali 0.5 mio per impianti di ricarica. Ritenuto che lo Stato possa e debba promuovere la mobilità elettrica</w:t>
      </w:r>
      <w:r>
        <w:rPr>
          <w:rFonts w:cs="Arial"/>
          <w:szCs w:val="24"/>
        </w:rPr>
        <w:t>,</w:t>
      </w:r>
      <w:r w:rsidRPr="00FC513D">
        <w:rPr>
          <w:rFonts w:cs="Arial"/>
          <w:szCs w:val="24"/>
        </w:rPr>
        <w:t xml:space="preserve"> facilitandola </w:t>
      </w:r>
      <w:r>
        <w:rPr>
          <w:rFonts w:cs="Arial"/>
          <w:szCs w:val="24"/>
        </w:rPr>
        <w:t xml:space="preserve">con </w:t>
      </w:r>
      <w:r w:rsidRPr="00FC513D">
        <w:rPr>
          <w:rFonts w:cs="Arial"/>
          <w:szCs w:val="24"/>
        </w:rPr>
        <w:t>la realizzazione delle condizioni quadro</w:t>
      </w:r>
      <w:r>
        <w:rPr>
          <w:rFonts w:cs="Arial"/>
          <w:szCs w:val="24"/>
        </w:rPr>
        <w:t>,</w:t>
      </w:r>
      <w:r w:rsidRPr="00FC513D">
        <w:rPr>
          <w:rFonts w:cs="Arial"/>
          <w:szCs w:val="24"/>
        </w:rPr>
        <w:t xml:space="preserve"> ad esempio reti di ricarica</w:t>
      </w:r>
      <w:r>
        <w:rPr>
          <w:rFonts w:cs="Arial"/>
          <w:szCs w:val="24"/>
        </w:rPr>
        <w:t xml:space="preserve"> (</w:t>
      </w:r>
      <w:r w:rsidRPr="00FC513D">
        <w:rPr>
          <w:rFonts w:cs="Arial"/>
          <w:szCs w:val="24"/>
        </w:rPr>
        <w:t xml:space="preserve">vedi anche </w:t>
      </w:r>
      <w:proofErr w:type="spellStart"/>
      <w:r w:rsidRPr="00FC513D">
        <w:rPr>
          <w:rFonts w:cs="Arial"/>
          <w:szCs w:val="24"/>
        </w:rPr>
        <w:t>Roadmap</w:t>
      </w:r>
      <w:proofErr w:type="spellEnd"/>
      <w:r w:rsidRPr="00FC513D">
        <w:rPr>
          <w:rFonts w:cs="Arial"/>
          <w:szCs w:val="24"/>
        </w:rPr>
        <w:t xml:space="preserve"> nazionale</w:t>
      </w:r>
      <w:r>
        <w:rPr>
          <w:rFonts w:cs="Arial"/>
          <w:szCs w:val="24"/>
        </w:rPr>
        <w:t>)</w:t>
      </w:r>
      <w:r w:rsidRPr="00FC513D">
        <w:rPr>
          <w:rFonts w:cs="Arial"/>
          <w:szCs w:val="24"/>
        </w:rPr>
        <w:t>, questo importo non è in discussione.</w:t>
      </w:r>
    </w:p>
    <w:p w:rsidR="00261FC9" w:rsidRPr="00FC513D" w:rsidRDefault="00261FC9" w:rsidP="00261FC9">
      <w:pPr>
        <w:rPr>
          <w:rFonts w:cs="Arial"/>
          <w:szCs w:val="24"/>
        </w:rPr>
      </w:pPr>
    </w:p>
    <w:p w:rsidR="00261FC9" w:rsidRDefault="00261FC9" w:rsidP="00261FC9">
      <w:pPr>
        <w:rPr>
          <w:rFonts w:cs="Arial"/>
          <w:szCs w:val="24"/>
        </w:rPr>
      </w:pPr>
      <w:r w:rsidRPr="00FC513D">
        <w:rPr>
          <w:rFonts w:cs="Arial"/>
          <w:szCs w:val="24"/>
        </w:rPr>
        <w:t>Per quanto riguarda invece i 2.5 mio per sussidiare 1250 autovetture elettriche</w:t>
      </w:r>
      <w:r>
        <w:rPr>
          <w:rFonts w:cs="Arial"/>
          <w:szCs w:val="24"/>
        </w:rPr>
        <w:t>,</w:t>
      </w:r>
      <w:r w:rsidRPr="00FC513D">
        <w:rPr>
          <w:rFonts w:cs="Arial"/>
          <w:szCs w:val="24"/>
        </w:rPr>
        <w:t xml:space="preserve"> </w:t>
      </w:r>
      <w:r>
        <w:rPr>
          <w:rFonts w:cs="Arial"/>
          <w:szCs w:val="24"/>
        </w:rPr>
        <w:t>il credito</w:t>
      </w:r>
      <w:r w:rsidRPr="00FC513D">
        <w:rPr>
          <w:rFonts w:cs="Arial"/>
          <w:szCs w:val="24"/>
        </w:rPr>
        <w:t xml:space="preserve"> può essere approvato unicamente se il sussidio per una vettura elettrica è condizionato al ritiro dalla circolazione di una autovettura di vecchia generazione</w:t>
      </w:r>
      <w:r>
        <w:rPr>
          <w:rFonts w:cs="Arial"/>
          <w:szCs w:val="24"/>
        </w:rPr>
        <w:t>,</w:t>
      </w:r>
      <w:r w:rsidRPr="00FC513D">
        <w:rPr>
          <w:rFonts w:cs="Arial"/>
          <w:szCs w:val="24"/>
        </w:rPr>
        <w:t xml:space="preserve"> </w:t>
      </w:r>
      <w:r>
        <w:rPr>
          <w:rFonts w:cs="Arial"/>
          <w:szCs w:val="24"/>
        </w:rPr>
        <w:t xml:space="preserve">delle categorie </w:t>
      </w:r>
      <w:r w:rsidRPr="009B0CE1">
        <w:rPr>
          <w:rFonts w:cs="Arial"/>
          <w:szCs w:val="24"/>
        </w:rPr>
        <w:t>Euro 0 (B00), Euro 1 (B01), Euro 2 (B02), Euro 3 (B03), per ogni autovettura elettrica sussidiata</w:t>
      </w:r>
      <w:r w:rsidRPr="00FC513D">
        <w:rPr>
          <w:rFonts w:cs="Arial"/>
          <w:szCs w:val="24"/>
        </w:rPr>
        <w:t xml:space="preserve">, </w:t>
      </w:r>
      <w:r w:rsidRPr="00BE696B">
        <w:rPr>
          <w:rFonts w:cs="Arial"/>
          <w:szCs w:val="24"/>
        </w:rPr>
        <w:t>ipotizzando anche un sussidio unitario maggiore se, dopo analisi, la perdita di valore nel mercato dell’usato fosse penalizzante per la rottamazione. Si ritiene pure ipotizzabile di concedere un incentivo, da valutare, volto a sostenere l’acquisto di vetture efficienti quali le auto ibride plug-in o a gas o a idrogeno</w:t>
      </w:r>
      <w:r>
        <w:rPr>
          <w:rFonts w:cs="Arial"/>
          <w:szCs w:val="24"/>
        </w:rPr>
        <w:t>,</w:t>
      </w:r>
      <w:r w:rsidRPr="00BE696B">
        <w:rPr>
          <w:rFonts w:cs="Arial"/>
          <w:szCs w:val="24"/>
        </w:rPr>
        <w:t xml:space="preserve"> qualora la differenza di prezzo per rapporto alle convenzionali fosse ancora elevato.</w:t>
      </w:r>
    </w:p>
    <w:p w:rsidR="00860784" w:rsidRDefault="00860784" w:rsidP="00261FC9">
      <w:pPr>
        <w:rPr>
          <w:rFonts w:cs="Arial"/>
          <w:szCs w:val="24"/>
        </w:rPr>
      </w:pPr>
    </w:p>
    <w:p w:rsidR="00261FC9" w:rsidRDefault="00261FC9" w:rsidP="00261FC9">
      <w:r w:rsidRPr="00FC513D">
        <w:t xml:space="preserve">Di conseguenza si </w:t>
      </w:r>
      <w:r>
        <w:t xml:space="preserve">invita il Gran Consiglio ad </w:t>
      </w:r>
      <w:r w:rsidRPr="00FC513D">
        <w:t>approva</w:t>
      </w:r>
      <w:r>
        <w:t>re</w:t>
      </w:r>
      <w:r w:rsidRPr="00FC513D">
        <w:t xml:space="preserve"> il Messaggio e il decreto </w:t>
      </w:r>
      <w:r>
        <w:t xml:space="preserve">ad esso annesso, </w:t>
      </w:r>
      <w:r w:rsidRPr="00FC513D">
        <w:t>con l</w:t>
      </w:r>
      <w:r>
        <w:t>e</w:t>
      </w:r>
      <w:r w:rsidRPr="00FC513D">
        <w:t xml:space="preserve"> seguent</w:t>
      </w:r>
      <w:r>
        <w:t>i</w:t>
      </w:r>
      <w:r w:rsidRPr="00FC513D">
        <w:t xml:space="preserve"> modific</w:t>
      </w:r>
      <w:r>
        <w:t>he:</w:t>
      </w:r>
    </w:p>
    <w:p w:rsidR="00261FC9" w:rsidRPr="00860784" w:rsidRDefault="00261FC9" w:rsidP="00261FC9">
      <w:pPr>
        <w:rPr>
          <w:sz w:val="16"/>
          <w:szCs w:val="16"/>
        </w:rPr>
      </w:pPr>
    </w:p>
    <w:p w:rsidR="00261FC9" w:rsidRPr="00860784" w:rsidRDefault="00261FC9" w:rsidP="00261FC9">
      <w:pPr>
        <w:spacing w:after="120"/>
        <w:rPr>
          <w:rFonts w:eastAsia="Times New Roman" w:cs="Arial"/>
          <w:b/>
          <w:sz w:val="20"/>
          <w:szCs w:val="20"/>
          <w:u w:val="single"/>
          <w:lang w:val="it-IT" w:eastAsia="it-IT"/>
        </w:rPr>
      </w:pPr>
      <w:r w:rsidRPr="00860784">
        <w:rPr>
          <w:rFonts w:eastAsia="Times New Roman" w:cs="Arial"/>
          <w:b/>
          <w:sz w:val="20"/>
          <w:szCs w:val="20"/>
          <w:u w:val="single"/>
          <w:lang w:val="it-IT" w:eastAsia="it-IT"/>
        </w:rPr>
        <w:t>Articolo 1</w:t>
      </w:r>
    </w:p>
    <w:p w:rsidR="00261FC9" w:rsidRPr="00860784" w:rsidRDefault="00261FC9" w:rsidP="00261FC9">
      <w:pPr>
        <w:rPr>
          <w:rFonts w:eastAsia="Times New Roman" w:cs="Times New Roman"/>
          <w:sz w:val="20"/>
          <w:szCs w:val="20"/>
          <w:lang w:val="it-IT" w:eastAsia="it-IT"/>
        </w:rPr>
      </w:pPr>
      <w:r w:rsidRPr="00860784">
        <w:rPr>
          <w:rFonts w:eastAsia="Times New Roman" w:cs="Times New Roman"/>
          <w:sz w:val="20"/>
          <w:szCs w:val="20"/>
          <w:lang w:val="it-IT" w:eastAsia="it-IT"/>
        </w:rPr>
        <w:t xml:space="preserve">È stanziato un credito quadro di 3'000'000 di franchi per incentivare l’acquisto di veicoli </w:t>
      </w:r>
      <w:r w:rsidRPr="00860784">
        <w:rPr>
          <w:rFonts w:eastAsia="Times New Roman" w:cs="Times New Roman"/>
          <w:sz w:val="20"/>
          <w:szCs w:val="20"/>
          <w:highlight w:val="yellow"/>
          <w:lang w:val="it-IT" w:eastAsia="it-IT"/>
        </w:rPr>
        <w:t xml:space="preserve">elettrici, ibridi </w:t>
      </w:r>
      <w:proofErr w:type="spellStart"/>
      <w:r w:rsidRPr="00860784">
        <w:rPr>
          <w:rFonts w:eastAsia="Times New Roman" w:cs="Times New Roman"/>
          <w:sz w:val="20"/>
          <w:szCs w:val="20"/>
          <w:highlight w:val="green"/>
          <w:lang w:val="it-IT" w:eastAsia="it-IT"/>
        </w:rPr>
        <w:t>plug</w:t>
      </w:r>
      <w:proofErr w:type="spellEnd"/>
      <w:r w:rsidRPr="00860784">
        <w:rPr>
          <w:rFonts w:eastAsia="Times New Roman" w:cs="Times New Roman"/>
          <w:sz w:val="20"/>
          <w:szCs w:val="20"/>
          <w:highlight w:val="green"/>
          <w:lang w:val="it-IT" w:eastAsia="it-IT"/>
        </w:rPr>
        <w:t xml:space="preserve"> in</w:t>
      </w:r>
      <w:r w:rsidRPr="00860784">
        <w:rPr>
          <w:rFonts w:eastAsia="Times New Roman" w:cs="Times New Roman"/>
          <w:sz w:val="20"/>
          <w:szCs w:val="20"/>
          <w:highlight w:val="yellow"/>
          <w:lang w:val="it-IT" w:eastAsia="it-IT"/>
        </w:rPr>
        <w:t>, a gas o a idrogeno</w:t>
      </w:r>
      <w:r w:rsidRPr="00860784">
        <w:rPr>
          <w:rFonts w:eastAsia="Times New Roman" w:cs="Times New Roman"/>
          <w:sz w:val="20"/>
          <w:szCs w:val="20"/>
          <w:lang w:val="it-IT" w:eastAsia="it-IT"/>
        </w:rPr>
        <w:t>, e lo sviluppo dell’infrastruttura di ricarica elettrica domestica e sul posto di lavoro.</w:t>
      </w:r>
    </w:p>
    <w:p w:rsidR="00261FC9" w:rsidRPr="00860784" w:rsidRDefault="00261FC9" w:rsidP="00261FC9">
      <w:pPr>
        <w:rPr>
          <w:rFonts w:eastAsia="Times New Roman" w:cs="Times New Roman"/>
          <w:sz w:val="16"/>
          <w:szCs w:val="16"/>
          <w:lang w:val="it-IT" w:eastAsia="it-IT"/>
        </w:rPr>
      </w:pPr>
    </w:p>
    <w:p w:rsidR="00261FC9" w:rsidRPr="00860784" w:rsidRDefault="00261FC9" w:rsidP="00860784">
      <w:pPr>
        <w:spacing w:after="120"/>
        <w:rPr>
          <w:rFonts w:eastAsia="Times New Roman" w:cs="Arial"/>
          <w:b/>
          <w:sz w:val="20"/>
          <w:szCs w:val="20"/>
          <w:u w:val="single"/>
          <w:lang w:val="it-IT" w:eastAsia="it-IT"/>
        </w:rPr>
      </w:pPr>
      <w:r w:rsidRPr="00860784">
        <w:rPr>
          <w:rFonts w:eastAsia="Times New Roman" w:cs="Arial"/>
          <w:b/>
          <w:sz w:val="20"/>
          <w:szCs w:val="20"/>
          <w:u w:val="single"/>
          <w:lang w:val="it-IT" w:eastAsia="it-IT"/>
        </w:rPr>
        <w:t>Articolo 3</w:t>
      </w:r>
    </w:p>
    <w:p w:rsidR="00261FC9" w:rsidRPr="00860784" w:rsidRDefault="00261FC9" w:rsidP="00261FC9">
      <w:pPr>
        <w:autoSpaceDE w:val="0"/>
        <w:autoSpaceDN w:val="0"/>
        <w:adjustRightInd w:val="0"/>
        <w:rPr>
          <w:rFonts w:cs="Arial"/>
          <w:sz w:val="20"/>
          <w:szCs w:val="20"/>
        </w:rPr>
      </w:pPr>
      <w:r w:rsidRPr="00860784">
        <w:rPr>
          <w:rFonts w:cs="Arial"/>
          <w:sz w:val="20"/>
          <w:szCs w:val="20"/>
        </w:rPr>
        <w:t xml:space="preserve">Il Consiglio di Stato fissa, mediante decreto esecutivo, i criteri per la gestione del credito quadro e le relative modalità di accesso, </w:t>
      </w:r>
      <w:r w:rsidRPr="00860784">
        <w:rPr>
          <w:rFonts w:cs="Arial"/>
          <w:sz w:val="20"/>
          <w:szCs w:val="20"/>
          <w:highlight w:val="yellow"/>
        </w:rPr>
        <w:t>le quali condizionano la concessione del sussidio alla messa fuori circolazione di una vettura Euro 0 (B00), Euro 1 (B01), Euro 2 (B02), Euro 3 (B03).</w:t>
      </w:r>
    </w:p>
    <w:p w:rsidR="00261FC9" w:rsidRDefault="00261FC9" w:rsidP="00261FC9">
      <w:pPr>
        <w:rPr>
          <w:rFonts w:cs="Arial"/>
          <w:szCs w:val="24"/>
        </w:rPr>
      </w:pPr>
    </w:p>
    <w:p w:rsidR="00261FC9" w:rsidRDefault="00261FC9" w:rsidP="00261FC9">
      <w:pPr>
        <w:rPr>
          <w:rFonts w:cs="Arial"/>
          <w:szCs w:val="24"/>
        </w:rPr>
      </w:pPr>
    </w:p>
    <w:p w:rsidR="00261FC9" w:rsidRPr="00FC513D" w:rsidRDefault="00261FC9" w:rsidP="00860784">
      <w:pPr>
        <w:spacing w:after="80"/>
        <w:rPr>
          <w:rFonts w:cs="Arial"/>
          <w:szCs w:val="24"/>
        </w:rPr>
      </w:pPr>
      <w:r w:rsidRPr="00FC513D">
        <w:rPr>
          <w:rFonts w:cs="Arial"/>
          <w:szCs w:val="24"/>
        </w:rPr>
        <w:t xml:space="preserve">Per la </w:t>
      </w:r>
      <w:r>
        <w:rPr>
          <w:rFonts w:cs="Arial"/>
          <w:szCs w:val="24"/>
        </w:rPr>
        <w:t xml:space="preserve">minoranza della </w:t>
      </w:r>
      <w:r w:rsidRPr="00FC513D">
        <w:rPr>
          <w:rFonts w:cs="Arial"/>
          <w:szCs w:val="24"/>
        </w:rPr>
        <w:t>Commissione speciale energia:</w:t>
      </w:r>
    </w:p>
    <w:p w:rsidR="00261FC9" w:rsidRDefault="00261FC9" w:rsidP="00261FC9">
      <w:pPr>
        <w:rPr>
          <w:rFonts w:cs="Arial"/>
          <w:szCs w:val="24"/>
        </w:rPr>
      </w:pPr>
      <w:r w:rsidRPr="00FC513D">
        <w:rPr>
          <w:rFonts w:cs="Arial"/>
          <w:szCs w:val="24"/>
        </w:rPr>
        <w:t>Bruno Storni, relatore</w:t>
      </w:r>
    </w:p>
    <w:p w:rsidR="00957873" w:rsidRDefault="00860784" w:rsidP="00261FC9">
      <w:pPr>
        <w:rPr>
          <w:rFonts w:cs="Arial"/>
          <w:szCs w:val="24"/>
        </w:rPr>
      </w:pPr>
      <w:r>
        <w:rPr>
          <w:rFonts w:cs="Arial"/>
          <w:szCs w:val="24"/>
        </w:rPr>
        <w:t xml:space="preserve">Crugnola - Filippini (con riserva) - </w:t>
      </w:r>
    </w:p>
    <w:p w:rsidR="00261FC9" w:rsidRDefault="00860784" w:rsidP="00261FC9">
      <w:pPr>
        <w:rPr>
          <w:rFonts w:cs="Arial"/>
          <w:szCs w:val="24"/>
        </w:rPr>
      </w:pPr>
      <w:r>
        <w:rPr>
          <w:rFonts w:cs="Arial"/>
          <w:szCs w:val="24"/>
        </w:rPr>
        <w:t>Gianora - Käppeli - Lepori - Terraneo</w:t>
      </w:r>
    </w:p>
    <w:p w:rsidR="00261FC9" w:rsidRDefault="00261FC9" w:rsidP="00261FC9">
      <w:pPr>
        <w:rPr>
          <w:rFonts w:cs="Arial"/>
          <w:szCs w:val="24"/>
        </w:rPr>
        <w:sectPr w:rsidR="00261FC9" w:rsidSect="00960E6D">
          <w:footerReference w:type="default" r:id="rId12"/>
          <w:pgSz w:w="11906" w:h="16838"/>
          <w:pgMar w:top="1134" w:right="1134" w:bottom="1134" w:left="1134" w:header="709" w:footer="709" w:gutter="0"/>
          <w:cols w:space="708"/>
          <w:docGrid w:linePitch="360"/>
        </w:sectPr>
      </w:pPr>
    </w:p>
    <w:p w:rsidR="00261FC9" w:rsidRPr="006E7360" w:rsidRDefault="00261FC9" w:rsidP="00261FC9">
      <w:pPr>
        <w:spacing w:line="240" w:lineRule="atLeast"/>
        <w:rPr>
          <w:rFonts w:eastAsia="Times New Roman" w:cs="Arial"/>
          <w:szCs w:val="24"/>
          <w:lang w:val="it-IT" w:eastAsia="it-IT"/>
        </w:rPr>
      </w:pPr>
      <w:r w:rsidRPr="006E7360">
        <w:rPr>
          <w:rFonts w:eastAsia="Times New Roman" w:cs="Arial"/>
          <w:szCs w:val="24"/>
          <w:lang w:val="it-IT" w:eastAsia="it-IT"/>
        </w:rPr>
        <w:lastRenderedPageBreak/>
        <w:t>Disegno di</w:t>
      </w:r>
    </w:p>
    <w:p w:rsidR="00261FC9" w:rsidRPr="006E7360" w:rsidRDefault="00261FC9" w:rsidP="00261FC9">
      <w:pPr>
        <w:rPr>
          <w:rFonts w:eastAsia="Times New Roman" w:cs="Arial"/>
          <w:szCs w:val="24"/>
          <w:lang w:val="it-IT" w:eastAsia="it-IT"/>
        </w:rPr>
      </w:pPr>
    </w:p>
    <w:p w:rsidR="00261FC9" w:rsidRPr="006E7360" w:rsidRDefault="00261FC9" w:rsidP="00261FC9">
      <w:pPr>
        <w:spacing w:before="120" w:after="120"/>
        <w:rPr>
          <w:rFonts w:eastAsia="Times New Roman" w:cs="Arial"/>
          <w:b/>
          <w:szCs w:val="24"/>
          <w:lang w:val="it-IT" w:eastAsia="it-IT"/>
        </w:rPr>
      </w:pPr>
      <w:r w:rsidRPr="006E7360">
        <w:rPr>
          <w:rFonts w:eastAsia="Times New Roman" w:cs="Arial"/>
          <w:b/>
          <w:szCs w:val="24"/>
          <w:lang w:val="it-IT" w:eastAsia="it-IT"/>
        </w:rPr>
        <w:t>DECRETO LEGISLATIVO</w:t>
      </w:r>
    </w:p>
    <w:p w:rsidR="00261FC9" w:rsidRPr="006E7360" w:rsidRDefault="00261FC9" w:rsidP="00261FC9">
      <w:pPr>
        <w:spacing w:line="240" w:lineRule="atLeast"/>
        <w:rPr>
          <w:rFonts w:eastAsia="Times New Roman" w:cs="Arial"/>
          <w:szCs w:val="24"/>
          <w:lang w:val="it-IT" w:eastAsia="it-IT"/>
        </w:rPr>
      </w:pPr>
      <w:r w:rsidRPr="006E7360">
        <w:rPr>
          <w:rFonts w:eastAsia="Times New Roman" w:cs="Arial"/>
          <w:b/>
          <w:bCs/>
          <w:szCs w:val="24"/>
          <w:lang w:val="it-IT" w:eastAsia="it-IT"/>
        </w:rPr>
        <w:t xml:space="preserve">concernente </w:t>
      </w:r>
      <w:r w:rsidRPr="006E7360">
        <w:rPr>
          <w:rFonts w:eastAsia="Times New Roman" w:cs="Arial"/>
          <w:b/>
          <w:szCs w:val="24"/>
          <w:lang w:val="it-IT" w:eastAsia="it-IT"/>
        </w:rPr>
        <w:t>lo stanziamento di un credito quadro di 3'000'000 di franchi destinato a incentivare l’acquisto di veicoli elettrici e lo sviluppo dell’infrastruttura di ricarica elettrica domestica e sul posto di lavoro</w:t>
      </w:r>
    </w:p>
    <w:p w:rsidR="00261FC9" w:rsidRPr="00860784" w:rsidRDefault="00261FC9" w:rsidP="00261FC9">
      <w:pPr>
        <w:rPr>
          <w:rFonts w:eastAsia="Times New Roman" w:cs="Arial"/>
          <w:sz w:val="20"/>
          <w:szCs w:val="20"/>
          <w:lang w:val="it-IT" w:eastAsia="it-IT"/>
        </w:rPr>
      </w:pPr>
    </w:p>
    <w:p w:rsidR="00261FC9" w:rsidRPr="00860784" w:rsidRDefault="00261FC9" w:rsidP="00261FC9">
      <w:pPr>
        <w:rPr>
          <w:rFonts w:eastAsia="Times New Roman" w:cs="Arial"/>
          <w:sz w:val="20"/>
          <w:szCs w:val="20"/>
          <w:lang w:val="it-IT" w:eastAsia="it-IT"/>
        </w:rPr>
      </w:pPr>
    </w:p>
    <w:p w:rsidR="00261FC9" w:rsidRPr="006E7360" w:rsidRDefault="00261FC9" w:rsidP="00261FC9">
      <w:pPr>
        <w:rPr>
          <w:rFonts w:eastAsia="Times New Roman" w:cs="Arial"/>
          <w:szCs w:val="24"/>
          <w:lang w:val="it-IT" w:eastAsia="it-IT"/>
        </w:rPr>
      </w:pPr>
      <w:r w:rsidRPr="006E7360">
        <w:rPr>
          <w:rFonts w:eastAsia="Times New Roman" w:cs="Arial"/>
          <w:szCs w:val="24"/>
          <w:lang w:val="it-IT" w:eastAsia="it-IT"/>
        </w:rPr>
        <w:t>IL GRAN CONSIGLIO</w:t>
      </w:r>
    </w:p>
    <w:p w:rsidR="00261FC9" w:rsidRPr="006E7360" w:rsidRDefault="00261FC9" w:rsidP="00261FC9">
      <w:pPr>
        <w:rPr>
          <w:rFonts w:eastAsia="Times New Roman" w:cs="Arial"/>
          <w:szCs w:val="24"/>
          <w:lang w:val="it-IT" w:eastAsia="it-IT"/>
        </w:rPr>
      </w:pPr>
      <w:r w:rsidRPr="006E7360">
        <w:rPr>
          <w:rFonts w:eastAsia="Times New Roman" w:cs="Arial"/>
          <w:szCs w:val="24"/>
          <w:lang w:val="it-IT" w:eastAsia="it-IT"/>
        </w:rPr>
        <w:t>DELLA REPUBBLICA E CANTONE TICINO</w:t>
      </w:r>
    </w:p>
    <w:p w:rsidR="00261FC9" w:rsidRPr="006E7360" w:rsidRDefault="00261FC9" w:rsidP="00261FC9">
      <w:pPr>
        <w:rPr>
          <w:rFonts w:eastAsia="Times New Roman" w:cs="Arial"/>
          <w:szCs w:val="24"/>
          <w:lang w:val="it-IT" w:eastAsia="it-IT"/>
        </w:rPr>
      </w:pPr>
    </w:p>
    <w:p w:rsidR="00261FC9" w:rsidRPr="006E7360" w:rsidRDefault="00261FC9" w:rsidP="00261FC9">
      <w:pPr>
        <w:tabs>
          <w:tab w:val="left" w:pos="284"/>
        </w:tabs>
        <w:rPr>
          <w:rFonts w:eastAsia="Times New Roman" w:cs="Arial"/>
          <w:szCs w:val="24"/>
          <w:lang w:val="it-IT" w:eastAsia="it-IT"/>
        </w:rPr>
      </w:pPr>
      <w:r>
        <w:rPr>
          <w:rFonts w:eastAsia="Times New Roman" w:cs="Arial"/>
          <w:szCs w:val="24"/>
          <w:lang w:val="it-IT" w:eastAsia="it-IT"/>
        </w:rPr>
        <w:t>-</w:t>
      </w:r>
      <w:r>
        <w:rPr>
          <w:rFonts w:eastAsia="Times New Roman" w:cs="Arial"/>
          <w:szCs w:val="24"/>
          <w:lang w:val="it-IT" w:eastAsia="it-IT"/>
        </w:rPr>
        <w:tab/>
      </w:r>
      <w:r w:rsidRPr="006E7360">
        <w:rPr>
          <w:rFonts w:eastAsia="Times New Roman" w:cs="Arial"/>
          <w:szCs w:val="24"/>
          <w:lang w:val="it-IT" w:eastAsia="it-IT"/>
        </w:rPr>
        <w:t>visto il messaggio 30 maggio 2018 n. 7540 del Consiglio di Stato,</w:t>
      </w:r>
    </w:p>
    <w:p w:rsidR="00261FC9" w:rsidRPr="006E7360" w:rsidRDefault="00261FC9" w:rsidP="00860784">
      <w:pPr>
        <w:tabs>
          <w:tab w:val="left" w:pos="284"/>
        </w:tabs>
        <w:spacing w:before="120"/>
        <w:ind w:left="284" w:hanging="284"/>
        <w:rPr>
          <w:rFonts w:eastAsia="Times New Roman" w:cs="Arial"/>
          <w:szCs w:val="24"/>
          <w:lang w:val="it-IT" w:eastAsia="it-IT"/>
        </w:rPr>
      </w:pPr>
      <w:r>
        <w:rPr>
          <w:rFonts w:eastAsia="Times New Roman" w:cs="Arial"/>
          <w:szCs w:val="24"/>
          <w:lang w:val="it-IT" w:eastAsia="it-IT"/>
        </w:rPr>
        <w:t>-</w:t>
      </w:r>
      <w:r>
        <w:rPr>
          <w:rFonts w:eastAsia="Times New Roman" w:cs="Arial"/>
          <w:szCs w:val="24"/>
          <w:lang w:val="it-IT" w:eastAsia="it-IT"/>
        </w:rPr>
        <w:tab/>
        <w:t xml:space="preserve">visto il rapporto 5 febbraio 2019 n. 7540 </w:t>
      </w:r>
      <w:r w:rsidRPr="00860784">
        <w:rPr>
          <w:rFonts w:eastAsia="Times New Roman" w:cs="Arial"/>
          <w:szCs w:val="24"/>
          <w:lang w:val="it-IT" w:eastAsia="it-IT"/>
        </w:rPr>
        <w:t>R</w:t>
      </w:r>
      <w:r>
        <w:rPr>
          <w:rFonts w:eastAsia="Times New Roman" w:cs="Arial"/>
          <w:szCs w:val="24"/>
          <w:lang w:val="it-IT" w:eastAsia="it-IT"/>
        </w:rPr>
        <w:t xml:space="preserve">2 della </w:t>
      </w:r>
      <w:r w:rsidR="00860784">
        <w:rPr>
          <w:rFonts w:eastAsia="Times New Roman" w:cs="Arial"/>
          <w:szCs w:val="24"/>
          <w:lang w:val="it-IT" w:eastAsia="it-IT"/>
        </w:rPr>
        <w:t xml:space="preserve">minoranza della </w:t>
      </w:r>
      <w:r>
        <w:rPr>
          <w:rFonts w:eastAsia="Times New Roman" w:cs="Arial"/>
          <w:szCs w:val="24"/>
          <w:lang w:val="it-IT" w:eastAsia="it-IT"/>
        </w:rPr>
        <w:t>Commissione speciale energia,</w:t>
      </w:r>
    </w:p>
    <w:p w:rsidR="00261FC9" w:rsidRPr="00860784" w:rsidRDefault="00261FC9" w:rsidP="00261FC9">
      <w:pPr>
        <w:rPr>
          <w:rFonts w:eastAsia="Times New Roman" w:cs="Arial"/>
          <w:sz w:val="20"/>
          <w:szCs w:val="20"/>
          <w:lang w:val="it-IT" w:eastAsia="it-IT"/>
        </w:rPr>
      </w:pPr>
    </w:p>
    <w:p w:rsidR="00261FC9" w:rsidRPr="00860784" w:rsidRDefault="00261FC9" w:rsidP="00261FC9">
      <w:pPr>
        <w:rPr>
          <w:rFonts w:eastAsia="Times New Roman" w:cs="Arial"/>
          <w:sz w:val="20"/>
          <w:szCs w:val="20"/>
          <w:lang w:val="it-IT" w:eastAsia="it-IT"/>
        </w:rPr>
      </w:pPr>
    </w:p>
    <w:p w:rsidR="00261FC9" w:rsidRPr="006E7360" w:rsidRDefault="00261FC9" w:rsidP="00261FC9">
      <w:pPr>
        <w:rPr>
          <w:rFonts w:eastAsia="Times New Roman" w:cs="Arial"/>
          <w:b/>
          <w:szCs w:val="24"/>
          <w:lang w:val="it-IT" w:eastAsia="it-IT"/>
        </w:rPr>
      </w:pPr>
      <w:r w:rsidRPr="006E7360">
        <w:rPr>
          <w:rFonts w:eastAsia="Times New Roman" w:cs="Arial"/>
          <w:b/>
          <w:szCs w:val="24"/>
          <w:lang w:val="it-IT" w:eastAsia="it-IT"/>
        </w:rPr>
        <w:t>d e c r e t a :</w:t>
      </w:r>
    </w:p>
    <w:p w:rsidR="00261FC9" w:rsidRPr="00860784" w:rsidRDefault="00261FC9" w:rsidP="00261FC9">
      <w:pPr>
        <w:rPr>
          <w:rFonts w:eastAsia="Times New Roman" w:cs="Arial"/>
          <w:sz w:val="20"/>
          <w:szCs w:val="20"/>
          <w:lang w:val="it-IT" w:eastAsia="it-IT"/>
        </w:rPr>
      </w:pPr>
    </w:p>
    <w:p w:rsidR="00261FC9" w:rsidRPr="00860784" w:rsidRDefault="00261FC9" w:rsidP="00261FC9">
      <w:pPr>
        <w:rPr>
          <w:rFonts w:eastAsia="Times New Roman" w:cs="Arial"/>
          <w:sz w:val="20"/>
          <w:szCs w:val="20"/>
          <w:lang w:val="it-IT" w:eastAsia="it-IT"/>
        </w:rPr>
      </w:pPr>
    </w:p>
    <w:p w:rsidR="00261FC9" w:rsidRPr="006E7360" w:rsidRDefault="00261FC9" w:rsidP="00261FC9">
      <w:pPr>
        <w:spacing w:after="120"/>
        <w:rPr>
          <w:rFonts w:eastAsia="Times New Roman" w:cs="Arial"/>
          <w:b/>
          <w:sz w:val="23"/>
          <w:szCs w:val="23"/>
          <w:u w:val="single"/>
          <w:lang w:val="it-IT" w:eastAsia="it-IT"/>
        </w:rPr>
      </w:pPr>
      <w:r w:rsidRPr="006E7360">
        <w:rPr>
          <w:rFonts w:eastAsia="Times New Roman" w:cs="Arial"/>
          <w:b/>
          <w:sz w:val="23"/>
          <w:szCs w:val="23"/>
          <w:u w:val="single"/>
          <w:lang w:val="it-IT" w:eastAsia="it-IT"/>
        </w:rPr>
        <w:t>Articolo 1</w:t>
      </w:r>
    </w:p>
    <w:p w:rsidR="00261FC9" w:rsidRPr="006E7360" w:rsidRDefault="00261FC9" w:rsidP="00261FC9">
      <w:pPr>
        <w:rPr>
          <w:rFonts w:eastAsia="Times New Roman" w:cs="Times New Roman"/>
          <w:szCs w:val="20"/>
          <w:lang w:val="it-IT" w:eastAsia="it-IT"/>
        </w:rPr>
      </w:pPr>
      <w:r w:rsidRPr="006E7360">
        <w:rPr>
          <w:rFonts w:eastAsia="Times New Roman" w:cs="Times New Roman"/>
          <w:szCs w:val="20"/>
          <w:lang w:val="it-IT" w:eastAsia="it-IT"/>
        </w:rPr>
        <w:t xml:space="preserve">È stanziato un credito quadro di 3'000'000 di franchi per incentivare l’acquisto di veicoli </w:t>
      </w:r>
      <w:r w:rsidRPr="00860784">
        <w:rPr>
          <w:rFonts w:eastAsia="Times New Roman" w:cs="Times New Roman"/>
          <w:szCs w:val="20"/>
          <w:lang w:val="it-IT" w:eastAsia="it-IT"/>
        </w:rPr>
        <w:t xml:space="preserve">elettrici, ibridi </w:t>
      </w:r>
      <w:proofErr w:type="spellStart"/>
      <w:r w:rsidRPr="00860784">
        <w:rPr>
          <w:rFonts w:eastAsia="Times New Roman" w:cs="Times New Roman"/>
          <w:szCs w:val="20"/>
          <w:lang w:val="it-IT" w:eastAsia="it-IT"/>
        </w:rPr>
        <w:t>plug</w:t>
      </w:r>
      <w:proofErr w:type="spellEnd"/>
      <w:r w:rsidRPr="00860784">
        <w:rPr>
          <w:rFonts w:eastAsia="Times New Roman" w:cs="Times New Roman"/>
          <w:szCs w:val="20"/>
          <w:lang w:val="it-IT" w:eastAsia="it-IT"/>
        </w:rPr>
        <w:t xml:space="preserve"> in, a gas o a idrogeno</w:t>
      </w:r>
      <w:r>
        <w:rPr>
          <w:rFonts w:eastAsia="Times New Roman" w:cs="Times New Roman"/>
          <w:szCs w:val="20"/>
          <w:lang w:val="it-IT" w:eastAsia="it-IT"/>
        </w:rPr>
        <w:t>,</w:t>
      </w:r>
      <w:r w:rsidRPr="006E7360">
        <w:rPr>
          <w:rFonts w:eastAsia="Times New Roman" w:cs="Times New Roman"/>
          <w:szCs w:val="20"/>
          <w:lang w:val="it-IT" w:eastAsia="it-IT"/>
        </w:rPr>
        <w:t xml:space="preserve"> e lo sviluppo dell’infrastruttura di ricarica elettrica domestica e sul posto di lavoro.</w:t>
      </w:r>
    </w:p>
    <w:p w:rsidR="00261FC9" w:rsidRPr="00860784" w:rsidRDefault="00261FC9" w:rsidP="00261FC9">
      <w:pPr>
        <w:rPr>
          <w:rFonts w:eastAsia="Times New Roman" w:cs="Times New Roman"/>
          <w:sz w:val="20"/>
          <w:szCs w:val="20"/>
          <w:lang w:val="it-IT" w:eastAsia="it-IT"/>
        </w:rPr>
      </w:pPr>
    </w:p>
    <w:p w:rsidR="00261FC9" w:rsidRPr="00860784" w:rsidRDefault="00261FC9" w:rsidP="00261FC9">
      <w:pPr>
        <w:rPr>
          <w:rFonts w:eastAsia="Times New Roman" w:cs="Times New Roman"/>
          <w:sz w:val="20"/>
          <w:szCs w:val="20"/>
          <w:lang w:val="it-IT" w:eastAsia="it-IT"/>
        </w:rPr>
      </w:pPr>
    </w:p>
    <w:p w:rsidR="00261FC9" w:rsidRPr="006E7360" w:rsidRDefault="00261FC9" w:rsidP="00261FC9">
      <w:pPr>
        <w:spacing w:after="120"/>
        <w:rPr>
          <w:rFonts w:eastAsia="Times New Roman" w:cs="Arial"/>
          <w:b/>
          <w:sz w:val="23"/>
          <w:szCs w:val="23"/>
          <w:u w:val="single"/>
          <w:lang w:val="it-IT" w:eastAsia="it-IT"/>
        </w:rPr>
      </w:pPr>
      <w:r w:rsidRPr="006E7360">
        <w:rPr>
          <w:rFonts w:eastAsia="Times New Roman" w:cs="Arial"/>
          <w:b/>
          <w:sz w:val="23"/>
          <w:szCs w:val="23"/>
          <w:u w:val="single"/>
          <w:lang w:val="it-IT" w:eastAsia="it-IT"/>
        </w:rPr>
        <w:t>Articolo 2</w:t>
      </w:r>
    </w:p>
    <w:p w:rsidR="00261FC9" w:rsidRPr="006E7360" w:rsidRDefault="00261FC9" w:rsidP="00261FC9">
      <w:pPr>
        <w:rPr>
          <w:rFonts w:eastAsia="Times New Roman" w:cs="Times New Roman"/>
          <w:szCs w:val="20"/>
          <w:lang w:val="it-IT" w:eastAsia="it-IT"/>
        </w:rPr>
      </w:pPr>
      <w:r w:rsidRPr="006E7360">
        <w:rPr>
          <w:rFonts w:eastAsia="Times New Roman" w:cs="Times New Roman"/>
          <w:szCs w:val="20"/>
          <w:lang w:val="it-IT" w:eastAsia="it-IT"/>
        </w:rPr>
        <w:t>Il Consiglio di Stato ripartisce il credito quadro in crediti d’impegno per gli incentivi all’acquisto di veicoli totalmente elettrici e all’installazione di ricariche per veicoli elettrici a domicilio e presso datori di lavoro.</w:t>
      </w:r>
    </w:p>
    <w:p w:rsidR="00261FC9" w:rsidRPr="00860784" w:rsidRDefault="00261FC9" w:rsidP="00261FC9">
      <w:pPr>
        <w:rPr>
          <w:rFonts w:eastAsia="Times New Roman" w:cs="Times New Roman"/>
          <w:sz w:val="20"/>
          <w:szCs w:val="20"/>
          <w:lang w:val="it-IT" w:eastAsia="it-IT"/>
        </w:rPr>
      </w:pPr>
    </w:p>
    <w:p w:rsidR="00261FC9" w:rsidRPr="00860784" w:rsidRDefault="00261FC9" w:rsidP="00261FC9">
      <w:pPr>
        <w:rPr>
          <w:rFonts w:eastAsia="Times New Roman" w:cs="Times New Roman"/>
          <w:sz w:val="20"/>
          <w:szCs w:val="20"/>
          <w:lang w:val="it-IT" w:eastAsia="it-IT"/>
        </w:rPr>
      </w:pPr>
    </w:p>
    <w:p w:rsidR="00261FC9" w:rsidRPr="006E7360" w:rsidRDefault="00261FC9" w:rsidP="00261FC9">
      <w:pPr>
        <w:spacing w:after="120"/>
        <w:rPr>
          <w:rFonts w:eastAsia="Times New Roman" w:cs="Arial"/>
          <w:b/>
          <w:sz w:val="23"/>
          <w:szCs w:val="23"/>
          <w:u w:val="single"/>
          <w:lang w:val="it-IT" w:eastAsia="it-IT"/>
        </w:rPr>
      </w:pPr>
      <w:r w:rsidRPr="006E7360">
        <w:rPr>
          <w:rFonts w:eastAsia="Times New Roman" w:cs="Arial"/>
          <w:b/>
          <w:sz w:val="23"/>
          <w:szCs w:val="23"/>
          <w:u w:val="single"/>
          <w:lang w:val="it-IT" w:eastAsia="it-IT"/>
        </w:rPr>
        <w:t>Articolo 3</w:t>
      </w:r>
    </w:p>
    <w:p w:rsidR="00261FC9" w:rsidRPr="003A1BDD" w:rsidRDefault="00261FC9" w:rsidP="00261FC9">
      <w:pPr>
        <w:autoSpaceDE w:val="0"/>
        <w:autoSpaceDN w:val="0"/>
        <w:adjustRightInd w:val="0"/>
        <w:rPr>
          <w:rFonts w:cs="Arial"/>
          <w:szCs w:val="24"/>
        </w:rPr>
      </w:pPr>
      <w:r w:rsidRPr="00FC513D">
        <w:rPr>
          <w:rFonts w:cs="Arial"/>
          <w:szCs w:val="24"/>
        </w:rPr>
        <w:t>Il Consiglio di Stato fissa, mediante decreto esecutivo, i criteri per la gestione del credito</w:t>
      </w:r>
      <w:r>
        <w:rPr>
          <w:rFonts w:cs="Arial"/>
          <w:szCs w:val="24"/>
        </w:rPr>
        <w:t xml:space="preserve"> </w:t>
      </w:r>
      <w:r w:rsidRPr="00FC513D">
        <w:rPr>
          <w:rFonts w:cs="Arial"/>
          <w:szCs w:val="24"/>
        </w:rPr>
        <w:t>quadro e le relative modalità di accesso</w:t>
      </w:r>
      <w:r>
        <w:rPr>
          <w:rFonts w:cs="Arial"/>
          <w:szCs w:val="24"/>
        </w:rPr>
        <w:t>,</w:t>
      </w:r>
      <w:r w:rsidRPr="00FC513D">
        <w:rPr>
          <w:rFonts w:cs="Arial"/>
          <w:szCs w:val="24"/>
        </w:rPr>
        <w:t xml:space="preserve"> </w:t>
      </w:r>
      <w:r w:rsidRPr="00860784">
        <w:rPr>
          <w:rFonts w:cs="Arial"/>
          <w:szCs w:val="24"/>
        </w:rPr>
        <w:t>le quali condizionano la concessione del sussidio alla messa fuori circolazione di una vettura Euro 0 (B00), Euro 1 (B01), Euro 2 (B02), Euro 3 (B03).</w:t>
      </w:r>
    </w:p>
    <w:p w:rsidR="00261FC9" w:rsidRPr="00860784" w:rsidRDefault="00261FC9" w:rsidP="00261FC9">
      <w:pPr>
        <w:rPr>
          <w:rFonts w:eastAsia="Times New Roman" w:cs="Arial"/>
          <w:sz w:val="20"/>
          <w:szCs w:val="20"/>
          <w:lang w:val="it-IT" w:eastAsia="it-IT"/>
        </w:rPr>
      </w:pPr>
    </w:p>
    <w:p w:rsidR="00261FC9" w:rsidRPr="00860784" w:rsidRDefault="00261FC9" w:rsidP="00261FC9">
      <w:pPr>
        <w:rPr>
          <w:rFonts w:eastAsia="Times New Roman" w:cs="Arial"/>
          <w:sz w:val="20"/>
          <w:szCs w:val="20"/>
          <w:lang w:val="it-IT" w:eastAsia="it-IT"/>
        </w:rPr>
      </w:pPr>
    </w:p>
    <w:p w:rsidR="00261FC9" w:rsidRPr="006E7360" w:rsidRDefault="00261FC9" w:rsidP="00261FC9">
      <w:pPr>
        <w:spacing w:after="120"/>
        <w:rPr>
          <w:rFonts w:eastAsia="Times New Roman" w:cs="Arial"/>
          <w:b/>
          <w:sz w:val="23"/>
          <w:szCs w:val="23"/>
          <w:u w:val="single"/>
          <w:lang w:val="it-IT" w:eastAsia="it-IT"/>
        </w:rPr>
      </w:pPr>
      <w:r w:rsidRPr="006E7360">
        <w:rPr>
          <w:rFonts w:eastAsia="Times New Roman" w:cs="Arial"/>
          <w:b/>
          <w:sz w:val="23"/>
          <w:szCs w:val="23"/>
          <w:u w:val="single"/>
          <w:lang w:val="it-IT" w:eastAsia="it-IT"/>
        </w:rPr>
        <w:t>Articolo 4</w:t>
      </w:r>
    </w:p>
    <w:p w:rsidR="00261FC9" w:rsidRPr="006E7360" w:rsidRDefault="00261FC9" w:rsidP="00261FC9">
      <w:pPr>
        <w:rPr>
          <w:rFonts w:eastAsia="Times New Roman" w:cs="Times New Roman"/>
          <w:szCs w:val="20"/>
          <w:lang w:val="it-IT" w:eastAsia="it-IT"/>
        </w:rPr>
      </w:pPr>
      <w:r w:rsidRPr="006E7360">
        <w:rPr>
          <w:rFonts w:eastAsia="Times New Roman" w:cs="Times New Roman"/>
          <w:szCs w:val="20"/>
          <w:lang w:val="it-IT" w:eastAsia="it-IT"/>
        </w:rPr>
        <w:t>Il credito è iscritto al conto investimenti del Dipartimento del territorio, Sezione protezione aria, acqua e suolo.</w:t>
      </w:r>
    </w:p>
    <w:p w:rsidR="00261FC9" w:rsidRPr="00860784" w:rsidRDefault="00261FC9" w:rsidP="00261FC9">
      <w:pPr>
        <w:rPr>
          <w:rFonts w:eastAsia="Times New Roman" w:cs="Times New Roman"/>
          <w:sz w:val="20"/>
          <w:szCs w:val="20"/>
          <w:lang w:val="it-IT" w:eastAsia="it-IT"/>
        </w:rPr>
      </w:pPr>
    </w:p>
    <w:p w:rsidR="00261FC9" w:rsidRPr="00860784" w:rsidRDefault="00261FC9" w:rsidP="00261FC9">
      <w:pPr>
        <w:rPr>
          <w:rFonts w:eastAsia="Times New Roman" w:cs="Times New Roman"/>
          <w:sz w:val="20"/>
          <w:szCs w:val="20"/>
          <w:lang w:val="it-IT" w:eastAsia="it-IT"/>
        </w:rPr>
      </w:pPr>
    </w:p>
    <w:p w:rsidR="00261FC9" w:rsidRPr="006E7360" w:rsidRDefault="00261FC9" w:rsidP="00261FC9">
      <w:pPr>
        <w:spacing w:after="120"/>
        <w:rPr>
          <w:rFonts w:eastAsia="Times New Roman" w:cs="Arial"/>
          <w:b/>
          <w:sz w:val="23"/>
          <w:szCs w:val="23"/>
          <w:u w:val="single"/>
          <w:lang w:val="it-IT" w:eastAsia="it-IT"/>
        </w:rPr>
      </w:pPr>
      <w:r w:rsidRPr="006E7360">
        <w:rPr>
          <w:rFonts w:eastAsia="Times New Roman" w:cs="Arial"/>
          <w:b/>
          <w:sz w:val="23"/>
          <w:szCs w:val="23"/>
          <w:u w:val="single"/>
          <w:lang w:val="it-IT" w:eastAsia="it-IT"/>
        </w:rPr>
        <w:t>Articolo 5</w:t>
      </w:r>
    </w:p>
    <w:p w:rsidR="00261FC9" w:rsidRPr="006E7360" w:rsidRDefault="00261FC9" w:rsidP="00261FC9">
      <w:pPr>
        <w:rPr>
          <w:rFonts w:eastAsia="Times New Roman" w:cs="Times New Roman"/>
          <w:szCs w:val="20"/>
          <w:lang w:eastAsia="it-IT"/>
        </w:rPr>
      </w:pPr>
      <w:r w:rsidRPr="006E7360">
        <w:rPr>
          <w:rFonts w:eastAsia="Times New Roman" w:cs="Times New Roman"/>
          <w:szCs w:val="20"/>
          <w:lang w:eastAsia="it-IT"/>
        </w:rPr>
        <w:t>Il Consiglio di Stato presenterà annualmente un rapporto comprendente il rendiconto delle misure di promozione intraprese e sui risultati conseguiti.</w:t>
      </w:r>
    </w:p>
    <w:p w:rsidR="00261FC9" w:rsidRPr="00860784" w:rsidRDefault="00261FC9" w:rsidP="00261FC9">
      <w:pPr>
        <w:rPr>
          <w:rFonts w:eastAsia="Times New Roman" w:cs="Times New Roman"/>
          <w:sz w:val="20"/>
          <w:szCs w:val="20"/>
          <w:lang w:val="it-IT" w:eastAsia="it-IT"/>
        </w:rPr>
      </w:pPr>
    </w:p>
    <w:p w:rsidR="00261FC9" w:rsidRPr="00860784" w:rsidRDefault="00261FC9" w:rsidP="00261FC9">
      <w:pPr>
        <w:rPr>
          <w:rFonts w:eastAsia="Times New Roman" w:cs="Times New Roman"/>
          <w:sz w:val="20"/>
          <w:szCs w:val="20"/>
          <w:lang w:val="it-IT" w:eastAsia="it-IT"/>
        </w:rPr>
      </w:pPr>
    </w:p>
    <w:p w:rsidR="00261FC9" w:rsidRPr="006E7360" w:rsidRDefault="00261FC9" w:rsidP="00261FC9">
      <w:pPr>
        <w:spacing w:after="120"/>
        <w:rPr>
          <w:rFonts w:eastAsia="Times New Roman" w:cs="Arial"/>
          <w:b/>
          <w:sz w:val="23"/>
          <w:szCs w:val="23"/>
          <w:u w:val="single"/>
          <w:lang w:val="it-IT" w:eastAsia="it-IT"/>
        </w:rPr>
      </w:pPr>
      <w:r w:rsidRPr="006E7360">
        <w:rPr>
          <w:rFonts w:eastAsia="Times New Roman" w:cs="Arial"/>
          <w:b/>
          <w:sz w:val="23"/>
          <w:szCs w:val="23"/>
          <w:u w:val="single"/>
          <w:lang w:val="it-IT" w:eastAsia="it-IT"/>
        </w:rPr>
        <w:t>Articolo 6</w:t>
      </w:r>
    </w:p>
    <w:p w:rsidR="00CB127C" w:rsidRDefault="00261FC9" w:rsidP="00CB127C">
      <w:r w:rsidRPr="006E7360">
        <w:rPr>
          <w:rFonts w:eastAsia="Times New Roman" w:cs="Times New Roman"/>
          <w:szCs w:val="20"/>
          <w:lang w:val="it-IT" w:eastAsia="it-IT"/>
        </w:rPr>
        <w:t>Trascorsi i termini per l’esercizio del diritto di referendum, il presente decreto è pubblicato nel Bollettino ufficiale delle leggi ed entra immediatamente in vigore.</w:t>
      </w:r>
    </w:p>
    <w:sectPr w:rsidR="00CB127C" w:rsidSect="00F242E5">
      <w:footerReference w:type="default" r:id="rId13"/>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98" w:rsidRDefault="00357598" w:rsidP="008E77C6">
      <w:r>
        <w:separator/>
      </w:r>
    </w:p>
  </w:endnote>
  <w:endnote w:type="continuationSeparator" w:id="0">
    <w:p w:rsidR="00357598" w:rsidRDefault="0035759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24"/>
      </w:rPr>
      <w:id w:val="670991878"/>
      <w:docPartObj>
        <w:docPartGallery w:val="Page Numbers (Bottom of Page)"/>
        <w:docPartUnique/>
      </w:docPartObj>
    </w:sdtPr>
    <w:sdtEndPr>
      <w:rPr>
        <w:sz w:val="20"/>
        <w:szCs w:val="20"/>
      </w:rPr>
    </w:sdtEndPr>
    <w:sdtContent>
      <w:p w:rsidR="00261FC9" w:rsidRPr="00860784" w:rsidRDefault="00261FC9" w:rsidP="00B26196">
        <w:pPr>
          <w:pStyle w:val="Pidipagina"/>
          <w:jc w:val="center"/>
          <w:rPr>
            <w:rFonts w:cs="Arial"/>
            <w:sz w:val="20"/>
            <w:szCs w:val="20"/>
          </w:rPr>
        </w:pPr>
        <w:r w:rsidRPr="00860784">
          <w:rPr>
            <w:rFonts w:cs="Arial"/>
            <w:sz w:val="20"/>
            <w:szCs w:val="20"/>
          </w:rPr>
          <w:fldChar w:fldCharType="begin"/>
        </w:r>
        <w:r w:rsidRPr="00860784">
          <w:rPr>
            <w:rFonts w:cs="Arial"/>
            <w:sz w:val="20"/>
            <w:szCs w:val="20"/>
          </w:rPr>
          <w:instrText>PAGE   \* MERGEFORMAT</w:instrText>
        </w:r>
        <w:r w:rsidRPr="00860784">
          <w:rPr>
            <w:rFonts w:cs="Arial"/>
            <w:sz w:val="20"/>
            <w:szCs w:val="20"/>
          </w:rPr>
          <w:fldChar w:fldCharType="separate"/>
        </w:r>
        <w:r w:rsidR="00394134" w:rsidRPr="00394134">
          <w:rPr>
            <w:rFonts w:cs="Arial"/>
            <w:noProof/>
            <w:sz w:val="20"/>
            <w:szCs w:val="20"/>
            <w:lang w:val="it-IT"/>
          </w:rPr>
          <w:t>1</w:t>
        </w:r>
        <w:r w:rsidRPr="00860784">
          <w:rPr>
            <w:rFonts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94134" w:rsidRPr="00394134">
          <w:rPr>
            <w:noProof/>
            <w:sz w:val="20"/>
            <w:szCs w:val="20"/>
            <w:lang w:val="it-IT"/>
          </w:rPr>
          <w:t>10</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98" w:rsidRDefault="00357598" w:rsidP="008E77C6">
      <w:r>
        <w:separator/>
      </w:r>
    </w:p>
  </w:footnote>
  <w:footnote w:type="continuationSeparator" w:id="0">
    <w:p w:rsidR="00357598" w:rsidRDefault="0035759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DD467374"/>
    <w:lvl w:ilvl="0" w:tplc="ADB4550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48D4006"/>
    <w:multiLevelType w:val="hybridMultilevel"/>
    <w:tmpl w:val="AB347F8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0385547"/>
    <w:multiLevelType w:val="hybridMultilevel"/>
    <w:tmpl w:val="AEC683B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4B4D090D"/>
    <w:multiLevelType w:val="hybridMultilevel"/>
    <w:tmpl w:val="B290C99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nsid w:val="607528E8"/>
    <w:multiLevelType w:val="multilevel"/>
    <w:tmpl w:val="A1025B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1997A3D"/>
    <w:multiLevelType w:val="multilevel"/>
    <w:tmpl w:val="507055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2873B9"/>
    <w:multiLevelType w:val="hybridMultilevel"/>
    <w:tmpl w:val="CED0B778"/>
    <w:lvl w:ilvl="0" w:tplc="F16E8DC8">
      <w:start w:val="3"/>
      <w:numFmt w:val="decimal"/>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1"/>
  </w:num>
  <w:num w:numId="2">
    <w:abstractNumId w:val="21"/>
  </w:num>
  <w:num w:numId="3">
    <w:abstractNumId w:val="23"/>
  </w:num>
  <w:num w:numId="4">
    <w:abstractNumId w:val="2"/>
  </w:num>
  <w:num w:numId="5">
    <w:abstractNumId w:val="7"/>
  </w:num>
  <w:num w:numId="6">
    <w:abstractNumId w:val="6"/>
  </w:num>
  <w:num w:numId="7">
    <w:abstractNumId w:val="3"/>
  </w:num>
  <w:num w:numId="8">
    <w:abstractNumId w:val="14"/>
  </w:num>
  <w:num w:numId="9">
    <w:abstractNumId w:val="5"/>
  </w:num>
  <w:num w:numId="10">
    <w:abstractNumId w:val="11"/>
  </w:num>
  <w:num w:numId="11">
    <w:abstractNumId w:val="12"/>
  </w:num>
  <w:num w:numId="12">
    <w:abstractNumId w:val="15"/>
  </w:num>
  <w:num w:numId="13">
    <w:abstractNumId w:val="4"/>
  </w:num>
  <w:num w:numId="14">
    <w:abstractNumId w:val="13"/>
  </w:num>
  <w:num w:numId="15">
    <w:abstractNumId w:val="18"/>
  </w:num>
  <w:num w:numId="16">
    <w:abstractNumId w:val="0"/>
  </w:num>
  <w:num w:numId="17">
    <w:abstractNumId w:val="16"/>
  </w:num>
  <w:num w:numId="18">
    <w:abstractNumId w:val="1"/>
  </w:num>
  <w:num w:numId="19">
    <w:abstractNumId w:val="9"/>
  </w:num>
  <w:num w:numId="20">
    <w:abstractNumId w:val="20"/>
  </w:num>
  <w:num w:numId="21">
    <w:abstractNumId w:val="19"/>
  </w:num>
  <w:num w:numId="22">
    <w:abstractNumId w:val="10"/>
  </w:num>
  <w:num w:numId="23">
    <w:abstractNumId w:val="8"/>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61FC9"/>
    <w:rsid w:val="002E5E40"/>
    <w:rsid w:val="0034678C"/>
    <w:rsid w:val="00357598"/>
    <w:rsid w:val="00394134"/>
    <w:rsid w:val="003B7935"/>
    <w:rsid w:val="0052425A"/>
    <w:rsid w:val="0057039F"/>
    <w:rsid w:val="00586A8D"/>
    <w:rsid w:val="005F4380"/>
    <w:rsid w:val="006D7A3B"/>
    <w:rsid w:val="007B5462"/>
    <w:rsid w:val="008034BD"/>
    <w:rsid w:val="00860784"/>
    <w:rsid w:val="00876352"/>
    <w:rsid w:val="008B4137"/>
    <w:rsid w:val="008C767A"/>
    <w:rsid w:val="008E77C6"/>
    <w:rsid w:val="00957873"/>
    <w:rsid w:val="00960E6D"/>
    <w:rsid w:val="009770BB"/>
    <w:rsid w:val="009E008D"/>
    <w:rsid w:val="00A5465F"/>
    <w:rsid w:val="00A77678"/>
    <w:rsid w:val="00BC37DD"/>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860784"/>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
    <w:rsid w:val="00860784"/>
    <w:rPr>
      <w:rFonts w:ascii="Arial" w:hAnsi="Arial" w:cs="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Sottotitolo">
    <w:name w:val="Subtitle"/>
    <w:basedOn w:val="Normale"/>
    <w:next w:val="Normale"/>
    <w:link w:val="SottotitoloCarattere"/>
    <w:uiPriority w:val="11"/>
    <w:qFormat/>
    <w:rsid w:val="00BC37DD"/>
    <w:pPr>
      <w:numPr>
        <w:ilvl w:val="1"/>
      </w:numPr>
      <w:spacing w:after="200" w:line="276" w:lineRule="auto"/>
      <w:jc w:val="left"/>
    </w:pPr>
    <w:rPr>
      <w:rFonts w:asciiTheme="majorHAnsi" w:eastAsiaTheme="majorEastAsia" w:hAnsiTheme="majorHAnsi" w:cstheme="majorBidi"/>
      <w:i/>
      <w:iCs/>
      <w:color w:val="4F81BD" w:themeColor="accent1"/>
      <w:spacing w:val="15"/>
      <w:szCs w:val="24"/>
      <w:lang w:eastAsia="it-CH"/>
    </w:rPr>
  </w:style>
  <w:style w:type="character" w:customStyle="1" w:styleId="SottotitoloCarattere">
    <w:name w:val="Sottotitolo Carattere"/>
    <w:basedOn w:val="Carpredefinitoparagrafo"/>
    <w:link w:val="Sottotitolo"/>
    <w:uiPriority w:val="11"/>
    <w:rsid w:val="00BC37DD"/>
    <w:rPr>
      <w:rFonts w:asciiTheme="majorHAnsi" w:eastAsiaTheme="majorEastAsia" w:hAnsiTheme="majorHAnsi" w:cstheme="majorBidi"/>
      <w:i/>
      <w:iCs/>
      <w:color w:val="4F81BD" w:themeColor="accent1"/>
      <w:spacing w:val="15"/>
      <w:sz w:val="24"/>
      <w:szCs w:val="24"/>
      <w:lang w:eastAsia="it-CH"/>
    </w:rPr>
  </w:style>
  <w:style w:type="character" w:styleId="Enfasidelicata">
    <w:name w:val="Subtle Emphasis"/>
    <w:basedOn w:val="Carpredefinitoparagrafo"/>
    <w:uiPriority w:val="19"/>
    <w:qFormat/>
    <w:rsid w:val="00BC37DD"/>
    <w:rPr>
      <w:i/>
      <w:iCs/>
      <w:color w:val="808080" w:themeColor="text1" w:themeTint="7F"/>
    </w:rPr>
  </w:style>
  <w:style w:type="paragraph" w:styleId="Titolo">
    <w:name w:val="Title"/>
    <w:basedOn w:val="Normale"/>
    <w:next w:val="Normale"/>
    <w:link w:val="TitoloCarattere"/>
    <w:uiPriority w:val="10"/>
    <w:qFormat/>
    <w:rsid w:val="00BC37DD"/>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it-CH"/>
    </w:rPr>
  </w:style>
  <w:style w:type="character" w:customStyle="1" w:styleId="TitoloCarattere">
    <w:name w:val="Titolo Carattere"/>
    <w:basedOn w:val="Carpredefinitoparagrafo"/>
    <w:link w:val="Titolo"/>
    <w:uiPriority w:val="10"/>
    <w:rsid w:val="00BC37DD"/>
    <w:rPr>
      <w:rFonts w:asciiTheme="majorHAnsi" w:eastAsiaTheme="majorEastAsia" w:hAnsiTheme="majorHAnsi" w:cstheme="majorBidi"/>
      <w:color w:val="17365D" w:themeColor="text2" w:themeShade="BF"/>
      <w:spacing w:val="5"/>
      <w:kern w:val="28"/>
      <w:sz w:val="52"/>
      <w:szCs w:val="52"/>
      <w:lang w:eastAsia="it-CH"/>
    </w:rPr>
  </w:style>
  <w:style w:type="paragraph" w:styleId="Testofumetto">
    <w:name w:val="Balloon Text"/>
    <w:basedOn w:val="Normale"/>
    <w:link w:val="TestofumettoCarattere"/>
    <w:uiPriority w:val="99"/>
    <w:semiHidden/>
    <w:unhideWhenUsed/>
    <w:rsid w:val="00BC37DD"/>
    <w:pPr>
      <w:jc w:val="left"/>
    </w:pPr>
    <w:rPr>
      <w:rFonts w:ascii="Tahoma" w:eastAsiaTheme="minorEastAsia" w:hAnsi="Tahoma" w:cs="Tahoma"/>
      <w:sz w:val="16"/>
      <w:szCs w:val="16"/>
      <w:lang w:eastAsia="it-CH"/>
    </w:rPr>
  </w:style>
  <w:style w:type="character" w:customStyle="1" w:styleId="TestofumettoCarattere">
    <w:name w:val="Testo fumetto Carattere"/>
    <w:basedOn w:val="Carpredefinitoparagrafo"/>
    <w:link w:val="Testofumetto"/>
    <w:uiPriority w:val="99"/>
    <w:semiHidden/>
    <w:rsid w:val="00BC37DD"/>
    <w:rPr>
      <w:rFonts w:ascii="Tahoma" w:eastAsiaTheme="minorEastAsia" w:hAnsi="Tahoma" w:cs="Tahoma"/>
      <w:sz w:val="16"/>
      <w:szCs w:val="16"/>
      <w:lang w:eastAsia="it-CH"/>
    </w:rPr>
  </w:style>
  <w:style w:type="character" w:styleId="Rimandocommento">
    <w:name w:val="annotation reference"/>
    <w:basedOn w:val="Carpredefinitoparagrafo"/>
    <w:uiPriority w:val="99"/>
    <w:semiHidden/>
    <w:unhideWhenUsed/>
    <w:rsid w:val="00BC37DD"/>
    <w:rPr>
      <w:sz w:val="16"/>
      <w:szCs w:val="16"/>
    </w:rPr>
  </w:style>
  <w:style w:type="paragraph" w:styleId="Testocommento">
    <w:name w:val="annotation text"/>
    <w:basedOn w:val="Normale"/>
    <w:link w:val="TestocommentoCarattere"/>
    <w:uiPriority w:val="99"/>
    <w:semiHidden/>
    <w:unhideWhenUsed/>
    <w:rsid w:val="00BC37DD"/>
    <w:pPr>
      <w:spacing w:after="20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BC37D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860784"/>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
    <w:rsid w:val="00860784"/>
    <w:rPr>
      <w:rFonts w:ascii="Arial" w:hAnsi="Arial" w:cs="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Sottotitolo">
    <w:name w:val="Subtitle"/>
    <w:basedOn w:val="Normale"/>
    <w:next w:val="Normale"/>
    <w:link w:val="SottotitoloCarattere"/>
    <w:uiPriority w:val="11"/>
    <w:qFormat/>
    <w:rsid w:val="00BC37DD"/>
    <w:pPr>
      <w:numPr>
        <w:ilvl w:val="1"/>
      </w:numPr>
      <w:spacing w:after="200" w:line="276" w:lineRule="auto"/>
      <w:jc w:val="left"/>
    </w:pPr>
    <w:rPr>
      <w:rFonts w:asciiTheme="majorHAnsi" w:eastAsiaTheme="majorEastAsia" w:hAnsiTheme="majorHAnsi" w:cstheme="majorBidi"/>
      <w:i/>
      <w:iCs/>
      <w:color w:val="4F81BD" w:themeColor="accent1"/>
      <w:spacing w:val="15"/>
      <w:szCs w:val="24"/>
      <w:lang w:eastAsia="it-CH"/>
    </w:rPr>
  </w:style>
  <w:style w:type="character" w:customStyle="1" w:styleId="SottotitoloCarattere">
    <w:name w:val="Sottotitolo Carattere"/>
    <w:basedOn w:val="Carpredefinitoparagrafo"/>
    <w:link w:val="Sottotitolo"/>
    <w:uiPriority w:val="11"/>
    <w:rsid w:val="00BC37DD"/>
    <w:rPr>
      <w:rFonts w:asciiTheme="majorHAnsi" w:eastAsiaTheme="majorEastAsia" w:hAnsiTheme="majorHAnsi" w:cstheme="majorBidi"/>
      <w:i/>
      <w:iCs/>
      <w:color w:val="4F81BD" w:themeColor="accent1"/>
      <w:spacing w:val="15"/>
      <w:sz w:val="24"/>
      <w:szCs w:val="24"/>
      <w:lang w:eastAsia="it-CH"/>
    </w:rPr>
  </w:style>
  <w:style w:type="character" w:styleId="Enfasidelicata">
    <w:name w:val="Subtle Emphasis"/>
    <w:basedOn w:val="Carpredefinitoparagrafo"/>
    <w:uiPriority w:val="19"/>
    <w:qFormat/>
    <w:rsid w:val="00BC37DD"/>
    <w:rPr>
      <w:i/>
      <w:iCs/>
      <w:color w:val="808080" w:themeColor="text1" w:themeTint="7F"/>
    </w:rPr>
  </w:style>
  <w:style w:type="paragraph" w:styleId="Titolo">
    <w:name w:val="Title"/>
    <w:basedOn w:val="Normale"/>
    <w:next w:val="Normale"/>
    <w:link w:val="TitoloCarattere"/>
    <w:uiPriority w:val="10"/>
    <w:qFormat/>
    <w:rsid w:val="00BC37DD"/>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it-CH"/>
    </w:rPr>
  </w:style>
  <w:style w:type="character" w:customStyle="1" w:styleId="TitoloCarattere">
    <w:name w:val="Titolo Carattere"/>
    <w:basedOn w:val="Carpredefinitoparagrafo"/>
    <w:link w:val="Titolo"/>
    <w:uiPriority w:val="10"/>
    <w:rsid w:val="00BC37DD"/>
    <w:rPr>
      <w:rFonts w:asciiTheme="majorHAnsi" w:eastAsiaTheme="majorEastAsia" w:hAnsiTheme="majorHAnsi" w:cstheme="majorBidi"/>
      <w:color w:val="17365D" w:themeColor="text2" w:themeShade="BF"/>
      <w:spacing w:val="5"/>
      <w:kern w:val="28"/>
      <w:sz w:val="52"/>
      <w:szCs w:val="52"/>
      <w:lang w:eastAsia="it-CH"/>
    </w:rPr>
  </w:style>
  <w:style w:type="paragraph" w:styleId="Testofumetto">
    <w:name w:val="Balloon Text"/>
    <w:basedOn w:val="Normale"/>
    <w:link w:val="TestofumettoCarattere"/>
    <w:uiPriority w:val="99"/>
    <w:semiHidden/>
    <w:unhideWhenUsed/>
    <w:rsid w:val="00BC37DD"/>
    <w:pPr>
      <w:jc w:val="left"/>
    </w:pPr>
    <w:rPr>
      <w:rFonts w:ascii="Tahoma" w:eastAsiaTheme="minorEastAsia" w:hAnsi="Tahoma" w:cs="Tahoma"/>
      <w:sz w:val="16"/>
      <w:szCs w:val="16"/>
      <w:lang w:eastAsia="it-CH"/>
    </w:rPr>
  </w:style>
  <w:style w:type="character" w:customStyle="1" w:styleId="TestofumettoCarattere">
    <w:name w:val="Testo fumetto Carattere"/>
    <w:basedOn w:val="Carpredefinitoparagrafo"/>
    <w:link w:val="Testofumetto"/>
    <w:uiPriority w:val="99"/>
    <w:semiHidden/>
    <w:rsid w:val="00BC37DD"/>
    <w:rPr>
      <w:rFonts w:ascii="Tahoma" w:eastAsiaTheme="minorEastAsia" w:hAnsi="Tahoma" w:cs="Tahoma"/>
      <w:sz w:val="16"/>
      <w:szCs w:val="16"/>
      <w:lang w:eastAsia="it-CH"/>
    </w:rPr>
  </w:style>
  <w:style w:type="character" w:styleId="Rimandocommento">
    <w:name w:val="annotation reference"/>
    <w:basedOn w:val="Carpredefinitoparagrafo"/>
    <w:uiPriority w:val="99"/>
    <w:semiHidden/>
    <w:unhideWhenUsed/>
    <w:rsid w:val="00BC37DD"/>
    <w:rPr>
      <w:sz w:val="16"/>
      <w:szCs w:val="16"/>
    </w:rPr>
  </w:style>
  <w:style w:type="paragraph" w:styleId="Testocommento">
    <w:name w:val="annotation text"/>
    <w:basedOn w:val="Normale"/>
    <w:link w:val="TestocommentoCarattere"/>
    <w:uiPriority w:val="99"/>
    <w:semiHidden/>
    <w:unhideWhenUsed/>
    <w:rsid w:val="00BC37DD"/>
    <w:pPr>
      <w:spacing w:after="20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BC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fe.admin.ch/energieetikette/00886/06374/index.html?lang=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E725-1D94-4DE0-930D-9C27FDDA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3463</Words>
  <Characters>19740</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2019-02-06T09:04:00Z</cp:lastPrinted>
  <dcterms:created xsi:type="dcterms:W3CDTF">2019-02-06T08:46:00Z</dcterms:created>
  <dcterms:modified xsi:type="dcterms:W3CDTF">2019-02-06T13:24:00Z</dcterms:modified>
</cp:coreProperties>
</file>