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526675">
      <w:pPr>
        <w:rPr>
          <w:rFonts w:cs="Arial"/>
          <w:sz w:val="20"/>
          <w:szCs w:val="20"/>
        </w:rPr>
      </w:pPr>
      <w:r w:rsidRPr="00A13E93">
        <w:rPr>
          <w:rFonts w:ascii="Gill Sans MT" w:hAnsi="Gill Sans MT"/>
          <w:b/>
          <w:sz w:val="52"/>
          <w:szCs w:val="52"/>
        </w:rPr>
        <w:t>Rapporto</w:t>
      </w:r>
    </w:p>
    <w:p w:rsidR="008B4137" w:rsidRPr="00526675" w:rsidRDefault="008B4137" w:rsidP="00076E70">
      <w:pPr>
        <w:rPr>
          <w:sz w:val="20"/>
          <w:szCs w:val="20"/>
        </w:rPr>
      </w:pPr>
    </w:p>
    <w:p w:rsidR="008B4137" w:rsidRPr="00526675" w:rsidRDefault="008B4137">
      <w:pPr>
        <w:rPr>
          <w:rFonts w:cs="Arial"/>
          <w:sz w:val="20"/>
          <w:szCs w:val="20"/>
        </w:rPr>
      </w:pPr>
      <w:bookmarkStart w:id="0" w:name="_GoBack"/>
      <w:bookmarkEnd w:id="0"/>
    </w:p>
    <w:p w:rsidR="00076E70" w:rsidRPr="00526675" w:rsidRDefault="00076E70">
      <w:pPr>
        <w:rPr>
          <w:rFonts w:cs="Arial"/>
          <w:sz w:val="20"/>
          <w:szCs w:val="20"/>
        </w:rPr>
      </w:pPr>
    </w:p>
    <w:p w:rsidR="00260C8C" w:rsidRDefault="00785750" w:rsidP="00260C8C">
      <w:pPr>
        <w:tabs>
          <w:tab w:val="left" w:pos="2098"/>
          <w:tab w:val="left" w:pos="4933"/>
        </w:tabs>
        <w:rPr>
          <w:rFonts w:cs="Arial"/>
          <w:szCs w:val="24"/>
        </w:rPr>
      </w:pPr>
      <w:r>
        <w:rPr>
          <w:rFonts w:cs="Arial"/>
          <w:b/>
          <w:sz w:val="32"/>
          <w:szCs w:val="32"/>
        </w:rPr>
        <w:t>7627</w:t>
      </w:r>
      <w:r w:rsidR="00260C8C" w:rsidRPr="008B4137">
        <w:rPr>
          <w:rFonts w:cs="Arial"/>
          <w:b/>
          <w:sz w:val="32"/>
          <w:szCs w:val="32"/>
        </w:rPr>
        <w:t xml:space="preserve"> R</w:t>
      </w:r>
      <w:r w:rsidR="00260C8C" w:rsidRPr="008B4137">
        <w:rPr>
          <w:rFonts w:cs="Arial"/>
          <w:sz w:val="28"/>
          <w:szCs w:val="28"/>
        </w:rPr>
        <w:tab/>
      </w:r>
      <w:r>
        <w:rPr>
          <w:rFonts w:cs="Arial"/>
          <w:sz w:val="28"/>
          <w:szCs w:val="28"/>
        </w:rPr>
        <w:t>19 febbraio 2019</w:t>
      </w:r>
      <w:r w:rsidR="00260C8C" w:rsidRPr="008B4137">
        <w:rPr>
          <w:rFonts w:cs="Arial"/>
          <w:sz w:val="28"/>
          <w:szCs w:val="28"/>
        </w:rPr>
        <w:tab/>
      </w:r>
      <w:r>
        <w:rPr>
          <w:sz w:val="28"/>
        </w:rPr>
        <w:t>SANITÀ E SOCIALITÀ</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della </w:t>
      </w:r>
      <w:r w:rsidR="00E505DB">
        <w:rPr>
          <w:rFonts w:cs="Arial"/>
          <w:b/>
          <w:sz w:val="28"/>
          <w:szCs w:val="28"/>
        </w:rPr>
        <w:t>gestione e delle finanze</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785750" w:rsidRPr="00785750">
        <w:rPr>
          <w:b/>
          <w:sz w:val="28"/>
          <w:szCs w:val="28"/>
        </w:rPr>
        <w:t xml:space="preserve">6 febbraio 2019 </w:t>
      </w:r>
      <w:r w:rsidR="00785750">
        <w:rPr>
          <w:b/>
          <w:sz w:val="28"/>
          <w:szCs w:val="28"/>
        </w:rPr>
        <w:t xml:space="preserve">concernente </w:t>
      </w:r>
      <w:r w:rsidR="00785750" w:rsidRPr="00785750">
        <w:rPr>
          <w:b/>
          <w:sz w:val="28"/>
          <w:szCs w:val="28"/>
        </w:rPr>
        <w:t xml:space="preserve">la concessione alla Fondazione Casa San Rocco di Morbio Inferiore di un contributo unico a fondo perso di CHF 11'900'000.00 per le opere di realizzazione della Casa per anziani inserita nel Quartiere intergenerazionale di </w:t>
      </w:r>
      <w:proofErr w:type="spellStart"/>
      <w:r w:rsidR="00785750" w:rsidRPr="00785750">
        <w:rPr>
          <w:b/>
          <w:sz w:val="28"/>
          <w:szCs w:val="28"/>
        </w:rPr>
        <w:t>Coldrerio</w:t>
      </w:r>
      <w:proofErr w:type="spellEnd"/>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171E3C" w:rsidRPr="00785750" w:rsidRDefault="00171E3C" w:rsidP="00785750">
      <w:pPr>
        <w:pStyle w:val="Titolo1"/>
      </w:pPr>
      <w:r w:rsidRPr="00785750">
        <w:t>Introduzione</w:t>
      </w:r>
    </w:p>
    <w:p w:rsidR="00171E3C" w:rsidRPr="00785750" w:rsidRDefault="00171E3C" w:rsidP="00785750">
      <w:r w:rsidRPr="00785750">
        <w:t xml:space="preserve">La necessità di strutture che possano prendere a carico la popolazione anziana in Ticino è un tema che sempre più risulta urgente. A questo scopo negli ultimi anni si sono intrapresi investimenti importanti, sia pubblici che privati, considerato anche che rispetto al fabbisogno attuale le necessità continueranno a svilupparsi per i prossimi decenni. A fianco di questo tema vi è sempre maggiore sensibilità alla creazione di strutture che in qualche modo costituiscano dei perni attorno al quale andare a inserire una serie di servizi che vadano a beneficio di tutta la popolazione, questo anche per evitare il fenomeno della ghettizzazione e dell'isolamento che, purtroppo, in passato non era particolarmente considerato. </w:t>
      </w:r>
    </w:p>
    <w:p w:rsidR="00171E3C" w:rsidRPr="00785750" w:rsidRDefault="00171E3C" w:rsidP="00785750"/>
    <w:p w:rsidR="00171E3C" w:rsidRPr="00785750" w:rsidRDefault="00171E3C" w:rsidP="00785750">
      <w:r w:rsidRPr="00785750">
        <w:t xml:space="preserve">Va quindi ripensata la filosofia con cui si realizzano i progetti di casa anziani e in questo senso l'oggetto del presente messaggio ne è un ottimo esempio costituendo un tassello fondamentale per la creazione di uno spazio intergenerazionale all'interno del comune di </w:t>
      </w:r>
      <w:proofErr w:type="spellStart"/>
      <w:r w:rsidRPr="00785750">
        <w:t>Coldrerio</w:t>
      </w:r>
      <w:proofErr w:type="spellEnd"/>
      <w:r w:rsidRPr="00785750">
        <w:t>. In effetti partendo dalla nuova struttura per anziani si sono ripensati una serie di spazi pubblici, o ad uso pubblico, che creino un inserimento armonioso della stessa. Da ultimo vi è l'aspetto interessante della collaborazione tra settore pubblico e privato, un esempio virtuoso di come si possano trovare delle soluzioni nuove che forniscano alla popolazione dei servizi sempre più performanti.</w:t>
      </w:r>
    </w:p>
    <w:p w:rsidR="00171E3C" w:rsidRPr="00785750" w:rsidRDefault="00171E3C" w:rsidP="00785750"/>
    <w:p w:rsidR="00171E3C" w:rsidRPr="00785750" w:rsidRDefault="00171E3C" w:rsidP="00785750">
      <w:r w:rsidRPr="00785750">
        <w:t xml:space="preserve">La Fondazione Casa San Rocco ha quale scopo la gestione dell’Istituto per anziani di Morbio Inferiore così come – nel momento in cui saranno operativi – degli Istituti per anziani siti a </w:t>
      </w:r>
      <w:proofErr w:type="spellStart"/>
      <w:r w:rsidRPr="00785750">
        <w:t>Coldrerio</w:t>
      </w:r>
      <w:proofErr w:type="spellEnd"/>
      <w:r w:rsidRPr="00785750">
        <w:t xml:space="preserve">, Vacallo e/o altri Comuni. Questi tre istituti costituiranno una rete dove il progetto di edificazione della Casa per anziani di </w:t>
      </w:r>
      <w:proofErr w:type="spellStart"/>
      <w:r w:rsidRPr="00785750">
        <w:t>Coldrerio</w:t>
      </w:r>
      <w:proofErr w:type="spellEnd"/>
      <w:r w:rsidRPr="00785750">
        <w:t xml:space="preserve"> è parte integrante di un programma più ampio, promosso dalla Fondazione in accordo con il DSS, denominato Rete Parco San Rocco che prevede il passaggio progressivo dagli attuali 121 posti letto ai complessivi 259 posti letto, come segue:</w:t>
      </w:r>
    </w:p>
    <w:p w:rsidR="00171E3C" w:rsidRPr="00785750" w:rsidRDefault="00171E3C" w:rsidP="00785750">
      <w:pPr>
        <w:pStyle w:val="Paragrafoelenco"/>
        <w:numPr>
          <w:ilvl w:val="0"/>
          <w:numId w:val="5"/>
        </w:numPr>
        <w:spacing w:before="80"/>
        <w:ind w:left="284" w:hanging="284"/>
        <w:rPr>
          <w:rFonts w:cs="Arial"/>
          <w:szCs w:val="24"/>
        </w:rPr>
      </w:pPr>
      <w:r w:rsidRPr="00785750">
        <w:rPr>
          <w:rFonts w:cs="Arial"/>
          <w:szCs w:val="24"/>
        </w:rPr>
        <w:t xml:space="preserve">79 posti letto tramite il nuovo Istituto per anziani di </w:t>
      </w:r>
      <w:proofErr w:type="spellStart"/>
      <w:r w:rsidRPr="00785750">
        <w:rPr>
          <w:rFonts w:cs="Arial"/>
          <w:szCs w:val="24"/>
        </w:rPr>
        <w:t>Coldrerio</w:t>
      </w:r>
      <w:proofErr w:type="spellEnd"/>
    </w:p>
    <w:p w:rsidR="00171E3C" w:rsidRPr="00785750" w:rsidRDefault="00171E3C" w:rsidP="00785750">
      <w:pPr>
        <w:pStyle w:val="Paragrafoelenco"/>
        <w:numPr>
          <w:ilvl w:val="0"/>
          <w:numId w:val="5"/>
        </w:numPr>
        <w:spacing w:before="80"/>
        <w:ind w:left="284" w:hanging="284"/>
        <w:rPr>
          <w:rFonts w:cs="Arial"/>
          <w:szCs w:val="24"/>
        </w:rPr>
      </w:pPr>
      <w:r w:rsidRPr="00785750">
        <w:rPr>
          <w:rFonts w:cs="Arial"/>
          <w:szCs w:val="24"/>
        </w:rPr>
        <w:t>80 posti letto tramite il nuovo Istituto per anziani di Vacallo</w:t>
      </w:r>
    </w:p>
    <w:p w:rsidR="00171E3C" w:rsidRPr="00785750" w:rsidRDefault="00171E3C" w:rsidP="00785750">
      <w:pPr>
        <w:pStyle w:val="Paragrafoelenco"/>
        <w:numPr>
          <w:ilvl w:val="0"/>
          <w:numId w:val="5"/>
        </w:numPr>
        <w:spacing w:before="80"/>
        <w:ind w:left="284" w:hanging="284"/>
        <w:rPr>
          <w:rFonts w:cs="Arial"/>
          <w:szCs w:val="24"/>
        </w:rPr>
      </w:pPr>
      <w:r w:rsidRPr="00785750">
        <w:rPr>
          <w:rFonts w:cs="Arial"/>
          <w:szCs w:val="24"/>
        </w:rPr>
        <w:t>100 posti letto, rispetto agli attuali 121, tramite la ristrutturazione dell’Istituto di Morbio Inferiore.</w:t>
      </w:r>
    </w:p>
    <w:p w:rsidR="00785750" w:rsidRDefault="00785750" w:rsidP="00785750"/>
    <w:p w:rsidR="00171E3C" w:rsidRPr="00785750" w:rsidRDefault="00171E3C" w:rsidP="00785750">
      <w:r w:rsidRPr="00785750">
        <w:lastRenderedPageBreak/>
        <w:t xml:space="preserve">Con il presente messaggio il Gran Consiglio è chiamato ad approvare la prima fondamentale tappa di questo processo, tramite lo stanziamento di un contributo unico a fondo perso di CHF 11'900’000.00 per le opere di realizzazione della casa per anziani di </w:t>
      </w:r>
      <w:proofErr w:type="spellStart"/>
      <w:r w:rsidRPr="00785750">
        <w:t>Coldrerio</w:t>
      </w:r>
      <w:proofErr w:type="spellEnd"/>
      <w:r w:rsidRPr="00785750">
        <w:t>, inserita all’interno di un Quartiere intergenerazionale, comprendente 64 posti letto in unità abitative di cura, 12 posti letto in unità abitativa protetta (nucleo demenze e Alzheimer) e 3 posti letto in camera singola per soggiorni temporanei.</w:t>
      </w:r>
    </w:p>
    <w:p w:rsidR="00171E3C" w:rsidRPr="00785750" w:rsidRDefault="00171E3C" w:rsidP="00785750"/>
    <w:p w:rsidR="00171E3C" w:rsidRPr="00785750" w:rsidRDefault="00171E3C" w:rsidP="00785750"/>
    <w:p w:rsidR="00171E3C" w:rsidRPr="00785750" w:rsidRDefault="00171E3C" w:rsidP="00785750">
      <w:pPr>
        <w:pStyle w:val="Titolo1"/>
      </w:pPr>
      <w:r w:rsidRPr="00785750">
        <w:t>NECESSITÀ DI POSTI LETTO</w:t>
      </w:r>
    </w:p>
    <w:p w:rsidR="00171E3C" w:rsidRPr="00785750" w:rsidRDefault="00171E3C" w:rsidP="00171E3C">
      <w:pPr>
        <w:rPr>
          <w:rFonts w:cs="Arial"/>
          <w:szCs w:val="24"/>
        </w:rPr>
      </w:pPr>
      <w:r w:rsidRPr="00785750">
        <w:rPr>
          <w:rFonts w:cs="Arial"/>
          <w:szCs w:val="24"/>
        </w:rPr>
        <w:t>Come già espresso in recenti messaggi analoghi la pianificazione 2010-2020 della capacità d’accoglienza degli istituti per anziani del Cantone necessita di un aggiornamento. In proposito la nuova pianificazione 2021-2030, che su proposta del Gran Consiglio integrerà i settori delle Case per anziani con quello delle cure e del mantenimento a domicilio, è attesa nel corso del 2020.</w:t>
      </w:r>
    </w:p>
    <w:p w:rsidR="00171E3C" w:rsidRPr="00785750" w:rsidRDefault="00171E3C" w:rsidP="00171E3C">
      <w:pPr>
        <w:rPr>
          <w:rFonts w:cs="Arial"/>
          <w:szCs w:val="24"/>
        </w:rPr>
      </w:pPr>
    </w:p>
    <w:p w:rsidR="00171E3C" w:rsidRPr="00785750" w:rsidRDefault="00171E3C" w:rsidP="00171E3C">
      <w:pPr>
        <w:rPr>
          <w:rFonts w:cs="Arial"/>
          <w:szCs w:val="24"/>
        </w:rPr>
      </w:pPr>
      <w:r w:rsidRPr="00785750">
        <w:rPr>
          <w:rFonts w:cs="Arial"/>
          <w:szCs w:val="24"/>
        </w:rPr>
        <w:t xml:space="preserve">In ogni caso per comprendere la situazione basti sapere che la lista d’attesa presso l’Istituto di Morbio Inferiore conta ben 107 anziane/i di cui 20 in situazioni di urgenza (stato gennaio 2019). La Commissione reputa quindi imprescindibile la necessità di creare dei nuovi posti letto e la Casa per anziani di </w:t>
      </w:r>
      <w:proofErr w:type="spellStart"/>
      <w:r w:rsidRPr="00785750">
        <w:rPr>
          <w:rFonts w:cs="Arial"/>
          <w:szCs w:val="24"/>
        </w:rPr>
        <w:t>Coldrerio</w:t>
      </w:r>
      <w:proofErr w:type="spellEnd"/>
      <w:r w:rsidRPr="00785750">
        <w:rPr>
          <w:rFonts w:cs="Arial"/>
          <w:szCs w:val="24"/>
        </w:rPr>
        <w:t xml:space="preserve"> rappresenta di fatto una prima sostanziale risposta.</w:t>
      </w:r>
    </w:p>
    <w:p w:rsidR="00171E3C" w:rsidRPr="00785750" w:rsidRDefault="00171E3C" w:rsidP="00171E3C">
      <w:pPr>
        <w:rPr>
          <w:rFonts w:cs="Arial"/>
          <w:szCs w:val="24"/>
        </w:rPr>
      </w:pPr>
    </w:p>
    <w:p w:rsidR="00171E3C" w:rsidRPr="00785750" w:rsidRDefault="00171E3C" w:rsidP="00171E3C">
      <w:pPr>
        <w:rPr>
          <w:rFonts w:cs="Arial"/>
          <w:szCs w:val="24"/>
        </w:rPr>
      </w:pPr>
      <w:r w:rsidRPr="00785750">
        <w:rPr>
          <w:rFonts w:cs="Arial"/>
          <w:szCs w:val="24"/>
        </w:rPr>
        <w:t>Altri progetti, come l'ampliamento della casa anziani di Arzo, porteranno un leggero aumento dei posti disponibili (20 unità) senza però avere un sostanziale miglioramento della situazione attuale.</w:t>
      </w:r>
    </w:p>
    <w:p w:rsidR="00171E3C" w:rsidRDefault="00171E3C" w:rsidP="00171E3C">
      <w:pPr>
        <w:rPr>
          <w:rFonts w:cs="Arial"/>
          <w:szCs w:val="24"/>
        </w:rPr>
      </w:pPr>
    </w:p>
    <w:p w:rsidR="00785750" w:rsidRPr="00785750" w:rsidRDefault="00785750" w:rsidP="00171E3C">
      <w:pPr>
        <w:rPr>
          <w:rFonts w:cs="Arial"/>
          <w:szCs w:val="24"/>
        </w:rPr>
      </w:pPr>
    </w:p>
    <w:p w:rsidR="00171E3C" w:rsidRPr="00785750" w:rsidRDefault="00171E3C" w:rsidP="00785750">
      <w:pPr>
        <w:pStyle w:val="Titolo1"/>
      </w:pPr>
      <w:r w:rsidRPr="00785750">
        <w:t>I Vantaggi della Rete</w:t>
      </w:r>
    </w:p>
    <w:p w:rsidR="00171E3C" w:rsidRPr="00785750" w:rsidRDefault="00171E3C" w:rsidP="00171E3C">
      <w:pPr>
        <w:rPr>
          <w:rFonts w:cs="Arial"/>
          <w:szCs w:val="24"/>
        </w:rPr>
      </w:pPr>
      <w:r w:rsidRPr="00785750">
        <w:rPr>
          <w:rFonts w:cs="Arial"/>
          <w:szCs w:val="24"/>
        </w:rPr>
        <w:t xml:space="preserve">Come ben illustrato nel messaggio governativo la gestione operativa in rete delle strutture di Morbio Inferiore, </w:t>
      </w:r>
      <w:proofErr w:type="spellStart"/>
      <w:r w:rsidRPr="00785750">
        <w:rPr>
          <w:rFonts w:cs="Arial"/>
          <w:szCs w:val="24"/>
        </w:rPr>
        <w:t>Coldrerio</w:t>
      </w:r>
      <w:proofErr w:type="spellEnd"/>
      <w:r w:rsidRPr="00785750">
        <w:rPr>
          <w:rFonts w:cs="Arial"/>
          <w:szCs w:val="24"/>
        </w:rPr>
        <w:t xml:space="preserve"> e Vacallo (Rete Parco San Rocco) rappresenta un modello decisamente interessante per almeno 3 aspetti fondamentali:</w:t>
      </w:r>
    </w:p>
    <w:p w:rsidR="00171E3C" w:rsidRPr="00785750" w:rsidRDefault="00785750" w:rsidP="00785750">
      <w:pPr>
        <w:pStyle w:val="Paragrafoelenco"/>
        <w:numPr>
          <w:ilvl w:val="0"/>
          <w:numId w:val="5"/>
        </w:numPr>
        <w:spacing w:before="80"/>
        <w:ind w:left="284" w:hanging="284"/>
        <w:rPr>
          <w:rFonts w:cs="Arial"/>
          <w:szCs w:val="24"/>
        </w:rPr>
      </w:pPr>
      <w:r>
        <w:rPr>
          <w:rFonts w:cs="Arial"/>
          <w:szCs w:val="24"/>
        </w:rPr>
        <w:t>h</w:t>
      </w:r>
      <w:r w:rsidR="00171E3C" w:rsidRPr="00785750">
        <w:rPr>
          <w:rFonts w:cs="Arial"/>
          <w:szCs w:val="24"/>
        </w:rPr>
        <w:t>a posto le basi per la fase di cantiere, definendo un piano dei lavori coordinato che mira a limitare il disagio ai residenti, a gestire al meglio le competenze dei collaboratori e a ottimizzare gli</w:t>
      </w:r>
      <w:r>
        <w:rPr>
          <w:rFonts w:cs="Arial"/>
          <w:szCs w:val="24"/>
        </w:rPr>
        <w:t xml:space="preserve"> aspetti economici e finanziari;</w:t>
      </w:r>
    </w:p>
    <w:p w:rsidR="00171E3C" w:rsidRPr="00785750" w:rsidRDefault="00785750" w:rsidP="00785750">
      <w:pPr>
        <w:pStyle w:val="Paragrafoelenco"/>
        <w:numPr>
          <w:ilvl w:val="0"/>
          <w:numId w:val="5"/>
        </w:numPr>
        <w:spacing w:before="80"/>
        <w:ind w:left="284" w:hanging="284"/>
        <w:rPr>
          <w:rFonts w:cs="Arial"/>
          <w:szCs w:val="24"/>
        </w:rPr>
      </w:pPr>
      <w:r>
        <w:rPr>
          <w:rFonts w:cs="Arial"/>
          <w:szCs w:val="24"/>
        </w:rPr>
        <w:t>i</w:t>
      </w:r>
      <w:r w:rsidR="00171E3C" w:rsidRPr="00785750">
        <w:rPr>
          <w:rFonts w:cs="Arial"/>
          <w:szCs w:val="24"/>
        </w:rPr>
        <w:t>n fase d’esercizio permetterà di ottimizzare le risorse offrendo la possibilità di sviluppo di valide economie di scala, con il vantaggio di contrastare la continua crescita dei costi in ambito sociosanitario senza ri</w:t>
      </w:r>
      <w:r>
        <w:rPr>
          <w:rFonts w:cs="Arial"/>
          <w:szCs w:val="24"/>
        </w:rPr>
        <w:t>nunce sulla qualità dei servizi;</w:t>
      </w:r>
    </w:p>
    <w:p w:rsidR="00171E3C" w:rsidRPr="00785750" w:rsidRDefault="00785750" w:rsidP="00785750">
      <w:pPr>
        <w:pStyle w:val="Paragrafoelenco"/>
        <w:numPr>
          <w:ilvl w:val="0"/>
          <w:numId w:val="5"/>
        </w:numPr>
        <w:spacing w:before="80"/>
        <w:ind w:left="284" w:hanging="284"/>
        <w:rPr>
          <w:rFonts w:cs="Arial"/>
          <w:szCs w:val="24"/>
        </w:rPr>
      </w:pPr>
      <w:r>
        <w:rPr>
          <w:rFonts w:cs="Arial"/>
          <w:szCs w:val="24"/>
        </w:rPr>
        <w:t>s</w:t>
      </w:r>
      <w:r w:rsidR="00171E3C" w:rsidRPr="00785750">
        <w:rPr>
          <w:rFonts w:cs="Arial"/>
          <w:szCs w:val="24"/>
        </w:rPr>
        <w:t>empre in fase d’esercizio consentirà la costante condivisione delle conoscenze e delle esperienze, permettendo la continua ricerca del miglioramento del modello gestionale.</w:t>
      </w:r>
    </w:p>
    <w:p w:rsidR="00785750" w:rsidRDefault="00785750" w:rsidP="00171E3C">
      <w:pPr>
        <w:rPr>
          <w:rFonts w:cs="Arial"/>
          <w:szCs w:val="24"/>
        </w:rPr>
      </w:pPr>
    </w:p>
    <w:p w:rsidR="00171E3C" w:rsidRPr="00785750" w:rsidRDefault="00171E3C" w:rsidP="00171E3C">
      <w:pPr>
        <w:rPr>
          <w:rFonts w:cs="Arial"/>
          <w:szCs w:val="24"/>
        </w:rPr>
      </w:pPr>
      <w:r w:rsidRPr="00785750">
        <w:rPr>
          <w:rFonts w:cs="Arial"/>
          <w:szCs w:val="24"/>
        </w:rPr>
        <w:t>La Commissione concorda con l’approccio sistematico promosso dalla Fondazione Casa San Rocco in stretta collaborazione con il DSS, che pone attenzione sia agli aspetti finanziari sia al livello qualitativo dei propri residenti.</w:t>
      </w:r>
    </w:p>
    <w:p w:rsidR="00171E3C" w:rsidRDefault="00171E3C" w:rsidP="00171E3C">
      <w:pPr>
        <w:rPr>
          <w:rFonts w:cs="Arial"/>
          <w:szCs w:val="24"/>
        </w:rPr>
      </w:pPr>
    </w:p>
    <w:p w:rsidR="00785750" w:rsidRPr="00785750" w:rsidRDefault="00785750" w:rsidP="00171E3C">
      <w:pPr>
        <w:rPr>
          <w:rFonts w:cs="Arial"/>
          <w:szCs w:val="24"/>
        </w:rPr>
      </w:pPr>
    </w:p>
    <w:p w:rsidR="00171E3C" w:rsidRPr="00785750" w:rsidRDefault="00171E3C" w:rsidP="00785750">
      <w:pPr>
        <w:pStyle w:val="Titolo1"/>
      </w:pPr>
      <w:r w:rsidRPr="00785750">
        <w:t>La particolarità del progetto: un quartiere intergenera</w:t>
      </w:r>
      <w:r w:rsidR="00785750">
        <w:t>-</w:t>
      </w:r>
      <w:r w:rsidRPr="00785750">
        <w:t>zionale a Coldrerio</w:t>
      </w:r>
    </w:p>
    <w:p w:rsidR="00171E3C" w:rsidRPr="00785750" w:rsidRDefault="00171E3C" w:rsidP="00785750">
      <w:r w:rsidRPr="00785750">
        <w:t xml:space="preserve">L’invecchiamento della popolazione, e le dinamiche ivi connesse, devono portarci ad affrontare una riforma culturale nel settore dei servizi agli anziani, a cominciare dal favorire </w:t>
      </w:r>
      <w:r w:rsidRPr="00785750">
        <w:lastRenderedPageBreak/>
        <w:t>occasioni d’incontro tra le diverse fasce d’età per chi è ancora in grado di partecipare attivamente alla vita sociale.</w:t>
      </w:r>
    </w:p>
    <w:p w:rsidR="00785750" w:rsidRDefault="00785750" w:rsidP="00785750"/>
    <w:p w:rsidR="00171E3C" w:rsidRPr="00785750" w:rsidRDefault="00171E3C" w:rsidP="00785750">
      <w:r w:rsidRPr="00785750">
        <w:t>La Fondazione Casa San Rocco, in accordo con il DSS, promuove la Casa per anziani come luogo di benessere multidimensionale e di relazioni sociali, attraverso un approccio di cura totale che prenda quindi in considerazione non solo parametri di carattere sanitario, ma anche parametri di carattere sociale.</w:t>
      </w:r>
    </w:p>
    <w:p w:rsidR="00171E3C" w:rsidRPr="00785750" w:rsidRDefault="00171E3C" w:rsidP="00785750"/>
    <w:p w:rsidR="00171E3C" w:rsidRPr="00785750" w:rsidRDefault="00171E3C" w:rsidP="00785750">
      <w:r w:rsidRPr="00785750">
        <w:t xml:space="preserve">Per questa ragione insieme al Comune di </w:t>
      </w:r>
      <w:proofErr w:type="spellStart"/>
      <w:r w:rsidRPr="00785750">
        <w:t>Coldrerio</w:t>
      </w:r>
      <w:proofErr w:type="spellEnd"/>
      <w:r w:rsidRPr="00785750">
        <w:t xml:space="preserve"> è stato sviluppato un progetto dove la Casa anziani non è una struttura a se stante, con il solo scopo di accudire gli ospiti, ma costituisce un vero e proprio “cuore pulsante” all’interno della comunità, creando servizi e prestazioni che promuovono l’invecchiamento attivo e l’</w:t>
      </w:r>
      <w:proofErr w:type="spellStart"/>
      <w:r w:rsidRPr="00785750">
        <w:t>intergenerazionalità</w:t>
      </w:r>
      <w:proofErr w:type="spellEnd"/>
      <w:r w:rsidRPr="00785750">
        <w:t xml:space="preserve">. </w:t>
      </w:r>
    </w:p>
    <w:p w:rsidR="00785750" w:rsidRDefault="00785750" w:rsidP="00785750"/>
    <w:p w:rsidR="00171E3C" w:rsidRPr="00785750" w:rsidRDefault="00171E3C" w:rsidP="00785750">
      <w:r w:rsidRPr="00785750">
        <w:t>Il concorso di progetto è quindi stato pensato non solo per realizzare una nuova struttura di accoglienza ma per un vero e proprio cambio di paradigma riguardo alla struttura del Comune stesso e all'interazione tra le varie componenti che compongono la società. In questo contesto la Casa anziani doveva trovare una collocazione trasversale a queste componenti e complementare agli altri elementi presenti. Un progetto quindi di ben più ampio respiro che mostra la volontà porre al centro lo sviluppo a 360° della società. A questo scopo si sono individuate soluzioni per l’intero comparto del centro civico. Assieme alla Casa per anziani sorgeranno:</w:t>
      </w:r>
    </w:p>
    <w:p w:rsidR="00171E3C" w:rsidRPr="00785750" w:rsidRDefault="00785750" w:rsidP="00785750">
      <w:pPr>
        <w:pStyle w:val="Paragrafoelenco"/>
        <w:numPr>
          <w:ilvl w:val="0"/>
          <w:numId w:val="7"/>
        </w:numPr>
        <w:spacing w:before="80"/>
        <w:ind w:left="284" w:hanging="284"/>
        <w:rPr>
          <w:rFonts w:cs="Arial"/>
          <w:szCs w:val="24"/>
        </w:rPr>
      </w:pPr>
      <w:r>
        <w:rPr>
          <w:rFonts w:cs="Arial"/>
          <w:szCs w:val="24"/>
        </w:rPr>
        <w:t>u</w:t>
      </w:r>
      <w:r w:rsidR="00171E3C" w:rsidRPr="00785750">
        <w:rPr>
          <w:rFonts w:cs="Arial"/>
          <w:szCs w:val="24"/>
        </w:rPr>
        <w:t>n nuovo centro polivalente Comunale (realizzazione promossa dal Comune)</w:t>
      </w:r>
      <w:r>
        <w:rPr>
          <w:rFonts w:cs="Arial"/>
          <w:szCs w:val="24"/>
        </w:rPr>
        <w:t>;</w:t>
      </w:r>
    </w:p>
    <w:p w:rsidR="00171E3C" w:rsidRPr="00785750" w:rsidRDefault="00785750" w:rsidP="00785750">
      <w:pPr>
        <w:pStyle w:val="Paragrafoelenco"/>
        <w:numPr>
          <w:ilvl w:val="0"/>
          <w:numId w:val="7"/>
        </w:numPr>
        <w:spacing w:before="80"/>
        <w:ind w:left="284" w:hanging="284"/>
        <w:rPr>
          <w:rFonts w:cs="Arial"/>
          <w:szCs w:val="24"/>
        </w:rPr>
      </w:pPr>
      <w:r>
        <w:rPr>
          <w:rFonts w:cs="Arial"/>
          <w:szCs w:val="24"/>
        </w:rPr>
        <w:t>a</w:t>
      </w:r>
      <w:r w:rsidR="00171E3C" w:rsidRPr="00785750">
        <w:rPr>
          <w:rFonts w:cs="Arial"/>
          <w:szCs w:val="24"/>
        </w:rPr>
        <w:t xml:space="preserve">ppartamenti a misura d’anziano (realizzazione promossa </w:t>
      </w:r>
      <w:r>
        <w:rPr>
          <w:rFonts w:cs="Arial"/>
          <w:szCs w:val="24"/>
        </w:rPr>
        <w:t>dalla Fondazione ing. G. Croci);</w:t>
      </w:r>
    </w:p>
    <w:p w:rsidR="00171E3C" w:rsidRPr="00785750" w:rsidRDefault="00785750" w:rsidP="00785750">
      <w:pPr>
        <w:pStyle w:val="Paragrafoelenco"/>
        <w:numPr>
          <w:ilvl w:val="0"/>
          <w:numId w:val="7"/>
        </w:numPr>
        <w:spacing w:before="80"/>
        <w:ind w:left="284" w:hanging="284"/>
        <w:rPr>
          <w:rFonts w:cs="Arial"/>
          <w:szCs w:val="24"/>
        </w:rPr>
      </w:pPr>
      <w:r>
        <w:rPr>
          <w:rFonts w:cs="Arial"/>
          <w:szCs w:val="24"/>
        </w:rPr>
        <w:t>u</w:t>
      </w:r>
      <w:r w:rsidR="00171E3C" w:rsidRPr="00785750">
        <w:rPr>
          <w:rFonts w:cs="Arial"/>
          <w:szCs w:val="24"/>
        </w:rPr>
        <w:t>na nuova sistemazione esterna fruibile quale piazza aperta, che collega la Casa per anziani, i centri scolastici, le attrezzature sportive, i servizi del centro paese (Municipio, chiesa, negozio, posta, banca, bar,…) e gli spazi verdi (rea</w:t>
      </w:r>
      <w:r>
        <w:rPr>
          <w:rFonts w:cs="Arial"/>
          <w:szCs w:val="24"/>
        </w:rPr>
        <w:t>lizzazione promossa dal Comune);</w:t>
      </w:r>
    </w:p>
    <w:p w:rsidR="00171E3C" w:rsidRPr="00785750" w:rsidRDefault="00785750" w:rsidP="00785750">
      <w:pPr>
        <w:pStyle w:val="Paragrafoelenco"/>
        <w:numPr>
          <w:ilvl w:val="0"/>
          <w:numId w:val="7"/>
        </w:numPr>
        <w:spacing w:before="80"/>
        <w:ind w:left="284" w:hanging="284"/>
        <w:rPr>
          <w:rFonts w:cs="Arial"/>
          <w:szCs w:val="24"/>
        </w:rPr>
      </w:pPr>
      <w:r>
        <w:rPr>
          <w:rFonts w:cs="Arial"/>
          <w:szCs w:val="24"/>
        </w:rPr>
        <w:t>un</w:t>
      </w:r>
      <w:r w:rsidR="00171E3C" w:rsidRPr="00785750">
        <w:rPr>
          <w:rFonts w:cs="Arial"/>
          <w:szCs w:val="24"/>
        </w:rPr>
        <w:t>’autorimessa interrata per il servizio del comparto e del vicino nucleo storico del paese (realizzazione promossa dal Comune).</w:t>
      </w:r>
    </w:p>
    <w:p w:rsidR="00785750" w:rsidRDefault="00785750" w:rsidP="00785750"/>
    <w:p w:rsidR="00171E3C" w:rsidRPr="00785750" w:rsidRDefault="00171E3C" w:rsidP="00785750">
      <w:r w:rsidRPr="00785750">
        <w:t>Il terreno dove sorgerà la nuova Casa per anziani è concesso dal Comune alla Fondazione Casa San Rocco a titolo gratuito con un diritto di superficie per sé stante e permanente della durata di 50 anni.</w:t>
      </w:r>
    </w:p>
    <w:p w:rsidR="00171E3C" w:rsidRPr="00785750" w:rsidRDefault="00171E3C" w:rsidP="00785750"/>
    <w:p w:rsidR="00171E3C" w:rsidRPr="00785750" w:rsidRDefault="00171E3C" w:rsidP="00785750">
      <w:r w:rsidRPr="00785750">
        <w:t>Essendo la casa anziani a diretto contatto con le scuole, con i servizi dell'amministrazione e con un'ampia porzione di verde pubblico è da subito evidente come la stessa sarà completamente integrata all'interno della struttura sociale del comune, un approccio condiviso dalla commissione  dove si sottolinea la collaborazione “</w:t>
      </w:r>
      <w:proofErr w:type="spellStart"/>
      <w:r w:rsidRPr="00785750">
        <w:t>win-win</w:t>
      </w:r>
      <w:proofErr w:type="spellEnd"/>
      <w:r w:rsidRPr="00785750">
        <w:t>” tra l’Autorità locale e la Fondazione (sempre sostenuta dai servizi del DSS), che di fatto permette lo sviluppo di un progetto coordinato di Quartiere intergenerazionale con servizi di prossimità, che sicuramente valorizzeranno il centro civico comunale e di riflesso il senso d’appartenenza dei residenti.</w:t>
      </w:r>
    </w:p>
    <w:p w:rsidR="00171E3C" w:rsidRPr="00785750" w:rsidRDefault="00171E3C" w:rsidP="00171E3C">
      <w:pPr>
        <w:rPr>
          <w:rFonts w:cs="Arial"/>
          <w:szCs w:val="24"/>
        </w:rPr>
      </w:pPr>
    </w:p>
    <w:p w:rsidR="00171E3C" w:rsidRPr="00785750" w:rsidRDefault="00171E3C" w:rsidP="00171E3C">
      <w:pPr>
        <w:rPr>
          <w:rFonts w:cs="Arial"/>
          <w:szCs w:val="24"/>
        </w:rPr>
      </w:pPr>
    </w:p>
    <w:p w:rsidR="00171E3C" w:rsidRPr="00785750" w:rsidRDefault="00171E3C" w:rsidP="00785750">
      <w:pPr>
        <w:pStyle w:val="Titolo1"/>
      </w:pPr>
      <w:r w:rsidRPr="00785750">
        <w:t>ASPETTI FINANZIARI</w:t>
      </w:r>
    </w:p>
    <w:p w:rsidR="00171E3C" w:rsidRPr="00785750" w:rsidRDefault="00171E3C" w:rsidP="00785750">
      <w:r w:rsidRPr="00785750">
        <w:t xml:space="preserve">Il progetto di Casa per anziani di </w:t>
      </w:r>
      <w:proofErr w:type="spellStart"/>
      <w:r w:rsidRPr="00785750">
        <w:t>Coldrerio</w:t>
      </w:r>
      <w:proofErr w:type="spellEnd"/>
      <w:r w:rsidRPr="00785750">
        <w:t xml:space="preserve"> della Fondazione Casa San Rocco prevede una capienza di 79 posti letto, una dimensione ritenuta ideale dal punto di vista operativo e di corretta economicità della gestione locale, ulteriormente valorizzata da un sistema in </w:t>
      </w:r>
      <w:r w:rsidRPr="00785750">
        <w:lastRenderedPageBreak/>
        <w:t>rete (Rete Parco San Rocco). Il costo complessivo delle opere realizzate dalla Fondazione è di CHF 31'213'699.80 (IVA 7.7% inclusa). Per definire i costi di costruzione inerenti l’edificazione della Casa per anziani occorre considerare la vendita dell’autorimessa al Comune (CHF 3'714'479.00) e l’acquisto del rifugio di protezione civile destinato alla Casa per anziani che verrà realizzato al piano -1 del nuovo centro polivalente comunale (CHF 890'246.00). I costi inerenti la Casa per anziani, effettivamente finanziati dalla Fondazione, risultano di CHF 28'389'466.80</w:t>
      </w:r>
    </w:p>
    <w:p w:rsidR="00785750" w:rsidRDefault="00785750" w:rsidP="00785750"/>
    <w:p w:rsidR="00171E3C" w:rsidRPr="00785750" w:rsidRDefault="00171E3C" w:rsidP="00785750">
      <w:r w:rsidRPr="00785750">
        <w:t>Vi sono poi dei costi finanziati in modo indiretto dal Comune per parti d’opera di suo interesse (maggiorazione del salone multiuso e della cucina, camera mortuaria aggiuntiva) come pure spazi destinati all’affitto parziale o totale a terzi (parrucchiere, studio medico, sala del movimento e fisioterapia) che portano servizi e valori all’interno della Casa, ma che non rientrano nei costi di costruzione riconosciuti nei parametri di legge riferiti al finanziamento. I costi di costruzioni riconducibili alla sola Casa per anziani sono quindi globalmente di CHF 25'040'822.80 (IVA 7.7% inclusa), come descritto nel dettaglio al paragrafo III del Messaggio – pag.9.</w:t>
      </w:r>
    </w:p>
    <w:p w:rsidR="00171E3C" w:rsidRPr="00785750" w:rsidRDefault="00171E3C" w:rsidP="00785750">
      <w:r w:rsidRPr="00785750">
        <w:t xml:space="preserve">A quest’ultimo importo vanno aggiunti CHF 25'000.00 (IVA 7.7% inclusa), per le prestazioni del Consulente indipendente ai sensi dell’art. 60 del Regolamento di applicazione della legge sulle commesse pubbliche e del Concordato </w:t>
      </w:r>
      <w:proofErr w:type="spellStart"/>
      <w:r w:rsidRPr="00785750">
        <w:t>intercantonale</w:t>
      </w:r>
      <w:proofErr w:type="spellEnd"/>
      <w:r w:rsidRPr="00785750">
        <w:t xml:space="preserve"> sugli appalti pubblici (</w:t>
      </w:r>
      <w:proofErr w:type="spellStart"/>
      <w:r w:rsidRPr="00785750">
        <w:t>RLCPubb</w:t>
      </w:r>
      <w:proofErr w:type="spellEnd"/>
      <w:r w:rsidRPr="00785750">
        <w:t>/CIAP).</w:t>
      </w:r>
    </w:p>
    <w:p w:rsidR="00785750" w:rsidRDefault="00785750" w:rsidP="00785750"/>
    <w:p w:rsidR="00171E3C" w:rsidRPr="00785750" w:rsidRDefault="00171E3C" w:rsidP="00785750">
      <w:r w:rsidRPr="00785750">
        <w:t>Per la realizzazione dell’opera in ossequio ai disposti dell’articolo 7 della Legge concernente il promovimento, il coordinamento e il finanziamento delle attività a favore delle persone anziane (</w:t>
      </w:r>
      <w:proofErr w:type="spellStart"/>
      <w:r w:rsidRPr="00785750">
        <w:t>LAnz</w:t>
      </w:r>
      <w:proofErr w:type="spellEnd"/>
      <w:r w:rsidRPr="00785750">
        <w:t>), è stato proposto un contributo complessivo unico a fondo perso, non indicizzabile all’aumento dei costi di costruzione, di CHF 11'900'000.-, che corrisponde al 41.9% dell’importo effettivamente da finanziare da parte della Fondazione e il 47.5% rispetto all’importo riconducibile alla sola Casa per anziani.</w:t>
      </w:r>
    </w:p>
    <w:p w:rsidR="00785750" w:rsidRDefault="00785750" w:rsidP="00785750"/>
    <w:p w:rsidR="00171E3C" w:rsidRPr="00785750" w:rsidRDefault="00171E3C" w:rsidP="00785750">
      <w:r w:rsidRPr="00785750">
        <w:t xml:space="preserve">Il resto del finanziamento dovrà essere garantito dalla Fondazione attraverso l’accensione di un mutuo ipotecario, i quali oneri saranno riconosciuti come previsto dal regolamento d’applicazione della </w:t>
      </w:r>
      <w:proofErr w:type="spellStart"/>
      <w:r w:rsidRPr="00785750">
        <w:t>LAnz</w:t>
      </w:r>
      <w:proofErr w:type="spellEnd"/>
      <w:r w:rsidRPr="00785750">
        <w:t xml:space="preserve"> nell’ambito del contratto di prestazione con un parametro massimo di CHF 20.00 per giornata di presenza, come pure dai “Comuni convenzionati” fino ad un massimo di CHF 10.00 per giornata di presenza. Per quest’ultimo punto la Fondazione dispone di accordi con i principali Comuni che gravitano sul comprensorio della Rete Parco San Rocco.</w:t>
      </w:r>
    </w:p>
    <w:p w:rsidR="00785750" w:rsidRDefault="00785750" w:rsidP="00785750"/>
    <w:p w:rsidR="00171E3C" w:rsidRDefault="00171E3C" w:rsidP="00785750">
      <w:r w:rsidRPr="00785750">
        <w:t>Il finanziamento è assicurato come segue:</w:t>
      </w:r>
    </w:p>
    <w:p w:rsidR="00785750" w:rsidRPr="00785750" w:rsidRDefault="00785750" w:rsidP="00785750"/>
    <w:tbl>
      <w:tblPr>
        <w:tblStyle w:val="Grigliatabell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409"/>
      </w:tblGrid>
      <w:tr w:rsidR="00171E3C" w:rsidRPr="00785750" w:rsidTr="008A6D59">
        <w:trPr>
          <w:trHeight w:val="454"/>
        </w:trPr>
        <w:tc>
          <w:tcPr>
            <w:tcW w:w="7230" w:type="dxa"/>
            <w:vAlign w:val="center"/>
          </w:tcPr>
          <w:p w:rsidR="00171E3C" w:rsidRPr="00785750" w:rsidRDefault="00171E3C" w:rsidP="008A6D59">
            <w:pPr>
              <w:pStyle w:val="Corpodeltesto32"/>
              <w:tabs>
                <w:tab w:val="left" w:pos="284"/>
              </w:tabs>
              <w:rPr>
                <w:rFonts w:cs="Arial"/>
                <w:b/>
                <w:i w:val="0"/>
                <w:sz w:val="23"/>
                <w:szCs w:val="23"/>
              </w:rPr>
            </w:pPr>
            <w:r w:rsidRPr="00785750">
              <w:rPr>
                <w:rFonts w:cs="Arial"/>
                <w:b/>
                <w:i w:val="0"/>
                <w:sz w:val="23"/>
                <w:szCs w:val="23"/>
              </w:rPr>
              <w:t>Costo complessivo delle opere da finanziare e delle prestazioni di consulente indipendente</w:t>
            </w:r>
          </w:p>
        </w:tc>
        <w:tc>
          <w:tcPr>
            <w:tcW w:w="2409" w:type="dxa"/>
            <w:vAlign w:val="center"/>
          </w:tcPr>
          <w:p w:rsidR="00171E3C" w:rsidRPr="00785750" w:rsidRDefault="00171E3C" w:rsidP="008A6D59">
            <w:pPr>
              <w:rPr>
                <w:rFonts w:cs="Arial"/>
                <w:b/>
                <w:bCs/>
                <w:color w:val="000000"/>
                <w:sz w:val="23"/>
                <w:szCs w:val="23"/>
              </w:rPr>
            </w:pPr>
            <w:r w:rsidRPr="00785750">
              <w:rPr>
                <w:rFonts w:cs="Arial"/>
                <w:b/>
                <w:bCs/>
                <w:color w:val="000000"/>
                <w:sz w:val="23"/>
                <w:szCs w:val="23"/>
              </w:rPr>
              <w:t xml:space="preserve"> 28'389'466.80</w:t>
            </w:r>
          </w:p>
        </w:tc>
      </w:tr>
      <w:tr w:rsidR="00171E3C" w:rsidRPr="00785750" w:rsidTr="008A6D59">
        <w:trPr>
          <w:trHeight w:val="397"/>
        </w:trPr>
        <w:tc>
          <w:tcPr>
            <w:tcW w:w="7230" w:type="dxa"/>
            <w:vAlign w:val="center"/>
          </w:tcPr>
          <w:p w:rsidR="00171E3C" w:rsidRPr="00785750" w:rsidRDefault="00171E3C" w:rsidP="008A6D59">
            <w:pPr>
              <w:pStyle w:val="Corpodeltesto32"/>
              <w:tabs>
                <w:tab w:val="left" w:pos="284"/>
                <w:tab w:val="left" w:pos="3969"/>
                <w:tab w:val="decimal" w:pos="5670"/>
              </w:tabs>
              <w:spacing w:before="120"/>
              <w:rPr>
                <w:rFonts w:cs="Arial"/>
                <w:i w:val="0"/>
                <w:sz w:val="23"/>
                <w:szCs w:val="23"/>
              </w:rPr>
            </w:pPr>
            <w:r w:rsidRPr="00785750">
              <w:rPr>
                <w:rFonts w:cs="Arial"/>
                <w:i w:val="0"/>
                <w:sz w:val="23"/>
                <w:szCs w:val="23"/>
              </w:rPr>
              <w:t xml:space="preserve">Partecipazioni annuali dal Comune di </w:t>
            </w:r>
            <w:proofErr w:type="spellStart"/>
            <w:r w:rsidRPr="00785750">
              <w:rPr>
                <w:rFonts w:cs="Arial"/>
                <w:i w:val="0"/>
                <w:sz w:val="23"/>
                <w:szCs w:val="23"/>
              </w:rPr>
              <w:t>Coldrerio</w:t>
            </w:r>
            <w:proofErr w:type="spellEnd"/>
            <w:r w:rsidRPr="00785750">
              <w:rPr>
                <w:rFonts w:cs="Arial"/>
                <w:i w:val="0"/>
                <w:sz w:val="23"/>
                <w:szCs w:val="23"/>
              </w:rPr>
              <w:t xml:space="preserve"> o da terzi</w:t>
            </w:r>
          </w:p>
        </w:tc>
        <w:tc>
          <w:tcPr>
            <w:tcW w:w="2409" w:type="dxa"/>
            <w:vAlign w:val="center"/>
          </w:tcPr>
          <w:p w:rsidR="00171E3C" w:rsidRPr="00785750" w:rsidRDefault="00171E3C" w:rsidP="008A6D59">
            <w:pPr>
              <w:pStyle w:val="Corpodeltesto32"/>
              <w:tabs>
                <w:tab w:val="right" w:pos="1925"/>
                <w:tab w:val="right" w:pos="2160"/>
                <w:tab w:val="left" w:pos="3969"/>
                <w:tab w:val="decimal" w:pos="5670"/>
              </w:tabs>
              <w:spacing w:before="120"/>
              <w:rPr>
                <w:rFonts w:cs="Arial"/>
                <w:i w:val="0"/>
                <w:sz w:val="23"/>
                <w:szCs w:val="23"/>
              </w:rPr>
            </w:pPr>
            <w:r w:rsidRPr="00785750">
              <w:rPr>
                <w:rFonts w:cs="Arial"/>
                <w:i w:val="0"/>
                <w:sz w:val="23"/>
                <w:szCs w:val="23"/>
              </w:rPr>
              <w:t xml:space="preserve">   3'348'644.00</w:t>
            </w:r>
          </w:p>
        </w:tc>
      </w:tr>
      <w:tr w:rsidR="00171E3C" w:rsidRPr="00785750" w:rsidTr="008A6D59">
        <w:trPr>
          <w:trHeight w:val="397"/>
        </w:trPr>
        <w:tc>
          <w:tcPr>
            <w:tcW w:w="7230" w:type="dxa"/>
            <w:vAlign w:val="center"/>
          </w:tcPr>
          <w:p w:rsidR="00171E3C" w:rsidRPr="00785750" w:rsidRDefault="00171E3C" w:rsidP="008A6D59">
            <w:pPr>
              <w:pStyle w:val="Corpodeltesto32"/>
              <w:tabs>
                <w:tab w:val="left" w:pos="284"/>
              </w:tabs>
              <w:rPr>
                <w:rFonts w:cs="Arial"/>
                <w:i w:val="0"/>
                <w:sz w:val="23"/>
                <w:szCs w:val="23"/>
              </w:rPr>
            </w:pPr>
            <w:r w:rsidRPr="00785750">
              <w:rPr>
                <w:rFonts w:cs="Arial"/>
                <w:i w:val="0"/>
                <w:sz w:val="23"/>
                <w:szCs w:val="23"/>
              </w:rPr>
              <w:t>Contributo cantonale unico</w:t>
            </w:r>
          </w:p>
        </w:tc>
        <w:tc>
          <w:tcPr>
            <w:tcW w:w="2409" w:type="dxa"/>
            <w:vAlign w:val="center"/>
          </w:tcPr>
          <w:p w:rsidR="00171E3C" w:rsidRPr="00785750" w:rsidRDefault="00171E3C" w:rsidP="008A6D59">
            <w:pPr>
              <w:pStyle w:val="Corpodeltesto32"/>
              <w:tabs>
                <w:tab w:val="right" w:pos="1925"/>
                <w:tab w:val="right" w:pos="2160"/>
                <w:tab w:val="left" w:pos="3969"/>
                <w:tab w:val="decimal" w:pos="5670"/>
              </w:tabs>
              <w:ind w:left="33"/>
              <w:rPr>
                <w:rFonts w:cs="Arial"/>
                <w:i w:val="0"/>
                <w:sz w:val="23"/>
                <w:szCs w:val="23"/>
              </w:rPr>
            </w:pPr>
            <w:r w:rsidRPr="00785750">
              <w:rPr>
                <w:rFonts w:cs="Arial"/>
                <w:i w:val="0"/>
                <w:sz w:val="23"/>
                <w:szCs w:val="23"/>
              </w:rPr>
              <w:t xml:space="preserve"> 11'900'000.00</w:t>
            </w:r>
          </w:p>
        </w:tc>
      </w:tr>
      <w:tr w:rsidR="00171E3C" w:rsidRPr="00785750" w:rsidTr="008A6D59">
        <w:trPr>
          <w:trHeight w:val="397"/>
        </w:trPr>
        <w:tc>
          <w:tcPr>
            <w:tcW w:w="7230" w:type="dxa"/>
            <w:vAlign w:val="center"/>
          </w:tcPr>
          <w:p w:rsidR="00171E3C" w:rsidRPr="00785750" w:rsidRDefault="00171E3C" w:rsidP="008A6D59">
            <w:pPr>
              <w:pStyle w:val="Corpodeltesto32"/>
              <w:tabs>
                <w:tab w:val="left" w:pos="284"/>
                <w:tab w:val="left" w:pos="3969"/>
                <w:tab w:val="decimal" w:pos="5670"/>
              </w:tabs>
              <w:rPr>
                <w:rFonts w:cs="Arial"/>
                <w:i w:val="0"/>
                <w:sz w:val="23"/>
                <w:szCs w:val="23"/>
              </w:rPr>
            </w:pPr>
            <w:r w:rsidRPr="00785750">
              <w:rPr>
                <w:rFonts w:cs="Arial"/>
                <w:i w:val="0"/>
                <w:sz w:val="23"/>
                <w:szCs w:val="23"/>
              </w:rPr>
              <w:t xml:space="preserve">Mutuo ipotecario riconosciuto secondo </w:t>
            </w:r>
            <w:proofErr w:type="spellStart"/>
            <w:r w:rsidRPr="00785750">
              <w:rPr>
                <w:rFonts w:cs="Arial"/>
                <w:i w:val="0"/>
                <w:sz w:val="23"/>
                <w:szCs w:val="23"/>
              </w:rPr>
              <w:t>LAnz</w:t>
            </w:r>
            <w:proofErr w:type="spellEnd"/>
          </w:p>
        </w:tc>
        <w:tc>
          <w:tcPr>
            <w:tcW w:w="2409" w:type="dxa"/>
            <w:vAlign w:val="center"/>
          </w:tcPr>
          <w:p w:rsidR="00171E3C" w:rsidRPr="00785750" w:rsidRDefault="00171E3C" w:rsidP="008A6D59">
            <w:pPr>
              <w:pStyle w:val="Corpodeltesto32"/>
              <w:tabs>
                <w:tab w:val="right" w:pos="1925"/>
                <w:tab w:val="right" w:pos="2160"/>
                <w:tab w:val="left" w:pos="3969"/>
                <w:tab w:val="decimal" w:pos="5670"/>
              </w:tabs>
              <w:ind w:left="33"/>
              <w:rPr>
                <w:rFonts w:cs="Arial"/>
                <w:i w:val="0"/>
                <w:sz w:val="23"/>
                <w:szCs w:val="23"/>
              </w:rPr>
            </w:pPr>
            <w:r w:rsidRPr="00785750">
              <w:rPr>
                <w:rFonts w:cs="Arial"/>
                <w:i w:val="0"/>
                <w:sz w:val="23"/>
                <w:szCs w:val="23"/>
              </w:rPr>
              <w:t xml:space="preserve"> 11'800'000.00</w:t>
            </w:r>
          </w:p>
        </w:tc>
      </w:tr>
      <w:tr w:rsidR="00171E3C" w:rsidRPr="00785750" w:rsidTr="008A6D59">
        <w:trPr>
          <w:trHeight w:val="397"/>
        </w:trPr>
        <w:tc>
          <w:tcPr>
            <w:tcW w:w="7230" w:type="dxa"/>
            <w:vAlign w:val="center"/>
          </w:tcPr>
          <w:p w:rsidR="00171E3C" w:rsidRPr="00785750" w:rsidRDefault="00171E3C" w:rsidP="008A6D59">
            <w:pPr>
              <w:pStyle w:val="Corpodeltesto32"/>
              <w:tabs>
                <w:tab w:val="left" w:pos="284"/>
                <w:tab w:val="left" w:pos="3969"/>
                <w:tab w:val="decimal" w:pos="5670"/>
              </w:tabs>
              <w:rPr>
                <w:rFonts w:cs="Arial"/>
                <w:i w:val="0"/>
                <w:sz w:val="23"/>
                <w:szCs w:val="23"/>
              </w:rPr>
            </w:pPr>
            <w:r w:rsidRPr="00785750">
              <w:rPr>
                <w:rFonts w:cs="Arial"/>
                <w:i w:val="0"/>
                <w:sz w:val="23"/>
                <w:szCs w:val="23"/>
              </w:rPr>
              <w:t xml:space="preserve">Mutuo ipotecario finanziato dai Comuni </w:t>
            </w:r>
          </w:p>
        </w:tc>
        <w:tc>
          <w:tcPr>
            <w:tcW w:w="2409" w:type="dxa"/>
            <w:tcBorders>
              <w:bottom w:val="single" w:sz="4" w:space="0" w:color="auto"/>
            </w:tcBorders>
            <w:vAlign w:val="center"/>
          </w:tcPr>
          <w:p w:rsidR="00171E3C" w:rsidRPr="00785750" w:rsidRDefault="00171E3C" w:rsidP="008A6D59">
            <w:pPr>
              <w:pStyle w:val="Corpodeltesto32"/>
              <w:tabs>
                <w:tab w:val="right" w:pos="1925"/>
                <w:tab w:val="right" w:pos="2160"/>
                <w:tab w:val="left" w:pos="3969"/>
                <w:tab w:val="decimal" w:pos="5670"/>
              </w:tabs>
              <w:ind w:left="34"/>
              <w:rPr>
                <w:rFonts w:cs="Arial"/>
                <w:i w:val="0"/>
                <w:sz w:val="23"/>
                <w:szCs w:val="23"/>
              </w:rPr>
            </w:pPr>
            <w:r w:rsidRPr="00785750">
              <w:rPr>
                <w:rFonts w:cs="Arial"/>
                <w:i w:val="0"/>
                <w:sz w:val="23"/>
                <w:szCs w:val="23"/>
              </w:rPr>
              <w:t xml:space="preserve">   1'340’822.80</w:t>
            </w:r>
          </w:p>
        </w:tc>
      </w:tr>
      <w:tr w:rsidR="00171E3C" w:rsidRPr="00785750" w:rsidTr="008A6D59">
        <w:trPr>
          <w:trHeight w:val="397"/>
        </w:trPr>
        <w:tc>
          <w:tcPr>
            <w:tcW w:w="7230" w:type="dxa"/>
          </w:tcPr>
          <w:p w:rsidR="00171E3C" w:rsidRPr="00785750" w:rsidRDefault="00171E3C" w:rsidP="008A6D59">
            <w:pPr>
              <w:pStyle w:val="Corpodeltesto32"/>
              <w:tabs>
                <w:tab w:val="left" w:pos="284"/>
                <w:tab w:val="left" w:pos="3969"/>
                <w:tab w:val="decimal" w:pos="5670"/>
              </w:tabs>
              <w:rPr>
                <w:rFonts w:cs="Arial"/>
                <w:i w:val="0"/>
                <w:sz w:val="23"/>
                <w:szCs w:val="23"/>
              </w:rPr>
            </w:pPr>
          </w:p>
        </w:tc>
        <w:tc>
          <w:tcPr>
            <w:tcW w:w="2409" w:type="dxa"/>
            <w:tcBorders>
              <w:top w:val="single" w:sz="4" w:space="0" w:color="auto"/>
            </w:tcBorders>
          </w:tcPr>
          <w:p w:rsidR="00171E3C" w:rsidRPr="00785750" w:rsidRDefault="00171E3C" w:rsidP="008A6D59">
            <w:pPr>
              <w:pStyle w:val="Corpodeltesto32"/>
              <w:tabs>
                <w:tab w:val="right" w:pos="1925"/>
                <w:tab w:val="right" w:pos="2160"/>
                <w:tab w:val="left" w:pos="3969"/>
                <w:tab w:val="decimal" w:pos="5670"/>
              </w:tabs>
              <w:spacing w:before="180"/>
              <w:ind w:left="33"/>
              <w:rPr>
                <w:rFonts w:cs="Arial"/>
                <w:i w:val="0"/>
                <w:sz w:val="23"/>
                <w:szCs w:val="23"/>
              </w:rPr>
            </w:pPr>
            <w:r w:rsidRPr="00785750">
              <w:rPr>
                <w:rFonts w:cs="Arial"/>
                <w:i w:val="0"/>
                <w:sz w:val="23"/>
                <w:szCs w:val="23"/>
              </w:rPr>
              <w:t xml:space="preserve">  28'389’466.80</w:t>
            </w:r>
          </w:p>
        </w:tc>
      </w:tr>
    </w:tbl>
    <w:p w:rsidR="00785750" w:rsidRDefault="00785750" w:rsidP="00785750"/>
    <w:p w:rsidR="00171E3C" w:rsidRPr="00785750" w:rsidRDefault="00171E3C" w:rsidP="00785750">
      <w:r w:rsidRPr="00785750">
        <w:t xml:space="preserve">Richiamato l’art. 2 </w:t>
      </w:r>
      <w:proofErr w:type="spellStart"/>
      <w:r w:rsidRPr="00785750">
        <w:t>LCPubb</w:t>
      </w:r>
      <w:proofErr w:type="spellEnd"/>
      <w:r w:rsidRPr="00785750">
        <w:t xml:space="preserve"> e ritenuto l’ammontare del sussidio superiore a CHF 1’000'000.00, l’assegnazione dei relativi appalti e mandati dovrà sottostare alla </w:t>
      </w:r>
      <w:r w:rsidRPr="00785750">
        <w:lastRenderedPageBreak/>
        <w:t xml:space="preserve">legislazione sulle commesse pubbliche. In proposito come già indicato è stato nominato un consulente indipendente giusta l’art. 60 a </w:t>
      </w:r>
      <w:proofErr w:type="spellStart"/>
      <w:r w:rsidRPr="00785750">
        <w:t>RLCPubb</w:t>
      </w:r>
      <w:proofErr w:type="spellEnd"/>
      <w:r w:rsidRPr="00785750">
        <w:t>/CIAP.</w:t>
      </w:r>
    </w:p>
    <w:p w:rsidR="00171E3C" w:rsidRDefault="00171E3C" w:rsidP="00785750"/>
    <w:p w:rsidR="00785750" w:rsidRPr="00785750" w:rsidRDefault="00785750" w:rsidP="00785750"/>
    <w:p w:rsidR="00171E3C" w:rsidRPr="00785750" w:rsidRDefault="00171E3C" w:rsidP="00785750">
      <w:pPr>
        <w:pStyle w:val="Titolo1"/>
      </w:pPr>
      <w:r w:rsidRPr="00785750">
        <w:t>ConclusionI</w:t>
      </w:r>
    </w:p>
    <w:p w:rsidR="00171E3C" w:rsidRPr="00785750" w:rsidRDefault="00171E3C" w:rsidP="00785750">
      <w:r w:rsidRPr="00785750">
        <w:t>Nell’ambito dell’esame commissionale è stata particolarmente apprezzata l’impostazione di questo progetto, che propone 2 aspetti sostanziali:</w:t>
      </w:r>
    </w:p>
    <w:p w:rsidR="00171E3C" w:rsidRPr="00785750" w:rsidRDefault="00785750" w:rsidP="00785750">
      <w:pPr>
        <w:pStyle w:val="Paragrafoelenco"/>
        <w:numPr>
          <w:ilvl w:val="0"/>
          <w:numId w:val="8"/>
        </w:numPr>
        <w:spacing w:before="100"/>
        <w:ind w:left="284" w:hanging="284"/>
        <w:rPr>
          <w:rFonts w:cs="Arial"/>
          <w:szCs w:val="24"/>
        </w:rPr>
      </w:pPr>
      <w:r>
        <w:rPr>
          <w:rFonts w:cs="Arial"/>
          <w:szCs w:val="24"/>
        </w:rPr>
        <w:t>l</w:t>
      </w:r>
      <w:r w:rsidR="00171E3C" w:rsidRPr="00785750">
        <w:rPr>
          <w:rFonts w:cs="Arial"/>
          <w:szCs w:val="24"/>
        </w:rPr>
        <w:t>a realizzazione della nuova Casa per anziani in un concetto programmatico di sviluppo in rete (Rete Parco San Rocco), con vantaggi diretti durante le fasi di costruzione e ampie possibilità di ottimi</w:t>
      </w:r>
      <w:r>
        <w:rPr>
          <w:rFonts w:cs="Arial"/>
          <w:szCs w:val="24"/>
        </w:rPr>
        <w:t>zzare e valorizzare la gestione;</w:t>
      </w:r>
    </w:p>
    <w:p w:rsidR="00171E3C" w:rsidRPr="00785750" w:rsidRDefault="00785750" w:rsidP="00785750">
      <w:pPr>
        <w:pStyle w:val="Paragrafoelenco"/>
        <w:numPr>
          <w:ilvl w:val="0"/>
          <w:numId w:val="8"/>
        </w:numPr>
        <w:spacing w:before="100"/>
        <w:ind w:left="284" w:hanging="284"/>
        <w:rPr>
          <w:rFonts w:cs="Arial"/>
          <w:szCs w:val="24"/>
        </w:rPr>
      </w:pPr>
      <w:r>
        <w:rPr>
          <w:rFonts w:cs="Arial"/>
          <w:szCs w:val="24"/>
        </w:rPr>
        <w:t>l</w:t>
      </w:r>
      <w:r w:rsidR="00171E3C" w:rsidRPr="00785750">
        <w:rPr>
          <w:rFonts w:cs="Arial"/>
          <w:szCs w:val="24"/>
        </w:rPr>
        <w:t xml:space="preserve">’inserimento della nuova Casa per anziani all’interno di un Quartiere intergenerazionale voluto, condiviso e anche finanziato dal Comune di </w:t>
      </w:r>
      <w:proofErr w:type="spellStart"/>
      <w:r w:rsidR="00171E3C" w:rsidRPr="00785750">
        <w:rPr>
          <w:rFonts w:cs="Arial"/>
          <w:szCs w:val="24"/>
        </w:rPr>
        <w:t>Coldrerio</w:t>
      </w:r>
      <w:proofErr w:type="spellEnd"/>
      <w:r w:rsidR="00171E3C" w:rsidRPr="00785750">
        <w:rPr>
          <w:rFonts w:cs="Arial"/>
          <w:szCs w:val="24"/>
        </w:rPr>
        <w:t>, a vantaggio delle nuove filosofie di cura ai residenti e di tutto l’insieme dei servizi di prossimità che ne potranno scaturire per la popolazione del comparto.</w:t>
      </w:r>
    </w:p>
    <w:p w:rsidR="00785750" w:rsidRDefault="00785750" w:rsidP="00171E3C">
      <w:pPr>
        <w:rPr>
          <w:rFonts w:cs="Arial"/>
          <w:szCs w:val="24"/>
        </w:rPr>
      </w:pPr>
    </w:p>
    <w:p w:rsidR="00171E3C" w:rsidRPr="00785750" w:rsidRDefault="00171E3C" w:rsidP="00171E3C">
      <w:pPr>
        <w:rPr>
          <w:rFonts w:cs="Arial"/>
          <w:szCs w:val="24"/>
        </w:rPr>
      </w:pPr>
      <w:r w:rsidRPr="00785750">
        <w:rPr>
          <w:rFonts w:cs="Arial"/>
          <w:szCs w:val="24"/>
        </w:rPr>
        <w:t>Il continuo allungamento della speranza di vita e il costante aumento della popolazione anziana sia in termini numerici che come quota parte della popolazione totale e della popolazione attiva, devono costituire una priorità politica.</w:t>
      </w:r>
    </w:p>
    <w:p w:rsidR="00171E3C" w:rsidRPr="00785750" w:rsidRDefault="00171E3C" w:rsidP="00171E3C">
      <w:pPr>
        <w:rPr>
          <w:rFonts w:cs="Arial"/>
          <w:szCs w:val="24"/>
        </w:rPr>
      </w:pPr>
      <w:r w:rsidRPr="00785750">
        <w:rPr>
          <w:rFonts w:cs="Arial"/>
          <w:szCs w:val="24"/>
        </w:rPr>
        <w:t>La sfida più importante da affrontare nei prossimi anni sarà quella di promuovere l’invecchiamento attivo e l’</w:t>
      </w:r>
      <w:proofErr w:type="spellStart"/>
      <w:r w:rsidRPr="00785750">
        <w:rPr>
          <w:rFonts w:cs="Arial"/>
          <w:szCs w:val="24"/>
        </w:rPr>
        <w:t>intergenerazionalità</w:t>
      </w:r>
      <w:proofErr w:type="spellEnd"/>
      <w:r w:rsidRPr="00785750">
        <w:rPr>
          <w:rFonts w:cs="Arial"/>
          <w:szCs w:val="24"/>
        </w:rPr>
        <w:t>, con strategie e misure razionali che sappiano ben bilanciare l’indispensabile sostegno dello Stato.</w:t>
      </w:r>
    </w:p>
    <w:p w:rsidR="00171E3C" w:rsidRDefault="00171E3C" w:rsidP="00171E3C">
      <w:pPr>
        <w:rPr>
          <w:rFonts w:cs="Arial"/>
          <w:szCs w:val="24"/>
          <w:highlight w:val="yellow"/>
        </w:rPr>
      </w:pPr>
    </w:p>
    <w:p w:rsidR="00785750" w:rsidRPr="00785750" w:rsidRDefault="00785750" w:rsidP="00785750">
      <w:pPr>
        <w:rPr>
          <w:rFonts w:cs="Arial"/>
          <w:szCs w:val="24"/>
        </w:rPr>
      </w:pPr>
    </w:p>
    <w:p w:rsidR="00785750" w:rsidRPr="00785750" w:rsidRDefault="00785750" w:rsidP="00785750">
      <w:pPr>
        <w:jc w:val="center"/>
        <w:rPr>
          <w:rFonts w:cs="Arial"/>
          <w:sz w:val="28"/>
          <w:szCs w:val="28"/>
        </w:rPr>
      </w:pP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r w:rsidRPr="00785750">
        <w:rPr>
          <w:rFonts w:cs="Arial"/>
          <w:sz w:val="28"/>
          <w:szCs w:val="28"/>
        </w:rPr>
        <w:t xml:space="preserve"> </w:t>
      </w:r>
      <w:r w:rsidRPr="00785750">
        <w:rPr>
          <w:rFonts w:cs="Arial"/>
          <w:sz w:val="28"/>
          <w:szCs w:val="28"/>
        </w:rPr>
        <w:sym w:font="Wingdings" w:char="F0AF"/>
      </w:r>
    </w:p>
    <w:p w:rsidR="00785750" w:rsidRPr="00785750" w:rsidRDefault="00785750" w:rsidP="00785750">
      <w:pPr>
        <w:autoSpaceDE w:val="0"/>
        <w:autoSpaceDN w:val="0"/>
        <w:adjustRightInd w:val="0"/>
        <w:rPr>
          <w:rFonts w:cs="Arial"/>
          <w:szCs w:val="24"/>
        </w:rPr>
      </w:pPr>
    </w:p>
    <w:p w:rsidR="00785750" w:rsidRPr="00785750" w:rsidRDefault="00785750" w:rsidP="00171E3C">
      <w:pPr>
        <w:rPr>
          <w:rFonts w:cs="Arial"/>
          <w:szCs w:val="24"/>
          <w:highlight w:val="yellow"/>
        </w:rPr>
      </w:pPr>
    </w:p>
    <w:p w:rsidR="00171E3C" w:rsidRPr="00785750" w:rsidRDefault="00171E3C" w:rsidP="00171E3C">
      <w:pPr>
        <w:rPr>
          <w:rFonts w:cs="Arial"/>
          <w:szCs w:val="24"/>
        </w:rPr>
      </w:pPr>
      <w:r w:rsidRPr="00785750">
        <w:rPr>
          <w:rFonts w:cs="Arial"/>
          <w:szCs w:val="24"/>
        </w:rPr>
        <w:t xml:space="preserve">Alla luce degli approfondimenti esperiti, la Commissione si dichiara favorevole al Messaggio e propone al Gran Consiglio di approvare il Decreto legislativo ad esso allegato. </w:t>
      </w:r>
    </w:p>
    <w:p w:rsidR="00171E3C" w:rsidRPr="00785750" w:rsidRDefault="00171E3C" w:rsidP="00171E3C">
      <w:pPr>
        <w:rPr>
          <w:rFonts w:cs="Arial"/>
          <w:szCs w:val="24"/>
        </w:rPr>
      </w:pPr>
    </w:p>
    <w:p w:rsidR="00171E3C" w:rsidRPr="00785750" w:rsidRDefault="00171E3C" w:rsidP="00171E3C">
      <w:pPr>
        <w:autoSpaceDE w:val="0"/>
        <w:autoSpaceDN w:val="0"/>
        <w:adjustRightInd w:val="0"/>
        <w:rPr>
          <w:rFonts w:cs="Arial"/>
          <w:szCs w:val="24"/>
        </w:rPr>
      </w:pPr>
    </w:p>
    <w:p w:rsidR="00171E3C" w:rsidRPr="00785750" w:rsidRDefault="00171E3C" w:rsidP="00171E3C">
      <w:pPr>
        <w:rPr>
          <w:rFonts w:cs="Arial"/>
          <w:szCs w:val="24"/>
        </w:rPr>
      </w:pPr>
    </w:p>
    <w:p w:rsidR="00171E3C" w:rsidRPr="00785750" w:rsidRDefault="00171E3C" w:rsidP="00171E3C">
      <w:pPr>
        <w:spacing w:after="120"/>
        <w:rPr>
          <w:rFonts w:cs="Arial"/>
          <w:szCs w:val="24"/>
        </w:rPr>
      </w:pPr>
      <w:r w:rsidRPr="00785750">
        <w:rPr>
          <w:rFonts w:cs="Arial"/>
          <w:szCs w:val="24"/>
        </w:rPr>
        <w:t>Per la Commissione gestione e finanze:</w:t>
      </w:r>
    </w:p>
    <w:p w:rsidR="00171E3C" w:rsidRPr="00785750" w:rsidRDefault="00171E3C" w:rsidP="00171E3C">
      <w:pPr>
        <w:rPr>
          <w:rFonts w:cs="Arial"/>
          <w:szCs w:val="24"/>
        </w:rPr>
      </w:pPr>
      <w:r w:rsidRPr="00785750">
        <w:rPr>
          <w:rFonts w:cs="Arial"/>
          <w:szCs w:val="24"/>
        </w:rPr>
        <w:t>Alex Farinelli, relatore</w:t>
      </w:r>
    </w:p>
    <w:p w:rsidR="007C09C9" w:rsidRDefault="007C09C9" w:rsidP="007C09C9">
      <w:pPr>
        <w:rPr>
          <w:rFonts w:cs="Arial"/>
        </w:rPr>
      </w:pPr>
      <w:bookmarkStart w:id="1" w:name="OLE_LINK1"/>
      <w:bookmarkStart w:id="2" w:name="OLE_LINK2"/>
      <w:r w:rsidRPr="005E5056">
        <w:rPr>
          <w:rFonts w:cs="Arial"/>
        </w:rPr>
        <w:t xml:space="preserve">Bacchetta-Cattori - </w:t>
      </w:r>
      <w:r>
        <w:rPr>
          <w:rFonts w:cs="Arial"/>
        </w:rPr>
        <w:t xml:space="preserve">Badasci - Bang - </w:t>
      </w:r>
    </w:p>
    <w:p w:rsidR="007C09C9" w:rsidRDefault="007C09C9" w:rsidP="007C09C9">
      <w:pPr>
        <w:rPr>
          <w:rFonts w:cs="Arial"/>
        </w:rPr>
      </w:pPr>
      <w:r>
        <w:rPr>
          <w:rFonts w:cs="Arial"/>
        </w:rPr>
        <w:t xml:space="preserve">Bignasca - Caprara - Caverzasio - Dadò - </w:t>
      </w:r>
    </w:p>
    <w:p w:rsidR="007C09C9" w:rsidRDefault="007C09C9" w:rsidP="007C09C9">
      <w:pPr>
        <w:rPr>
          <w:rFonts w:cs="Arial"/>
        </w:rPr>
      </w:pPr>
      <w:r>
        <w:rPr>
          <w:rFonts w:cs="Arial"/>
        </w:rPr>
        <w:t xml:space="preserve">De Rosa - Denti - Durisch - Garobbio - </w:t>
      </w:r>
    </w:p>
    <w:p w:rsidR="007C09C9" w:rsidRDefault="007C09C9" w:rsidP="007C09C9">
      <w:pPr>
        <w:rPr>
          <w:rFonts w:cs="Arial"/>
        </w:rPr>
      </w:pPr>
      <w:r>
        <w:rPr>
          <w:rFonts w:cs="Arial"/>
        </w:rPr>
        <w:t>Garzoli - Guerra - Pini - Quadranti</w:t>
      </w:r>
    </w:p>
    <w:bookmarkEnd w:id="1"/>
    <w:bookmarkEnd w:id="2"/>
    <w:p w:rsidR="00076E70" w:rsidRPr="00785750" w:rsidRDefault="00076E70" w:rsidP="00076E70">
      <w:pPr>
        <w:rPr>
          <w:rFonts w:cs="Arial"/>
          <w:szCs w:val="24"/>
        </w:rPr>
      </w:pPr>
    </w:p>
    <w:sectPr w:rsidR="00076E70" w:rsidRPr="00785750" w:rsidSect="008B4137">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C6" w:rsidRDefault="00425EC6" w:rsidP="008E77C6">
      <w:r>
        <w:separator/>
      </w:r>
    </w:p>
  </w:endnote>
  <w:endnote w:type="continuationSeparator" w:id="0">
    <w:p w:rsidR="00425EC6" w:rsidRDefault="00425E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26675" w:rsidRPr="00526675">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C6" w:rsidRDefault="00425EC6" w:rsidP="008E77C6">
      <w:r>
        <w:separator/>
      </w:r>
    </w:p>
  </w:footnote>
  <w:footnote w:type="continuationSeparator" w:id="0">
    <w:p w:rsidR="00425EC6" w:rsidRDefault="00425E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C81"/>
    <w:multiLevelType w:val="hybridMultilevel"/>
    <w:tmpl w:val="546AC01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nsid w:val="0D355C0C"/>
    <w:multiLevelType w:val="hybridMultilevel"/>
    <w:tmpl w:val="A80ED418"/>
    <w:lvl w:ilvl="0" w:tplc="55343F54">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3BE1726A"/>
    <w:multiLevelType w:val="hybridMultilevel"/>
    <w:tmpl w:val="BDD8A18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4AFC73FB"/>
    <w:multiLevelType w:val="hybridMultilevel"/>
    <w:tmpl w:val="7060B6E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6">
    <w:nsid w:val="7C44165B"/>
    <w:multiLevelType w:val="hybridMultilevel"/>
    <w:tmpl w:val="A4A4B8C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5"/>
  </w:num>
  <w:num w:numId="4">
    <w:abstractNumId w:val="1"/>
  </w:num>
  <w:num w:numId="5">
    <w:abstractNumId w:val="0"/>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171E3C"/>
    <w:rsid w:val="00260C8C"/>
    <w:rsid w:val="002E5E40"/>
    <w:rsid w:val="00425EC6"/>
    <w:rsid w:val="0052425A"/>
    <w:rsid w:val="00526675"/>
    <w:rsid w:val="00586A8D"/>
    <w:rsid w:val="00620C64"/>
    <w:rsid w:val="006D7A3B"/>
    <w:rsid w:val="007352D3"/>
    <w:rsid w:val="00785750"/>
    <w:rsid w:val="007B5462"/>
    <w:rsid w:val="007C09C9"/>
    <w:rsid w:val="008034BD"/>
    <w:rsid w:val="00876352"/>
    <w:rsid w:val="008B2655"/>
    <w:rsid w:val="008B4137"/>
    <w:rsid w:val="008C767A"/>
    <w:rsid w:val="008E77C6"/>
    <w:rsid w:val="009770BB"/>
    <w:rsid w:val="009E008D"/>
    <w:rsid w:val="00A5465F"/>
    <w:rsid w:val="00A77678"/>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85750"/>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85750"/>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Corpodeltesto32">
    <w:name w:val="Corpo del testo 32"/>
    <w:basedOn w:val="Normale"/>
    <w:rsid w:val="00171E3C"/>
    <w:pPr>
      <w:jc w:val="left"/>
    </w:pPr>
    <w:rPr>
      <w:rFonts w:eastAsia="Times New Roman" w:cs="Times New Roman"/>
      <w:i/>
      <w:szCs w:val="20"/>
      <w:lang w:val="it-IT" w:eastAsia="it-IT"/>
    </w:rPr>
  </w:style>
  <w:style w:type="paragraph" w:styleId="Testofumetto">
    <w:name w:val="Balloon Text"/>
    <w:basedOn w:val="Normale"/>
    <w:link w:val="TestofumettoCarattere"/>
    <w:uiPriority w:val="99"/>
    <w:semiHidden/>
    <w:unhideWhenUsed/>
    <w:rsid w:val="007C09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785750"/>
    <w:pPr>
      <w:keepNext/>
      <w:numPr>
        <w:numId w:val="4"/>
      </w:numPr>
      <w:tabs>
        <w:tab w:val="left" w:pos="567"/>
      </w:tabs>
      <w:spacing w:after="120"/>
      <w:ind w:left="567" w:hanging="567"/>
      <w:outlineLvl w:val="0"/>
    </w:pPr>
    <w:rPr>
      <w:rFonts w:cs="Arial"/>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785750"/>
    <w:rPr>
      <w:rFonts w:ascii="Arial" w:hAnsi="Arial" w:cs="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Corpodeltesto32">
    <w:name w:val="Corpo del testo 32"/>
    <w:basedOn w:val="Normale"/>
    <w:rsid w:val="00171E3C"/>
    <w:pPr>
      <w:jc w:val="left"/>
    </w:pPr>
    <w:rPr>
      <w:rFonts w:eastAsia="Times New Roman" w:cs="Times New Roman"/>
      <w:i/>
      <w:szCs w:val="20"/>
      <w:lang w:val="it-IT" w:eastAsia="it-IT"/>
    </w:rPr>
  </w:style>
  <w:style w:type="paragraph" w:styleId="Testofumetto">
    <w:name w:val="Balloon Text"/>
    <w:basedOn w:val="Normale"/>
    <w:link w:val="TestofumettoCarattere"/>
    <w:uiPriority w:val="99"/>
    <w:semiHidden/>
    <w:unhideWhenUsed/>
    <w:rsid w:val="007C09C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06CCA-0399-4A4F-8B43-A7416B326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2019</Words>
  <Characters>11509</Characters>
  <Application>Microsoft Office Word</Application>
  <DocSecurity>0</DocSecurity>
  <Lines>95</Lines>
  <Paragraphs>27</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2019-02-22T14:49:00Z</cp:lastPrinted>
  <dcterms:created xsi:type="dcterms:W3CDTF">2019-02-22T14:42:00Z</dcterms:created>
  <dcterms:modified xsi:type="dcterms:W3CDTF">2019-02-27T09:03:00Z</dcterms:modified>
</cp:coreProperties>
</file>