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80447" w:rsidP="00076E70">
      <w:r w:rsidRPr="00A13E93">
        <w:rPr>
          <w:rFonts w:ascii="Gill Sans MT" w:hAnsi="Gill Sans MT"/>
          <w:b/>
          <w:sz w:val="52"/>
          <w:szCs w:val="52"/>
        </w:rPr>
        <w:t>Rapporto</w:t>
      </w:r>
      <w:bookmarkStart w:id="0" w:name="_GoBack"/>
      <w:bookmarkEnd w:id="0"/>
    </w:p>
    <w:p w:rsidR="008B4137" w:rsidRDefault="008B4137">
      <w:pPr>
        <w:rPr>
          <w:rFonts w:cs="Arial"/>
          <w:szCs w:val="24"/>
        </w:rPr>
      </w:pPr>
    </w:p>
    <w:p w:rsidR="00B54866" w:rsidRDefault="00B54866">
      <w:pPr>
        <w:rPr>
          <w:rFonts w:cs="Arial"/>
          <w:szCs w:val="24"/>
        </w:rPr>
      </w:pPr>
    </w:p>
    <w:p w:rsidR="00076E70" w:rsidRDefault="00076E70">
      <w:pPr>
        <w:rPr>
          <w:rFonts w:cs="Arial"/>
          <w:szCs w:val="24"/>
        </w:rPr>
      </w:pPr>
    </w:p>
    <w:p w:rsidR="00260C8C" w:rsidRDefault="00B54866" w:rsidP="00260C8C">
      <w:pPr>
        <w:tabs>
          <w:tab w:val="left" w:pos="2098"/>
          <w:tab w:val="left" w:pos="4933"/>
        </w:tabs>
        <w:rPr>
          <w:rFonts w:cs="Arial"/>
          <w:szCs w:val="24"/>
        </w:rPr>
      </w:pPr>
      <w:r>
        <w:rPr>
          <w:rFonts w:cs="Arial"/>
          <w:b/>
          <w:sz w:val="32"/>
          <w:szCs w:val="32"/>
        </w:rPr>
        <w:t>7604</w:t>
      </w:r>
      <w:r w:rsidR="00260C8C" w:rsidRPr="008B4137">
        <w:rPr>
          <w:rFonts w:cs="Arial"/>
          <w:b/>
          <w:sz w:val="32"/>
          <w:szCs w:val="32"/>
        </w:rPr>
        <w:t xml:space="preserve"> R</w:t>
      </w:r>
      <w:r w:rsidR="00260C8C" w:rsidRPr="008B4137">
        <w:rPr>
          <w:rFonts w:cs="Arial"/>
          <w:sz w:val="28"/>
          <w:szCs w:val="28"/>
        </w:rPr>
        <w:tab/>
      </w:r>
      <w:r>
        <w:rPr>
          <w:rFonts w:cs="Arial"/>
          <w:sz w:val="28"/>
          <w:szCs w:val="28"/>
        </w:rPr>
        <w:t>19 febbraio 2019</w:t>
      </w:r>
      <w:r w:rsidR="00260C8C" w:rsidRPr="008B4137">
        <w:rPr>
          <w:rFonts w:cs="Arial"/>
          <w:sz w:val="28"/>
          <w:szCs w:val="28"/>
        </w:rPr>
        <w:tab/>
      </w:r>
      <w:r w:rsidRPr="00B54866">
        <w:rPr>
          <w:sz w:val="26"/>
          <w:szCs w:val="26"/>
        </w:rPr>
        <w:t>FINANZE E ECONOMIA / 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B54866" w:rsidRPr="00271AFF" w:rsidRDefault="001574D7" w:rsidP="00B54866">
      <w:pPr>
        <w:rPr>
          <w:rFonts w:cs="Arial"/>
          <w:b/>
          <w:sz w:val="28"/>
          <w:szCs w:val="28"/>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B54866">
        <w:rPr>
          <w:rFonts w:cs="Arial"/>
          <w:b/>
          <w:sz w:val="28"/>
          <w:szCs w:val="28"/>
        </w:rPr>
        <w:t>5 dicembre 2018</w:t>
      </w:r>
      <w:r w:rsidR="00B54866" w:rsidRPr="00C62BDE">
        <w:rPr>
          <w:rFonts w:cs="Arial"/>
          <w:b/>
          <w:sz w:val="28"/>
          <w:szCs w:val="28"/>
        </w:rPr>
        <w:t xml:space="preserve"> concernente lo stanziamento</w:t>
      </w:r>
      <w:r w:rsidR="00B54866">
        <w:rPr>
          <w:rFonts w:cs="Arial"/>
          <w:b/>
          <w:sz w:val="28"/>
          <w:szCs w:val="28"/>
        </w:rPr>
        <w:t xml:space="preserve"> </w:t>
      </w:r>
      <w:r w:rsidR="00B54866" w:rsidRPr="00880F1C">
        <w:rPr>
          <w:rFonts w:cs="Arial"/>
          <w:b/>
          <w:sz w:val="28"/>
          <w:szCs w:val="28"/>
        </w:rPr>
        <w:t>di un credito complessivo di franchi 11'735’000 per l’avvio della progettazione della ristrutturazione del Pretorio di Locarno e per progetti correlati per l’allestimento delle sedi provvisorie e autorizzazione a sottoscrivere i contratti di locazione per le sedi provvisorie</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F45EAC" w:rsidRPr="00102622" w:rsidRDefault="00F45EAC" w:rsidP="00F45EAC">
      <w:pPr>
        <w:pStyle w:val="Titolo1"/>
      </w:pPr>
      <w:r w:rsidRPr="00102622">
        <w:t xml:space="preserve">RICHIESTA </w:t>
      </w:r>
      <w:r>
        <w:t xml:space="preserve">E SCOPO </w:t>
      </w:r>
      <w:r w:rsidRPr="00102622">
        <w:t xml:space="preserve">DEL MESSAGGIO </w:t>
      </w:r>
    </w:p>
    <w:p w:rsidR="00F45EAC" w:rsidRPr="00B218E0" w:rsidRDefault="00F45EAC" w:rsidP="00F45EAC">
      <w:pPr>
        <w:rPr>
          <w:rFonts w:cs="Arial"/>
        </w:rPr>
      </w:pPr>
      <w:r>
        <w:t xml:space="preserve">Il </w:t>
      </w:r>
      <w:r w:rsidRPr="0042652C">
        <w:t xml:space="preserve">messaggio </w:t>
      </w:r>
      <w:r>
        <w:t xml:space="preserve">governativo chiede al Gran Consiglio di stanziare i fondi necessari per avviare la progettazione della ristrutturazione del Pretorio di Locarno e procedere con gli accorgimenti logistici – di investimento e di gestione – per il periodo dei lavori, visto che per eseguire i lavori di risanamento del palazzo sarà necessario liberarlo completamente, rendendo di conseguenza indispensabile la locazione e l’adattamento di nuovi spazi quali sedi temporanee. </w:t>
      </w:r>
      <w:r w:rsidRPr="00FF6A79">
        <w:rPr>
          <w:rFonts w:cs="Arial"/>
          <w:szCs w:val="24"/>
        </w:rPr>
        <w:t>L</w:t>
      </w:r>
      <w:r>
        <w:rPr>
          <w:rFonts w:cs="Arial"/>
          <w:szCs w:val="24"/>
        </w:rPr>
        <w:t xml:space="preserve">e varie sistemazioni previste coinvolgono </w:t>
      </w:r>
      <w:r w:rsidRPr="00FF6A79">
        <w:rPr>
          <w:rFonts w:cs="Arial"/>
          <w:szCs w:val="24"/>
        </w:rPr>
        <w:t>anche l’istituto scolastico del C</w:t>
      </w:r>
      <w:r>
        <w:rPr>
          <w:rFonts w:cs="Arial"/>
          <w:szCs w:val="24"/>
        </w:rPr>
        <w:t xml:space="preserve">entro </w:t>
      </w:r>
      <w:r w:rsidRPr="00FF6A79">
        <w:rPr>
          <w:rFonts w:cs="Arial"/>
          <w:szCs w:val="24"/>
        </w:rPr>
        <w:t>P</w:t>
      </w:r>
      <w:r>
        <w:rPr>
          <w:rFonts w:cs="Arial"/>
          <w:szCs w:val="24"/>
        </w:rPr>
        <w:t xml:space="preserve">rofessionale </w:t>
      </w:r>
      <w:r w:rsidRPr="00FF6A79">
        <w:rPr>
          <w:rFonts w:cs="Arial"/>
          <w:szCs w:val="24"/>
        </w:rPr>
        <w:t>C</w:t>
      </w:r>
      <w:r>
        <w:rPr>
          <w:rFonts w:cs="Arial"/>
          <w:szCs w:val="24"/>
        </w:rPr>
        <w:t>ommerciale (CPC) di Locarno</w:t>
      </w:r>
      <w:r w:rsidRPr="00FF6A79">
        <w:rPr>
          <w:rFonts w:cs="Arial"/>
          <w:szCs w:val="24"/>
        </w:rPr>
        <w:t xml:space="preserve"> il quale, come previsto dalla pianificazione del DECS, conclude il processo di avvicinamento delle unità distaccate verso la sede primaria in via Cappuccini</w:t>
      </w:r>
      <w:r>
        <w:rPr>
          <w:rFonts w:cs="Arial"/>
          <w:szCs w:val="24"/>
        </w:rPr>
        <w:t xml:space="preserve"> (Città Vecchia)</w:t>
      </w:r>
      <w:r>
        <w:rPr>
          <w:rFonts w:cs="Arial"/>
        </w:rPr>
        <w:t>.</w:t>
      </w:r>
    </w:p>
    <w:p w:rsidR="00F45EAC" w:rsidRDefault="00F45EAC" w:rsidP="00F45EAC"/>
    <w:p w:rsidR="00F45EAC" w:rsidRPr="00BE0C04" w:rsidRDefault="00F45EAC" w:rsidP="00F45EAC">
      <w:pPr>
        <w:spacing w:after="160"/>
        <w:rPr>
          <w:rFonts w:cs="Arial"/>
        </w:rPr>
      </w:pPr>
      <w:r>
        <w:t xml:space="preserve">La </w:t>
      </w:r>
      <w:r w:rsidRPr="00EC1086">
        <w:rPr>
          <w:b/>
        </w:rPr>
        <w:t>necessità</w:t>
      </w:r>
      <w:r>
        <w:t xml:space="preserve"> di ristrutturare il Pretorio era già stata segnalata negli anni Novanta (cfr. messaggio governativo numero 4555 del 9 luglio 1996 inerente la concessione dei crediti per il concorso e la progettazione del palazzo amministrativo di Locarno), ma si è resa ancor più palese quando, nel 2016, alcuni sfaldamenti degli intonaci dei soffitti dei corridoi che, rovinando sul sottostante soffitto ribassato, hanno determinato il crollo concatenato delle </w:t>
      </w:r>
      <w:r>
        <w:rPr>
          <w:color w:val="000000" w:themeColor="text1"/>
        </w:rPr>
        <w:t xml:space="preserve">strutture posticce. </w:t>
      </w:r>
      <w:r w:rsidRPr="00FF6A79">
        <w:rPr>
          <w:rFonts w:cs="Arial"/>
        </w:rPr>
        <w:t xml:space="preserve">Dopo l’immediata messa in sicurezza è stata avviata una diagnosi tecnica </w:t>
      </w:r>
      <w:r>
        <w:rPr>
          <w:rFonts w:cs="Arial"/>
        </w:rPr>
        <w:t xml:space="preserve">globale </w:t>
      </w:r>
      <w:r w:rsidRPr="00FF6A79">
        <w:rPr>
          <w:rFonts w:cs="Arial"/>
        </w:rPr>
        <w:t xml:space="preserve">dello </w:t>
      </w:r>
      <w:r w:rsidRPr="009F6D8D">
        <w:rPr>
          <w:rFonts w:cs="Arial"/>
        </w:rPr>
        <w:t>stato di conservazione dell’immobile, che ha evidenziato delle problematiche diffuse – in particolare relative alle strutture e all’impiantistica – e ha disegnato le condizioni quadro di intervento su due periodi operativi distinti: il primo da realizzarsi entro 1-2 anni – e in effetti già realizzato – finalizzato ad attuare uno scenario di sicurezza atto a garantire l’abitabilità residua e a predisporre le sedi transitorie, il secondo volto a prolungare il ciclo di vita di 45-50 anni</w:t>
      </w:r>
      <w:r>
        <w:rPr>
          <w:rFonts w:cs="Arial"/>
        </w:rPr>
        <w:t xml:space="preserve"> considerando le condizioni di bene culturale tutelato. A mente del Consiglio di Stato l</w:t>
      </w:r>
      <w:r w:rsidRPr="00BE0C04">
        <w:rPr>
          <w:rFonts w:cs="Arial"/>
        </w:rPr>
        <w:t>a richiesta è giustificata dall’impellente necessità di allestire le sedi provvisorie necessarie per ovviare alla precaria situazione strutturale del Pretori</w:t>
      </w:r>
      <w:r>
        <w:rPr>
          <w:rFonts w:cs="Arial"/>
        </w:rPr>
        <w:t xml:space="preserve">o, sedi che </w:t>
      </w:r>
      <w:r w:rsidRPr="00BE0C04">
        <w:rPr>
          <w:rFonts w:cs="Arial"/>
        </w:rPr>
        <w:t>permetteranno di rappresentare dignitosamente le Istituzioni cantonali e di garantire la qualità delle prestazioni erogat</w:t>
      </w:r>
      <w:r>
        <w:rPr>
          <w:rFonts w:cs="Arial"/>
        </w:rPr>
        <w:t xml:space="preserve">e dall’amministrazione pubblica; al contempo </w:t>
      </w:r>
      <w:r w:rsidRPr="00BE0C04">
        <w:rPr>
          <w:rFonts w:cs="Arial"/>
        </w:rPr>
        <w:t xml:space="preserve">si darà avvio alla fase di progettazione che permetterà il risanamento e la ristrutturazione totale del Pretorio </w:t>
      </w:r>
      <w:r>
        <w:rPr>
          <w:rFonts w:cs="Arial"/>
        </w:rPr>
        <w:t>che potrà così tornare</w:t>
      </w:r>
      <w:r w:rsidRPr="00BE0C04">
        <w:rPr>
          <w:rFonts w:cs="Arial"/>
        </w:rPr>
        <w:t xml:space="preserve">, dopo oltre un secolo, ad assumere un rinnovato carattere rappresentativo degli organi istituzionali statali e riaffermarsi nel contesto urbano del </w:t>
      </w:r>
      <w:r w:rsidRPr="00BE0C04">
        <w:rPr>
          <w:rFonts w:cs="Arial"/>
          <w:i/>
        </w:rPr>
        <w:t>Quartiere Nuovo</w:t>
      </w:r>
      <w:r>
        <w:rPr>
          <w:rFonts w:cs="Arial"/>
        </w:rPr>
        <w:t xml:space="preserve"> della città di Locarno, assestandovi sul</w:t>
      </w:r>
      <w:r w:rsidRPr="00BE0C04">
        <w:rPr>
          <w:rFonts w:cs="Arial"/>
        </w:rPr>
        <w:t xml:space="preserve"> lungo periodo la collocazione dei Servizi dell’Amministrazione cantonale.</w:t>
      </w:r>
    </w:p>
    <w:p w:rsidR="00F45EAC" w:rsidRPr="00EC1086" w:rsidRDefault="00F45EAC" w:rsidP="00F45EAC">
      <w:pPr>
        <w:rPr>
          <w:color w:val="000000" w:themeColor="text1"/>
        </w:rPr>
      </w:pPr>
      <w:r w:rsidRPr="00EC1086">
        <w:rPr>
          <w:color w:val="000000" w:themeColor="text1"/>
        </w:rPr>
        <w:lastRenderedPageBreak/>
        <w:t xml:space="preserve">Il credito complessivo richiesto di </w:t>
      </w:r>
      <w:r w:rsidRPr="00EC1086">
        <w:rPr>
          <w:b/>
          <w:color w:val="000000" w:themeColor="text1"/>
        </w:rPr>
        <w:t>CHF 11'735’000</w:t>
      </w:r>
      <w:r w:rsidRPr="00EC1086">
        <w:rPr>
          <w:color w:val="000000" w:themeColor="text1"/>
        </w:rPr>
        <w:t xml:space="preserve"> è così composto:</w:t>
      </w:r>
    </w:p>
    <w:p w:rsidR="00F45EAC" w:rsidRPr="00EC1086" w:rsidRDefault="00F45EAC" w:rsidP="00B54866">
      <w:pPr>
        <w:pStyle w:val="Paragrafoelenco"/>
        <w:numPr>
          <w:ilvl w:val="0"/>
          <w:numId w:val="5"/>
        </w:numPr>
        <w:spacing w:before="120"/>
        <w:ind w:left="425" w:hanging="425"/>
        <w:rPr>
          <w:rFonts w:cs="Arial"/>
          <w:color w:val="000000" w:themeColor="text1"/>
          <w:szCs w:val="24"/>
        </w:rPr>
      </w:pPr>
      <w:r w:rsidRPr="00EC1086">
        <w:rPr>
          <w:rFonts w:cs="Arial"/>
          <w:color w:val="000000" w:themeColor="text1"/>
          <w:szCs w:val="24"/>
        </w:rPr>
        <w:t xml:space="preserve">un credito di </w:t>
      </w:r>
      <w:r w:rsidRPr="00EC1086">
        <w:rPr>
          <w:rFonts w:cs="Arial"/>
          <w:b/>
          <w:color w:val="000000" w:themeColor="text1"/>
          <w:szCs w:val="24"/>
        </w:rPr>
        <w:t>CHF 3'870’000</w:t>
      </w:r>
      <w:r w:rsidRPr="00EC1086">
        <w:rPr>
          <w:rFonts w:cs="Arial"/>
          <w:color w:val="000000" w:themeColor="text1"/>
          <w:szCs w:val="24"/>
        </w:rPr>
        <w:t xml:space="preserve"> per la progettazione della ristrutturazione del Pretorio di Locarno;</w:t>
      </w:r>
    </w:p>
    <w:p w:rsidR="00F45EAC" w:rsidRPr="00EC1086" w:rsidRDefault="00F45EAC" w:rsidP="00B54866">
      <w:pPr>
        <w:pStyle w:val="Paragrafoelenco"/>
        <w:numPr>
          <w:ilvl w:val="0"/>
          <w:numId w:val="5"/>
        </w:numPr>
        <w:spacing w:before="120"/>
        <w:ind w:left="425" w:hanging="425"/>
        <w:rPr>
          <w:rFonts w:cs="Arial"/>
          <w:color w:val="000000" w:themeColor="text1"/>
          <w:szCs w:val="24"/>
        </w:rPr>
      </w:pPr>
      <w:r w:rsidRPr="00EC1086">
        <w:rPr>
          <w:rFonts w:cs="Arial"/>
          <w:color w:val="000000" w:themeColor="text1"/>
          <w:szCs w:val="24"/>
        </w:rPr>
        <w:t xml:space="preserve">i crediti per la </w:t>
      </w:r>
      <w:r w:rsidRPr="00EC1086">
        <w:rPr>
          <w:rFonts w:cs="Arial"/>
          <w:b/>
          <w:color w:val="000000" w:themeColor="text1"/>
          <w:szCs w:val="24"/>
        </w:rPr>
        <w:t>progettazione e l’allestimento delle sedi provvisorie necessarie</w:t>
      </w:r>
      <w:r>
        <w:rPr>
          <w:rFonts w:cs="Arial"/>
          <w:b/>
          <w:color w:val="000000" w:themeColor="text1"/>
          <w:szCs w:val="24"/>
        </w:rPr>
        <w:t xml:space="preserve"> per un totale di CHF 7'865’000</w:t>
      </w:r>
      <w:r w:rsidRPr="00EC1086">
        <w:rPr>
          <w:rFonts w:cs="Arial"/>
          <w:color w:val="000000" w:themeColor="text1"/>
          <w:szCs w:val="24"/>
        </w:rPr>
        <w:t xml:space="preserve">, vale a dire </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b/>
          <w:color w:val="000000" w:themeColor="text1"/>
          <w:szCs w:val="24"/>
        </w:rPr>
        <w:t>CHF 1'815’000</w:t>
      </w:r>
      <w:r w:rsidRPr="00EC1086">
        <w:rPr>
          <w:rFonts w:cs="Arial"/>
          <w:color w:val="000000" w:themeColor="text1"/>
          <w:szCs w:val="24"/>
        </w:rPr>
        <w:t xml:space="preserve"> per la sede provvisoria delle Preture di Locarno, della Corte di appello e revisione penale nell’ex sede del Credit </w:t>
      </w:r>
      <w:proofErr w:type="spellStart"/>
      <w:r w:rsidRPr="00EC1086">
        <w:rPr>
          <w:rFonts w:cs="Arial"/>
          <w:color w:val="000000" w:themeColor="text1"/>
          <w:szCs w:val="24"/>
        </w:rPr>
        <w:t>Suisse</w:t>
      </w:r>
      <w:proofErr w:type="spellEnd"/>
      <w:r w:rsidRPr="00EC1086">
        <w:rPr>
          <w:rFonts w:cs="Arial"/>
          <w:color w:val="000000" w:themeColor="text1"/>
          <w:szCs w:val="24"/>
        </w:rPr>
        <w:t xml:space="preserve"> in Piazza Grande a Locarno;</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b/>
          <w:color w:val="000000" w:themeColor="text1"/>
          <w:szCs w:val="24"/>
        </w:rPr>
        <w:t>CHF 3'550’000</w:t>
      </w:r>
      <w:r w:rsidRPr="00EC1086">
        <w:rPr>
          <w:rFonts w:cs="Arial"/>
          <w:color w:val="000000" w:themeColor="text1"/>
          <w:szCs w:val="24"/>
        </w:rPr>
        <w:t xml:space="preserve"> per la sede provvisoria della Polizia cantonale presso lo stabile La Ferriera a Locarno;</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b/>
          <w:color w:val="000000" w:themeColor="text1"/>
          <w:szCs w:val="24"/>
        </w:rPr>
        <w:t>CHF 1'665’000</w:t>
      </w:r>
      <w:r w:rsidRPr="00EC1086">
        <w:rPr>
          <w:rFonts w:cs="Arial"/>
          <w:color w:val="000000" w:themeColor="text1"/>
          <w:szCs w:val="24"/>
        </w:rPr>
        <w:t xml:space="preserve"> per la </w:t>
      </w:r>
      <w:proofErr w:type="spellStart"/>
      <w:r w:rsidRPr="00EC1086">
        <w:rPr>
          <w:rFonts w:cs="Arial"/>
          <w:color w:val="000000" w:themeColor="text1"/>
          <w:szCs w:val="24"/>
        </w:rPr>
        <w:t>sottosede</w:t>
      </w:r>
      <w:proofErr w:type="spellEnd"/>
      <w:r w:rsidRPr="00EC1086">
        <w:rPr>
          <w:rFonts w:cs="Arial"/>
          <w:color w:val="000000" w:themeColor="text1"/>
          <w:szCs w:val="24"/>
        </w:rPr>
        <w:t xml:space="preserve"> del Centro professionale commerciale (CPC) di Locarno presso Villa Erica, sempre a Locarno;</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b/>
          <w:color w:val="000000" w:themeColor="text1"/>
          <w:szCs w:val="24"/>
        </w:rPr>
        <w:t>CHF 835’000</w:t>
      </w:r>
      <w:r w:rsidRPr="00EC1086">
        <w:rPr>
          <w:rFonts w:cs="Arial"/>
          <w:color w:val="000000" w:themeColor="text1"/>
          <w:szCs w:val="24"/>
        </w:rPr>
        <w:t xml:space="preserve"> per la sede degli uffici forestali del 4° e 8° circondario presso lo stabile della Direzione dei lavori del </w:t>
      </w:r>
      <w:proofErr w:type="spellStart"/>
      <w:r w:rsidRPr="00EC1086">
        <w:rPr>
          <w:rFonts w:cs="Arial"/>
          <w:color w:val="000000" w:themeColor="text1"/>
          <w:szCs w:val="24"/>
        </w:rPr>
        <w:t>sopraceneri</w:t>
      </w:r>
      <w:proofErr w:type="spellEnd"/>
      <w:r w:rsidRPr="00EC1086">
        <w:rPr>
          <w:rFonts w:cs="Arial"/>
          <w:color w:val="000000" w:themeColor="text1"/>
          <w:szCs w:val="24"/>
        </w:rPr>
        <w:t xml:space="preserve"> in Via Mappo a Tenero;</w:t>
      </w:r>
    </w:p>
    <w:p w:rsidR="00F45EAC" w:rsidRPr="00EC1086" w:rsidRDefault="00F45EAC" w:rsidP="00B54866">
      <w:pPr>
        <w:pStyle w:val="Paragrafoelenco"/>
        <w:numPr>
          <w:ilvl w:val="0"/>
          <w:numId w:val="5"/>
        </w:numPr>
        <w:spacing w:before="120"/>
        <w:ind w:left="425" w:hanging="425"/>
        <w:rPr>
          <w:rFonts w:cs="Arial"/>
          <w:color w:val="000000" w:themeColor="text1"/>
          <w:szCs w:val="24"/>
        </w:rPr>
      </w:pPr>
      <w:r w:rsidRPr="00EC1086">
        <w:rPr>
          <w:rFonts w:cs="Arial"/>
          <w:b/>
          <w:color w:val="000000" w:themeColor="text1"/>
          <w:szCs w:val="24"/>
        </w:rPr>
        <w:t xml:space="preserve">l’autorizzazione </w:t>
      </w:r>
      <w:r w:rsidRPr="00EC1086">
        <w:rPr>
          <w:b/>
          <w:color w:val="000000" w:themeColor="text1"/>
        </w:rPr>
        <w:t xml:space="preserve">a sottoscrivere i contratti di locazione </w:t>
      </w:r>
      <w:r>
        <w:rPr>
          <w:b/>
          <w:color w:val="000000" w:themeColor="text1"/>
        </w:rPr>
        <w:t>– per un totale di CHF 664'427 l’anno (</w:t>
      </w:r>
      <w:r w:rsidRPr="00EF0AA2">
        <w:rPr>
          <w:b/>
          <w:color w:val="000000" w:themeColor="text1"/>
        </w:rPr>
        <w:t>spese incluse</w:t>
      </w:r>
      <w:r>
        <w:rPr>
          <w:b/>
          <w:color w:val="000000" w:themeColor="text1"/>
        </w:rPr>
        <w:t xml:space="preserve">) – </w:t>
      </w:r>
      <w:r w:rsidRPr="00EC1086">
        <w:rPr>
          <w:b/>
          <w:color w:val="000000" w:themeColor="text1"/>
        </w:rPr>
        <w:t>per le sedi provvisorie e altri spazi destinati in via definitiva al CPC di Locarno</w:t>
      </w:r>
      <w:r w:rsidRPr="00EC1086">
        <w:rPr>
          <w:color w:val="000000" w:themeColor="text1"/>
        </w:rPr>
        <w:t>:</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color w:val="000000" w:themeColor="text1"/>
          <w:szCs w:val="24"/>
        </w:rPr>
        <w:t xml:space="preserve">un affitto annuo di </w:t>
      </w:r>
      <w:r w:rsidRPr="00EC1086">
        <w:rPr>
          <w:rFonts w:cs="Arial"/>
          <w:b/>
          <w:color w:val="000000" w:themeColor="text1"/>
          <w:szCs w:val="24"/>
        </w:rPr>
        <w:t>CHF 376'000</w:t>
      </w:r>
      <w:r w:rsidRPr="00EC1086">
        <w:rPr>
          <w:rFonts w:cs="Arial"/>
          <w:color w:val="000000" w:themeColor="text1"/>
          <w:szCs w:val="24"/>
        </w:rPr>
        <w:t xml:space="preserve"> per la sede delle Preture di Locarno e della Corte di appello e revisione penale (sede ex Credit </w:t>
      </w:r>
      <w:proofErr w:type="spellStart"/>
      <w:r w:rsidRPr="00EC1086">
        <w:rPr>
          <w:rFonts w:cs="Arial"/>
          <w:color w:val="000000" w:themeColor="text1"/>
          <w:szCs w:val="24"/>
        </w:rPr>
        <w:t>Suisse</w:t>
      </w:r>
      <w:proofErr w:type="spellEnd"/>
      <w:r w:rsidRPr="00EC1086">
        <w:rPr>
          <w:rFonts w:cs="Arial"/>
          <w:color w:val="000000" w:themeColor="text1"/>
          <w:szCs w:val="24"/>
        </w:rPr>
        <w:t>);</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color w:val="000000" w:themeColor="text1"/>
          <w:szCs w:val="24"/>
        </w:rPr>
        <w:t xml:space="preserve">un affitto annuo di </w:t>
      </w:r>
      <w:r w:rsidRPr="00EC1086">
        <w:rPr>
          <w:rFonts w:cs="Arial"/>
          <w:b/>
          <w:color w:val="000000" w:themeColor="text1"/>
          <w:szCs w:val="24"/>
        </w:rPr>
        <w:t>CHF 65’800</w:t>
      </w:r>
      <w:r w:rsidRPr="00EC1086">
        <w:rPr>
          <w:rFonts w:cs="Arial"/>
          <w:color w:val="000000" w:themeColor="text1"/>
          <w:szCs w:val="24"/>
        </w:rPr>
        <w:t xml:space="preserve">, spese accessorie escluse, per spazi accessori, posteggi e depositi della sede della Polizia cantonale (stabile La Ferriera); </w:t>
      </w:r>
    </w:p>
    <w:p w:rsidR="00F45EAC" w:rsidRPr="00EC1086" w:rsidRDefault="00F45EAC" w:rsidP="00B54866">
      <w:pPr>
        <w:pStyle w:val="Paragrafoelenco"/>
        <w:numPr>
          <w:ilvl w:val="1"/>
          <w:numId w:val="5"/>
        </w:numPr>
        <w:ind w:left="709" w:hanging="283"/>
        <w:contextualSpacing/>
        <w:rPr>
          <w:rFonts w:cs="Arial"/>
          <w:color w:val="000000" w:themeColor="text1"/>
          <w:szCs w:val="24"/>
        </w:rPr>
      </w:pPr>
      <w:r w:rsidRPr="00EC1086">
        <w:rPr>
          <w:rFonts w:cs="Arial"/>
          <w:color w:val="000000" w:themeColor="text1"/>
          <w:szCs w:val="24"/>
        </w:rPr>
        <w:t xml:space="preserve">un affitto annuo di </w:t>
      </w:r>
      <w:r w:rsidRPr="00EC1086">
        <w:rPr>
          <w:rFonts w:cs="Arial"/>
          <w:b/>
          <w:color w:val="000000" w:themeColor="text1"/>
          <w:szCs w:val="24"/>
        </w:rPr>
        <w:t>CHF 70'000</w:t>
      </w:r>
      <w:r w:rsidRPr="00EC1086">
        <w:rPr>
          <w:rFonts w:cs="Arial"/>
          <w:color w:val="000000" w:themeColor="text1"/>
          <w:szCs w:val="24"/>
        </w:rPr>
        <w:t xml:space="preserve">, spese accessorie escluse, per la </w:t>
      </w:r>
      <w:proofErr w:type="spellStart"/>
      <w:r w:rsidRPr="00EC1086">
        <w:rPr>
          <w:rFonts w:cs="Arial"/>
          <w:color w:val="000000" w:themeColor="text1"/>
          <w:szCs w:val="24"/>
        </w:rPr>
        <w:t>sottosede</w:t>
      </w:r>
      <w:proofErr w:type="spellEnd"/>
      <w:r w:rsidRPr="00EC1086">
        <w:rPr>
          <w:rFonts w:cs="Arial"/>
          <w:color w:val="000000" w:themeColor="text1"/>
          <w:szCs w:val="24"/>
        </w:rPr>
        <w:t xml:space="preserve"> del CPC in Villa Erica. </w:t>
      </w:r>
    </w:p>
    <w:p w:rsidR="00F45EAC" w:rsidRDefault="00F45EAC" w:rsidP="00F45EAC">
      <w:pPr>
        <w:rPr>
          <w:rFonts w:cs="Arial"/>
        </w:rPr>
      </w:pPr>
    </w:p>
    <w:p w:rsidR="00B54866" w:rsidRDefault="00B54866" w:rsidP="00F45EAC">
      <w:pPr>
        <w:rPr>
          <w:rFonts w:cs="Arial"/>
        </w:rPr>
      </w:pPr>
    </w:p>
    <w:p w:rsidR="00F45EAC" w:rsidRPr="0042652C" w:rsidRDefault="00F45EAC" w:rsidP="00F45EAC">
      <w:pPr>
        <w:rPr>
          <w:rFonts w:cs="Arial"/>
        </w:rPr>
      </w:pPr>
    </w:p>
    <w:p w:rsidR="00F45EAC" w:rsidRDefault="00F45EAC" w:rsidP="00B54866">
      <w:pPr>
        <w:pStyle w:val="Titolo1"/>
      </w:pPr>
      <w:r>
        <w:t>PROGETTI</w:t>
      </w:r>
    </w:p>
    <w:p w:rsidR="00F45EAC" w:rsidRPr="00BE0C04" w:rsidRDefault="00F45EAC" w:rsidP="00B54866">
      <w:pPr>
        <w:pStyle w:val="Titolo2"/>
      </w:pPr>
      <w:r>
        <w:t>2.1</w:t>
      </w:r>
      <w:r w:rsidR="00B54866">
        <w:tab/>
      </w:r>
      <w:r w:rsidRPr="00BE0C04">
        <w:t>La ristrutturazione del Pretorio di Locarno</w:t>
      </w:r>
    </w:p>
    <w:p w:rsidR="00F45EAC" w:rsidRPr="00DF643A" w:rsidRDefault="00F45EAC" w:rsidP="00F45EAC">
      <w:pPr>
        <w:rPr>
          <w:rFonts w:cs="Arial"/>
          <w:color w:val="000000" w:themeColor="text1"/>
          <w:szCs w:val="24"/>
        </w:rPr>
      </w:pPr>
      <w:r w:rsidRPr="00DF643A">
        <w:rPr>
          <w:rFonts w:cs="Arial"/>
          <w:color w:val="000000" w:themeColor="text1"/>
          <w:szCs w:val="24"/>
        </w:rPr>
        <w:t>Come già anticipato in entrata, a oltre cent’anni dalla sua costruzione il Pretorio, inaugurato nel 1910, mostra un avanzato indice di obsolescenza e degrado tali da non più garantire la necessaria sicurezza degli ambienti interni e compromettere il carattere istituzionale e rappresentativo della sede delle Istituzioni giudiziarie e della Polizia. Occorre risalire al 1977, in occasione della ricostruzione e ampliamento del corpo prefabbricato di chiusura della corte</w:t>
      </w:r>
      <w:r>
        <w:rPr>
          <w:rFonts w:cs="Arial"/>
          <w:color w:val="000000" w:themeColor="text1"/>
          <w:szCs w:val="24"/>
        </w:rPr>
        <w:t xml:space="preserve"> interna</w:t>
      </w:r>
      <w:r w:rsidRPr="00DF643A">
        <w:rPr>
          <w:rFonts w:cs="Arial"/>
          <w:color w:val="000000" w:themeColor="text1"/>
          <w:szCs w:val="24"/>
        </w:rPr>
        <w:t xml:space="preserve">, per registrare rilevanti interventi edilizi di ristrutturazione, di manutenzione straordinaria e aggiornamento funzionale (nel 2009 l’intervento era infatti circoscritto alla sola sistemazione e realizzazione degli spazi necessari alla Corte di appello e di revisione penale). Nel frattempo le frequenti esondazioni del lago e le importanti realizzazioni edilizie circostanti sul finire del secolo scorso e i primi anni del 2000 hanno contribuito al deterioramento dell’edificio, per arrivare ai dissesti del 2016. Si è allora proceduto – oltre alle </w:t>
      </w:r>
      <w:r w:rsidRPr="00DF643A">
        <w:rPr>
          <w:color w:val="000000" w:themeColor="text1"/>
        </w:rPr>
        <w:t xml:space="preserve">opere di messa in sicurezza nelle aree toccate dai crolli, misure poi estese ad altre aree coperte da soffitti potenzialmente instabili – a una diagnosi tecnica globale e di valutazione delle priorità d’intervento con l’obiettivo di porre le basi conoscitive e decisionali finalizzate alla pianificazione operativa degli interventi di messa in sicurezza prima e poi di restauro del palazzo. Il documento, consegnato nel marzo 2017, delinea interventi di breve e di lungo termine, considerando  </w:t>
      </w:r>
      <w:r>
        <w:rPr>
          <w:rFonts w:cs="Arial"/>
          <w:color w:val="000000" w:themeColor="text1"/>
          <w:szCs w:val="24"/>
        </w:rPr>
        <w:t xml:space="preserve">la </w:t>
      </w:r>
      <w:r w:rsidRPr="00DF643A">
        <w:rPr>
          <w:rFonts w:cs="Arial"/>
          <w:color w:val="000000" w:themeColor="text1"/>
          <w:szCs w:val="24"/>
        </w:rPr>
        <w:t xml:space="preserve">ristrutturazione integrale nel rispetto della sostanza effettivamente conservabile, innovando la qualità edilizia secondo i criteri del restauro conservativo e rendendo l’edificio pienamente conforme al quadro normativo vigente e alle esigenze dei servizi. Il messaggio governativo precisa come le proposte d’intervento faranno riferimento alle regole del buon </w:t>
      </w:r>
      <w:r w:rsidRPr="00DF643A">
        <w:rPr>
          <w:rFonts w:cs="Arial"/>
          <w:color w:val="000000" w:themeColor="text1"/>
          <w:szCs w:val="24"/>
        </w:rPr>
        <w:lastRenderedPageBreak/>
        <w:t xml:space="preserve">restauro, si baseranno </w:t>
      </w:r>
      <w:r w:rsidRPr="00DF643A">
        <w:rPr>
          <w:rFonts w:cs="Arial"/>
          <w:color w:val="000000" w:themeColor="text1"/>
          <w:lang w:eastAsia="it-CH"/>
        </w:rPr>
        <w:t xml:space="preserve">sui principi del restauro applicati per interventi su monumenti protetti e </w:t>
      </w:r>
      <w:r w:rsidRPr="00DF643A">
        <w:rPr>
          <w:rFonts w:cs="Arial"/>
          <w:color w:val="000000" w:themeColor="text1"/>
          <w:szCs w:val="24"/>
        </w:rPr>
        <w:t xml:space="preserve">saranno concordate con l’Ufficio dei Beni culturali (UBC). </w:t>
      </w:r>
    </w:p>
    <w:p w:rsidR="00F45EAC" w:rsidRPr="00DF643A" w:rsidRDefault="00F45EAC" w:rsidP="00F45EAC">
      <w:pPr>
        <w:rPr>
          <w:rFonts w:cs="Arial"/>
          <w:color w:val="000000" w:themeColor="text1"/>
          <w:szCs w:val="24"/>
        </w:rPr>
      </w:pPr>
    </w:p>
    <w:p w:rsidR="00F45EAC" w:rsidRPr="00DF643A" w:rsidRDefault="00F45EAC" w:rsidP="00F45EAC">
      <w:pPr>
        <w:rPr>
          <w:color w:val="000000" w:themeColor="text1"/>
        </w:rPr>
      </w:pPr>
      <w:r w:rsidRPr="00DF643A">
        <w:rPr>
          <w:rFonts w:cs="Arial"/>
          <w:color w:val="000000" w:themeColor="text1"/>
          <w:szCs w:val="24"/>
        </w:rPr>
        <w:t xml:space="preserve">I </w:t>
      </w:r>
      <w:r w:rsidRPr="00DF643A">
        <w:rPr>
          <w:rFonts w:cs="Arial"/>
          <w:color w:val="000000" w:themeColor="text1"/>
        </w:rPr>
        <w:t xml:space="preserve">servizi e i fabbisogni che saranno collocati nel Pretorio sono riassunti nella tabella che segue. </w:t>
      </w:r>
    </w:p>
    <w:p w:rsidR="00F45EAC" w:rsidRPr="00DF643A" w:rsidRDefault="00F45EAC" w:rsidP="00F45EAC">
      <w:pPr>
        <w:rPr>
          <w:rFonts w:cs="Arial"/>
          <w:color w:val="000000" w:themeColor="text1"/>
        </w:rPr>
      </w:pPr>
    </w:p>
    <w:tbl>
      <w:tblPr>
        <w:tblW w:w="9644" w:type="dxa"/>
        <w:tblInd w:w="65" w:type="dxa"/>
        <w:tblLayout w:type="fixed"/>
        <w:tblCellMar>
          <w:left w:w="70" w:type="dxa"/>
          <w:right w:w="70" w:type="dxa"/>
        </w:tblCellMar>
        <w:tblLook w:val="0000" w:firstRow="0" w:lastRow="0" w:firstColumn="0" w:lastColumn="0" w:noHBand="0" w:noVBand="0"/>
      </w:tblPr>
      <w:tblGrid>
        <w:gridCol w:w="349"/>
        <w:gridCol w:w="2775"/>
        <w:gridCol w:w="1417"/>
        <w:gridCol w:w="1418"/>
        <w:gridCol w:w="3685"/>
      </w:tblGrid>
      <w:tr w:rsidR="00F45EAC" w:rsidRPr="00DF643A" w:rsidTr="008A6D59">
        <w:trPr>
          <w:trHeight w:val="450"/>
        </w:trPr>
        <w:tc>
          <w:tcPr>
            <w:tcW w:w="3124" w:type="dxa"/>
            <w:gridSpan w:val="2"/>
            <w:tcBorders>
              <w:top w:val="single" w:sz="4" w:space="0" w:color="auto"/>
              <w:left w:val="single" w:sz="4" w:space="0" w:color="auto"/>
              <w:bottom w:val="single" w:sz="4" w:space="0" w:color="000000"/>
              <w:right w:val="single" w:sz="4" w:space="0" w:color="000000"/>
            </w:tcBorders>
            <w:shd w:val="clear" w:color="auto" w:fill="C0C0C0"/>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Servizi</w:t>
            </w:r>
          </w:p>
        </w:tc>
        <w:tc>
          <w:tcPr>
            <w:tcW w:w="1417" w:type="dxa"/>
            <w:tcBorders>
              <w:top w:val="single" w:sz="4" w:space="0" w:color="auto"/>
              <w:left w:val="single" w:sz="4" w:space="0" w:color="auto"/>
              <w:bottom w:val="single" w:sz="4" w:space="0" w:color="000000"/>
              <w:right w:val="single" w:sz="4" w:space="0" w:color="auto"/>
            </w:tcBorders>
            <w:shd w:val="clear" w:color="auto" w:fill="C0C0C0"/>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N° collaboratori</w:t>
            </w:r>
          </w:p>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PPA / persone</w:t>
            </w:r>
          </w:p>
        </w:tc>
        <w:tc>
          <w:tcPr>
            <w:tcW w:w="1418" w:type="dxa"/>
            <w:tcBorders>
              <w:top w:val="single" w:sz="4" w:space="0" w:color="auto"/>
              <w:left w:val="nil"/>
              <w:bottom w:val="single" w:sz="4" w:space="0" w:color="auto"/>
              <w:right w:val="single" w:sz="4" w:space="0" w:color="auto"/>
            </w:tcBorders>
            <w:shd w:val="clear" w:color="auto" w:fill="C0C0C0"/>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Superficie m</w:t>
            </w:r>
            <w:r w:rsidRPr="00DF643A">
              <w:rPr>
                <w:rFonts w:cs="Arial"/>
                <w:color w:val="000000" w:themeColor="text1"/>
                <w:sz w:val="16"/>
                <w:szCs w:val="16"/>
                <w:vertAlign w:val="superscript"/>
              </w:rPr>
              <w:t>2</w:t>
            </w:r>
          </w:p>
        </w:tc>
        <w:tc>
          <w:tcPr>
            <w:tcW w:w="3685" w:type="dxa"/>
            <w:tcBorders>
              <w:top w:val="single" w:sz="4" w:space="0" w:color="auto"/>
              <w:left w:val="single" w:sz="4" w:space="0" w:color="auto"/>
              <w:bottom w:val="single" w:sz="4" w:space="0" w:color="000000"/>
              <w:right w:val="single" w:sz="4" w:space="0" w:color="auto"/>
            </w:tcBorders>
            <w:shd w:val="clear" w:color="auto" w:fill="C0C0C0"/>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Osservazioni</w:t>
            </w:r>
          </w:p>
        </w:tc>
      </w:tr>
      <w:tr w:rsidR="00F45EAC" w:rsidRPr="00DF643A" w:rsidTr="008A6D59">
        <w:trPr>
          <w:trHeight w:val="420"/>
        </w:trPr>
        <w:tc>
          <w:tcPr>
            <w:tcW w:w="31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Pretura campagna</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7.5 / 8</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319</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Sale udienze, uffici e archivi</w:t>
            </w:r>
          </w:p>
        </w:tc>
      </w:tr>
      <w:tr w:rsidR="00F45EAC" w:rsidRPr="00DF643A" w:rsidTr="008A6D59">
        <w:trPr>
          <w:trHeight w:val="420"/>
        </w:trPr>
        <w:tc>
          <w:tcPr>
            <w:tcW w:w="31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Pretura città</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5.5 / 7</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299</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Sale udienze, uffici e archivi</w:t>
            </w:r>
          </w:p>
        </w:tc>
      </w:tr>
      <w:tr w:rsidR="00F45EAC" w:rsidRPr="00DF643A" w:rsidTr="008A6D59">
        <w:trPr>
          <w:trHeight w:val="420"/>
        </w:trPr>
        <w:tc>
          <w:tcPr>
            <w:tcW w:w="31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Preture campagna e Città</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180</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Locali condivisi</w:t>
            </w:r>
          </w:p>
        </w:tc>
      </w:tr>
      <w:tr w:rsidR="00F45EAC" w:rsidRPr="00DF643A" w:rsidTr="008A6D59">
        <w:trPr>
          <w:trHeight w:val="420"/>
        </w:trPr>
        <w:tc>
          <w:tcPr>
            <w:tcW w:w="31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Aula penale</w:t>
            </w:r>
          </w:p>
        </w:tc>
        <w:tc>
          <w:tcPr>
            <w:tcW w:w="1417" w:type="dxa"/>
            <w:tcBorders>
              <w:top w:val="nil"/>
              <w:left w:val="nil"/>
              <w:bottom w:val="single" w:sz="4" w:space="0" w:color="auto"/>
              <w:right w:val="single" w:sz="4" w:space="0" w:color="auto"/>
            </w:tcBorders>
            <w:shd w:val="clear" w:color="auto" w:fill="D9D9D9"/>
            <w:vAlign w:val="center"/>
          </w:tcPr>
          <w:p w:rsidR="00F45EAC" w:rsidRPr="00DF643A" w:rsidRDefault="00F45EAC" w:rsidP="008A6D59">
            <w:pPr>
              <w:jc w:val="center"/>
              <w:rPr>
                <w:rFonts w:cs="Arial"/>
                <w:color w:val="000000" w:themeColor="text1"/>
                <w:sz w:val="16"/>
                <w:szCs w:val="16"/>
              </w:rPr>
            </w:pP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125</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p>
        </w:tc>
      </w:tr>
      <w:tr w:rsidR="00F45EAC" w:rsidRPr="00DF643A" w:rsidTr="008A6D59">
        <w:trPr>
          <w:trHeight w:val="420"/>
        </w:trPr>
        <w:tc>
          <w:tcPr>
            <w:tcW w:w="31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Ministero Pubblio</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18</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Ufficio di supporto per processi a Locarno</w:t>
            </w:r>
          </w:p>
        </w:tc>
      </w:tr>
      <w:tr w:rsidR="00F45EAC" w:rsidRPr="00DF643A" w:rsidTr="008A6D59">
        <w:trPr>
          <w:trHeight w:val="375"/>
        </w:trPr>
        <w:tc>
          <w:tcPr>
            <w:tcW w:w="349" w:type="dxa"/>
            <w:vMerge w:val="restart"/>
            <w:tcBorders>
              <w:top w:val="nil"/>
              <w:left w:val="single" w:sz="4" w:space="0" w:color="auto"/>
              <w:right w:val="single" w:sz="4" w:space="0" w:color="auto"/>
            </w:tcBorders>
            <w:shd w:val="clear" w:color="auto" w:fill="auto"/>
            <w:noWrap/>
            <w:textDirection w:val="tbRlV"/>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Polizia</w:t>
            </w:r>
          </w:p>
        </w:tc>
        <w:tc>
          <w:tcPr>
            <w:tcW w:w="277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Gendarmeria</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proofErr w:type="spellStart"/>
            <w:r w:rsidRPr="00DF643A">
              <w:rPr>
                <w:rFonts w:cs="Arial"/>
                <w:color w:val="000000" w:themeColor="text1"/>
                <w:sz w:val="16"/>
                <w:szCs w:val="16"/>
              </w:rPr>
              <w:t>turnistica</w:t>
            </w:r>
            <w:proofErr w:type="spellEnd"/>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494</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Uffici, locali interrogatorio e di servizio</w:t>
            </w:r>
          </w:p>
        </w:tc>
      </w:tr>
      <w:tr w:rsidR="00F45EAC" w:rsidRPr="00DF643A" w:rsidTr="008A6D59">
        <w:trPr>
          <w:trHeight w:val="375"/>
        </w:trPr>
        <w:tc>
          <w:tcPr>
            <w:tcW w:w="349" w:type="dxa"/>
            <w:vMerge/>
            <w:tcBorders>
              <w:left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p>
        </w:tc>
        <w:tc>
          <w:tcPr>
            <w:tcW w:w="277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Polizia giudiziaria</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proofErr w:type="spellStart"/>
            <w:r w:rsidRPr="00DF643A">
              <w:rPr>
                <w:rFonts w:cs="Arial"/>
                <w:color w:val="000000" w:themeColor="text1"/>
                <w:sz w:val="16"/>
                <w:szCs w:val="16"/>
              </w:rPr>
              <w:t>turnistica</w:t>
            </w:r>
            <w:proofErr w:type="spellEnd"/>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360</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Uffici, locali interrogatorio e di servizio</w:t>
            </w:r>
          </w:p>
        </w:tc>
      </w:tr>
      <w:tr w:rsidR="00F45EAC" w:rsidRPr="00DF643A" w:rsidTr="008A6D59">
        <w:trPr>
          <w:trHeight w:val="375"/>
        </w:trPr>
        <w:tc>
          <w:tcPr>
            <w:tcW w:w="349" w:type="dxa"/>
            <w:vMerge/>
            <w:tcBorders>
              <w:left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p>
        </w:tc>
        <w:tc>
          <w:tcPr>
            <w:tcW w:w="277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color w:val="000000" w:themeColor="text1"/>
                <w:sz w:val="16"/>
                <w:szCs w:val="16"/>
              </w:rPr>
              <w:t>Servizio Gestione Detenuti</w:t>
            </w:r>
            <w:r w:rsidRPr="00DF643A">
              <w:rPr>
                <w:rStyle w:val="st1"/>
                <w:rFonts w:cs="Arial"/>
                <w:color w:val="000000" w:themeColor="text1"/>
              </w:rPr>
              <w:t xml:space="preserve"> </w:t>
            </w:r>
            <w:r w:rsidRPr="00DF643A">
              <w:rPr>
                <w:color w:val="000000" w:themeColor="text1"/>
                <w:sz w:val="16"/>
                <w:szCs w:val="16"/>
              </w:rPr>
              <w:t>(SGD)</w:t>
            </w:r>
            <w:r w:rsidRPr="00DF643A">
              <w:rPr>
                <w:rFonts w:cs="Arial"/>
                <w:color w:val="000000" w:themeColor="text1"/>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96</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Spazi per la gestione dei fermi di Polizia</w:t>
            </w:r>
          </w:p>
        </w:tc>
      </w:tr>
      <w:tr w:rsidR="00F45EAC" w:rsidRPr="00DF643A" w:rsidTr="008A6D59">
        <w:trPr>
          <w:trHeight w:val="375"/>
        </w:trPr>
        <w:tc>
          <w:tcPr>
            <w:tcW w:w="349" w:type="dxa"/>
            <w:vMerge/>
            <w:tcBorders>
              <w:left w:val="single" w:sz="4" w:space="0" w:color="auto"/>
              <w:bottom w:val="single" w:sz="4" w:space="0" w:color="000000"/>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p>
        </w:tc>
        <w:tc>
          <w:tcPr>
            <w:tcW w:w="277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Locali comuni</w:t>
            </w:r>
          </w:p>
        </w:tc>
        <w:tc>
          <w:tcPr>
            <w:tcW w:w="1417" w:type="dxa"/>
            <w:tcBorders>
              <w:top w:val="nil"/>
              <w:left w:val="nil"/>
              <w:bottom w:val="single" w:sz="4" w:space="0" w:color="auto"/>
              <w:right w:val="single" w:sz="4" w:space="0" w:color="auto"/>
            </w:tcBorders>
            <w:shd w:val="clear" w:color="auto" w:fill="D9D9D9"/>
            <w:vAlign w:val="center"/>
          </w:tcPr>
          <w:p w:rsidR="00F45EAC" w:rsidRPr="00DF643A" w:rsidRDefault="00F45EAC" w:rsidP="008A6D59">
            <w:pPr>
              <w:jc w:val="center"/>
              <w:rPr>
                <w:rFonts w:cs="Arial"/>
                <w:color w:val="000000" w:themeColor="text1"/>
                <w:sz w:val="16"/>
                <w:szCs w:val="16"/>
              </w:rPr>
            </w:pP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348</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Spogliatoi, depositi e locali di servizio</w:t>
            </w:r>
          </w:p>
        </w:tc>
      </w:tr>
      <w:tr w:rsidR="00F45EAC" w:rsidRPr="00DF643A" w:rsidTr="008A6D59">
        <w:trPr>
          <w:trHeight w:val="375"/>
        </w:trPr>
        <w:tc>
          <w:tcPr>
            <w:tcW w:w="3124" w:type="dxa"/>
            <w:gridSpan w:val="2"/>
            <w:tcBorders>
              <w:top w:val="nil"/>
              <w:left w:val="single" w:sz="4" w:space="0" w:color="auto"/>
              <w:bottom w:val="single" w:sz="4" w:space="0" w:color="000000"/>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 xml:space="preserve">Totale richiesta  </w:t>
            </w:r>
          </w:p>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spazi amministrativi</w:t>
            </w:r>
          </w:p>
        </w:tc>
        <w:tc>
          <w:tcPr>
            <w:tcW w:w="1417"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79</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2’114</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p>
        </w:tc>
      </w:tr>
      <w:tr w:rsidR="00F45EAC" w:rsidRPr="00DF643A" w:rsidTr="008A6D59">
        <w:trPr>
          <w:trHeight w:val="375"/>
        </w:trPr>
        <w:tc>
          <w:tcPr>
            <w:tcW w:w="3124" w:type="dxa"/>
            <w:gridSpan w:val="2"/>
            <w:tcBorders>
              <w:top w:val="nil"/>
              <w:left w:val="single" w:sz="4" w:space="0" w:color="auto"/>
              <w:bottom w:val="single" w:sz="4" w:space="0" w:color="000000"/>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Parcheggi + box</w:t>
            </w:r>
          </w:p>
        </w:tc>
        <w:tc>
          <w:tcPr>
            <w:tcW w:w="1417" w:type="dxa"/>
            <w:tcBorders>
              <w:top w:val="nil"/>
              <w:left w:val="nil"/>
              <w:bottom w:val="single" w:sz="4" w:space="0" w:color="auto"/>
              <w:right w:val="single" w:sz="4" w:space="0" w:color="auto"/>
            </w:tcBorders>
            <w:shd w:val="clear" w:color="auto" w:fill="D9D9D9"/>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 </w:t>
            </w:r>
          </w:p>
        </w:tc>
        <w:tc>
          <w:tcPr>
            <w:tcW w:w="1418"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center"/>
              <w:rPr>
                <w:rFonts w:cs="Arial"/>
                <w:color w:val="000000" w:themeColor="text1"/>
                <w:sz w:val="16"/>
                <w:szCs w:val="16"/>
              </w:rPr>
            </w:pPr>
            <w:r w:rsidRPr="00DF643A">
              <w:rPr>
                <w:rFonts w:cs="Arial"/>
                <w:color w:val="000000" w:themeColor="text1"/>
                <w:sz w:val="16"/>
                <w:szCs w:val="16"/>
              </w:rPr>
              <w:t>200</w:t>
            </w:r>
          </w:p>
        </w:tc>
        <w:tc>
          <w:tcPr>
            <w:tcW w:w="3685" w:type="dxa"/>
            <w:tcBorders>
              <w:top w:val="nil"/>
              <w:left w:val="nil"/>
              <w:bottom w:val="single" w:sz="4" w:space="0" w:color="auto"/>
              <w:right w:val="single" w:sz="4" w:space="0" w:color="auto"/>
            </w:tcBorders>
            <w:shd w:val="clear" w:color="auto" w:fill="auto"/>
            <w:vAlign w:val="center"/>
          </w:tcPr>
          <w:p w:rsidR="00F45EAC" w:rsidRPr="00DF643A" w:rsidRDefault="00F45EAC" w:rsidP="008A6D59">
            <w:pPr>
              <w:jc w:val="left"/>
              <w:rPr>
                <w:rFonts w:cs="Arial"/>
                <w:color w:val="000000" w:themeColor="text1"/>
                <w:sz w:val="16"/>
                <w:szCs w:val="16"/>
              </w:rPr>
            </w:pPr>
            <w:r w:rsidRPr="00DF643A">
              <w:rPr>
                <w:rFonts w:cs="Arial"/>
                <w:color w:val="000000" w:themeColor="text1"/>
                <w:sz w:val="16"/>
                <w:szCs w:val="16"/>
              </w:rPr>
              <w:t>33 parcheggi e 2 box</w:t>
            </w:r>
          </w:p>
        </w:tc>
      </w:tr>
    </w:tbl>
    <w:p w:rsidR="00F45EAC" w:rsidRDefault="00F45EAC" w:rsidP="00F45EAC"/>
    <w:p w:rsidR="00F45EAC" w:rsidRDefault="00F45EAC" w:rsidP="00F45EAC">
      <w:r>
        <w:t xml:space="preserve">L’investimento complessivo del progetto di ristrutturazione del Pretorio è stimato attorno ai 30 milioni (tetto massimo di spesa considerato il +/-20% CHF 35'160'000). </w:t>
      </w:r>
      <w:r w:rsidRPr="0046055D">
        <w:rPr>
          <w:b/>
        </w:rPr>
        <w:t>Il credito richiesto per il concorso di progettazione e per la progettazione stessa è di CHF 3'870'000</w:t>
      </w:r>
      <w:r>
        <w:t xml:space="preserve"> (maggiori dettagli p. 10 del messaggio governativo). </w:t>
      </w:r>
    </w:p>
    <w:p w:rsidR="00F45EAC" w:rsidRDefault="00F45EAC" w:rsidP="00F45EAC"/>
    <w:p w:rsidR="00B54866" w:rsidRDefault="00B54866" w:rsidP="00F45EAC"/>
    <w:p w:rsidR="00F45EAC" w:rsidRPr="00BE0C04" w:rsidRDefault="00F45EAC" w:rsidP="00B54866">
      <w:pPr>
        <w:pStyle w:val="Titolo2"/>
      </w:pPr>
      <w:r>
        <w:t>2.2</w:t>
      </w:r>
      <w:r w:rsidR="00B54866">
        <w:tab/>
      </w:r>
      <w:r w:rsidRPr="00BE0C04">
        <w:t>Le soluzioni transitorie</w:t>
      </w:r>
    </w:p>
    <w:p w:rsidR="00F45EAC" w:rsidRPr="007F267B" w:rsidRDefault="00F45EAC" w:rsidP="00F45EAC">
      <w:pPr>
        <w:rPr>
          <w:rFonts w:cs="Arial"/>
          <w:color w:val="000000" w:themeColor="text1"/>
        </w:rPr>
      </w:pPr>
      <w:r w:rsidRPr="007F267B">
        <w:rPr>
          <w:color w:val="000000" w:themeColor="text1"/>
        </w:rPr>
        <w:t xml:space="preserve">Visto che </w:t>
      </w:r>
      <w:r w:rsidRPr="007F267B">
        <w:rPr>
          <w:rFonts w:cs="Arial"/>
          <w:color w:val="000000" w:themeColor="text1"/>
        </w:rPr>
        <w:t xml:space="preserve">per attuare la ristrutturazione del Pretorio è necessario liberare completamente gli spazi interni, è di conseguenza indispensabile predisporre delle sedi transitorie – attive per tutta la durata dei lavori fino alla riconsegna degli spazi rinnovati – per i Servizi attualmente insediati nello stabile e più precisamente: Pretura Locarno-città, Pretura Locarno-campagna, Corte d’appello e di revisione penale, Ministero Pubblico (ufficio di appoggio), Gendarmeria, Polizia giudiziaria e Ufficio stima. </w:t>
      </w:r>
    </w:p>
    <w:p w:rsidR="00F45EAC" w:rsidRPr="00926A93" w:rsidRDefault="00F45EAC" w:rsidP="00F45EAC">
      <w:pPr>
        <w:rPr>
          <w:color w:val="C00000"/>
        </w:rPr>
      </w:pPr>
    </w:p>
    <w:p w:rsidR="00F45EAC" w:rsidRDefault="00F45EAC" w:rsidP="00F45EAC">
      <w:pPr>
        <w:rPr>
          <w:rFonts w:cs="Arial"/>
          <w:color w:val="000000" w:themeColor="text1"/>
        </w:rPr>
      </w:pPr>
      <w:r w:rsidRPr="007F267B">
        <w:rPr>
          <w:color w:val="000000" w:themeColor="text1"/>
        </w:rPr>
        <w:t xml:space="preserve">Le sedi provvisorie identificate dal Consiglio di Stato sono </w:t>
      </w:r>
      <w:r w:rsidRPr="007F267B">
        <w:rPr>
          <w:rFonts w:cs="Arial"/>
          <w:color w:val="000000" w:themeColor="text1"/>
        </w:rPr>
        <w:t xml:space="preserve">per il </w:t>
      </w:r>
      <w:r w:rsidRPr="002F0FE4">
        <w:rPr>
          <w:rFonts w:cs="Arial"/>
          <w:b/>
          <w:color w:val="000000" w:themeColor="text1"/>
        </w:rPr>
        <w:t>potere giudiziario</w:t>
      </w:r>
      <w:r w:rsidRPr="007F267B">
        <w:rPr>
          <w:rFonts w:cs="Arial"/>
          <w:color w:val="000000" w:themeColor="text1"/>
        </w:rPr>
        <w:t xml:space="preserve"> l’ex sede del Credit </w:t>
      </w:r>
      <w:proofErr w:type="spellStart"/>
      <w:r w:rsidRPr="007F267B">
        <w:rPr>
          <w:rFonts w:cs="Arial"/>
          <w:color w:val="000000" w:themeColor="text1"/>
        </w:rPr>
        <w:t>Suisse</w:t>
      </w:r>
      <w:proofErr w:type="spellEnd"/>
      <w:r w:rsidRPr="007F267B">
        <w:rPr>
          <w:rFonts w:cs="Arial"/>
          <w:color w:val="000000" w:themeColor="text1"/>
        </w:rPr>
        <w:t xml:space="preserve"> in Piazza Grande (in ragione dell’alto standing</w:t>
      </w:r>
      <w:r>
        <w:rPr>
          <w:rFonts w:cs="Arial"/>
          <w:color w:val="000000" w:themeColor="text1"/>
        </w:rPr>
        <w:t xml:space="preserve"> rappresentativo</w:t>
      </w:r>
      <w:r w:rsidRPr="007F267B">
        <w:rPr>
          <w:rFonts w:cs="Arial"/>
          <w:color w:val="000000" w:themeColor="text1"/>
        </w:rPr>
        <w:t>, del</w:t>
      </w:r>
      <w:r>
        <w:rPr>
          <w:rFonts w:cs="Arial"/>
          <w:color w:val="000000" w:themeColor="text1"/>
        </w:rPr>
        <w:t>le grandi superfici,</w:t>
      </w:r>
      <w:r w:rsidRPr="007F267B">
        <w:rPr>
          <w:rFonts w:cs="Arial"/>
          <w:color w:val="000000" w:themeColor="text1"/>
        </w:rPr>
        <w:t xml:space="preserve"> della posizione centrale</w:t>
      </w:r>
      <w:r>
        <w:rPr>
          <w:rFonts w:cs="Arial"/>
          <w:color w:val="000000" w:themeColor="text1"/>
        </w:rPr>
        <w:t xml:space="preserve"> e della vicinanza della sala del Consiglio Comunale per l</w:t>
      </w:r>
      <w:r>
        <w:t>a celebrazione dei processi di appello</w:t>
      </w:r>
      <w:r w:rsidRPr="007F267B">
        <w:rPr>
          <w:rFonts w:cs="Arial"/>
          <w:color w:val="000000" w:themeColor="text1"/>
        </w:rPr>
        <w:t xml:space="preserve">) e, per l’insediamento della </w:t>
      </w:r>
      <w:r w:rsidRPr="002F0FE4">
        <w:rPr>
          <w:rFonts w:cs="Arial"/>
          <w:b/>
          <w:color w:val="000000" w:themeColor="text1"/>
        </w:rPr>
        <w:t>Polizia cantonale</w:t>
      </w:r>
      <w:r w:rsidRPr="007F267B">
        <w:rPr>
          <w:rFonts w:cs="Arial"/>
          <w:color w:val="000000" w:themeColor="text1"/>
        </w:rPr>
        <w:t xml:space="preserve">, lo stabile La Ferriera: sono infatti ottimali le grandi superfici a disposizione, i contratti d’affitto in essere e gli spazi acquisibili nell’autorimessa. A seguito di questo spostamento sarà invece necessario ricollocare una parte del </w:t>
      </w:r>
      <w:r w:rsidRPr="002F0FE4">
        <w:rPr>
          <w:rFonts w:cs="Arial"/>
          <w:b/>
          <w:color w:val="000000" w:themeColor="text1"/>
        </w:rPr>
        <w:t xml:space="preserve">Centro professionale commerciale (CPC) </w:t>
      </w:r>
      <w:r w:rsidRPr="007F267B">
        <w:rPr>
          <w:rFonts w:cs="Arial"/>
          <w:color w:val="000000" w:themeColor="text1"/>
        </w:rPr>
        <w:t xml:space="preserve">di Locarno e gli </w:t>
      </w:r>
      <w:r w:rsidRPr="002F0FE4">
        <w:rPr>
          <w:rFonts w:cs="Arial"/>
          <w:b/>
          <w:color w:val="000000" w:themeColor="text1"/>
        </w:rPr>
        <w:t xml:space="preserve">Uffici forestali </w:t>
      </w:r>
      <w:r w:rsidRPr="007F267B">
        <w:rPr>
          <w:rFonts w:cs="Arial"/>
          <w:color w:val="000000" w:themeColor="text1"/>
        </w:rPr>
        <w:t xml:space="preserve">del 4° e 8° circondario, attualmente lì collocati: gli uffici forestali del Dipartimento del territorio saranno inseriti nello stabile degli uffici della Direzione dei lavori del </w:t>
      </w:r>
      <w:proofErr w:type="spellStart"/>
      <w:r w:rsidRPr="007F267B">
        <w:rPr>
          <w:rFonts w:cs="Arial"/>
          <w:color w:val="000000" w:themeColor="text1"/>
        </w:rPr>
        <w:t>Sopraceneri</w:t>
      </w:r>
      <w:proofErr w:type="spellEnd"/>
      <w:r w:rsidRPr="007F267B">
        <w:rPr>
          <w:rFonts w:cs="Arial"/>
          <w:color w:val="000000" w:themeColor="text1"/>
        </w:rPr>
        <w:t xml:space="preserve"> (Piano Viario del Locarnese - PVL) a Tenero, già parzialmente occupato dagli Uffici dell’Area operativa del </w:t>
      </w:r>
      <w:proofErr w:type="spellStart"/>
      <w:r w:rsidRPr="007F267B">
        <w:rPr>
          <w:rFonts w:cs="Arial"/>
          <w:color w:val="000000" w:themeColor="text1"/>
        </w:rPr>
        <w:t>Sopraceneri</w:t>
      </w:r>
      <w:proofErr w:type="spellEnd"/>
      <w:r w:rsidRPr="007F267B">
        <w:rPr>
          <w:rFonts w:cs="Arial"/>
          <w:color w:val="000000" w:themeColor="text1"/>
        </w:rPr>
        <w:t>; mentre il CPC</w:t>
      </w:r>
      <w:r w:rsidRPr="007F267B">
        <w:rPr>
          <w:color w:val="000000" w:themeColor="text1"/>
        </w:rPr>
        <w:t xml:space="preserve"> sarà trasferito</w:t>
      </w:r>
      <w:r w:rsidRPr="007F267B">
        <w:rPr>
          <w:rFonts w:cs="Arial"/>
          <w:color w:val="000000" w:themeColor="text1"/>
        </w:rPr>
        <w:t xml:space="preserve"> presso Villa Erica, situata nelle vicinanze della sede principale e degli spazi recentemente locati per l’Istituto Sant’Eugenio (ciò che permetterà la </w:t>
      </w:r>
      <w:r w:rsidRPr="007F267B">
        <w:rPr>
          <w:rFonts w:cs="Arial"/>
          <w:color w:val="000000" w:themeColor="text1"/>
        </w:rPr>
        <w:lastRenderedPageBreak/>
        <w:t>formazione di un comparto scolastico più integrato).</w:t>
      </w:r>
      <w:r>
        <w:rPr>
          <w:rFonts w:cs="Arial"/>
          <w:color w:val="000000" w:themeColor="text1"/>
        </w:rPr>
        <w:t xml:space="preserve"> Il distaccamento dell’</w:t>
      </w:r>
      <w:r w:rsidRPr="002F0FE4">
        <w:rPr>
          <w:rFonts w:cs="Arial"/>
          <w:b/>
          <w:color w:val="000000" w:themeColor="text1"/>
        </w:rPr>
        <w:t>Ufficio stima</w:t>
      </w:r>
      <w:r>
        <w:rPr>
          <w:rFonts w:cs="Arial"/>
          <w:color w:val="000000" w:themeColor="text1"/>
        </w:rPr>
        <w:t xml:space="preserve"> si ridurrà invece – come avvenuto in altre sedi – in un ufficio “satellite” o “di appoggio” per lo svolgimento di attività di prossimità: i collaboratori sono dunque trasferiti nello stabile Patria a Bellinzona.</w:t>
      </w:r>
      <w:r w:rsidRPr="007F267B">
        <w:rPr>
          <w:rFonts w:cs="Arial"/>
          <w:color w:val="000000" w:themeColor="text1"/>
        </w:rPr>
        <w:t xml:space="preserve"> </w:t>
      </w:r>
    </w:p>
    <w:p w:rsidR="00F45EAC" w:rsidRDefault="00F45EAC" w:rsidP="00F45EAC">
      <w:pPr>
        <w:rPr>
          <w:rFonts w:cs="Arial"/>
          <w:color w:val="000000" w:themeColor="text1"/>
        </w:rPr>
      </w:pPr>
    </w:p>
    <w:p w:rsidR="00F45EAC" w:rsidRPr="007F267B" w:rsidRDefault="00F45EAC" w:rsidP="00F45EAC">
      <w:pPr>
        <w:rPr>
          <w:color w:val="000000" w:themeColor="text1"/>
        </w:rPr>
      </w:pPr>
      <w:r>
        <w:rPr>
          <w:rFonts w:cs="Arial"/>
          <w:color w:val="000000" w:themeColor="text1"/>
        </w:rPr>
        <w:t xml:space="preserve">Lo schema seguente ben riassume il tutto, mentre per maggiori informazioni sulle singole sedi si rinvia alle pagine 7-9 del messaggio governativo. </w:t>
      </w:r>
    </w:p>
    <w:p w:rsidR="00F45EAC" w:rsidRPr="00926A93" w:rsidRDefault="00F45EAC" w:rsidP="00F45EAC">
      <w:pPr>
        <w:pStyle w:val="Paragrafoelenco"/>
        <w:spacing w:after="120"/>
        <w:rPr>
          <w:rFonts w:cs="Arial"/>
          <w:color w:val="C00000"/>
        </w:rPr>
      </w:pPr>
    </w:p>
    <w:p w:rsidR="00F45EAC" w:rsidRPr="00926A93" w:rsidRDefault="00F45EAC" w:rsidP="00F45EAC">
      <w:pPr>
        <w:pStyle w:val="Paragrafoelenco"/>
        <w:jc w:val="center"/>
        <w:rPr>
          <w:color w:val="C00000"/>
        </w:rPr>
      </w:pPr>
      <w:r w:rsidRPr="00926A93">
        <w:rPr>
          <w:color w:val="C00000"/>
        </w:rPr>
        <w:t xml:space="preserve">                                                       </w:t>
      </w:r>
      <w:r w:rsidRPr="00926A93">
        <w:rPr>
          <w:noProof/>
          <w:color w:val="C00000"/>
          <w:lang w:eastAsia="it-CH"/>
        </w:rPr>
        <w:drawing>
          <wp:inline distT="0" distB="0" distL="0" distR="0" wp14:anchorId="492DD635" wp14:editId="7E7F795B">
            <wp:extent cx="6134100" cy="403098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4030980"/>
                    </a:xfrm>
                    <a:prstGeom prst="rect">
                      <a:avLst/>
                    </a:prstGeom>
                    <a:noFill/>
                    <a:ln>
                      <a:noFill/>
                    </a:ln>
                  </pic:spPr>
                </pic:pic>
              </a:graphicData>
            </a:graphic>
          </wp:inline>
        </w:drawing>
      </w:r>
    </w:p>
    <w:p w:rsidR="00F45EAC" w:rsidRPr="00926A93" w:rsidRDefault="00F45EAC" w:rsidP="00F45EAC">
      <w:pPr>
        <w:rPr>
          <w:rFonts w:cs="Arial"/>
          <w:color w:val="C00000"/>
        </w:rPr>
      </w:pPr>
    </w:p>
    <w:p w:rsidR="00F45EAC" w:rsidRDefault="00F45EAC" w:rsidP="00F45EAC">
      <w:pPr>
        <w:rPr>
          <w:rFonts w:cs="Arial"/>
          <w:color w:val="000000" w:themeColor="text1"/>
        </w:rPr>
      </w:pPr>
      <w:r>
        <w:rPr>
          <w:rFonts w:cs="Arial"/>
          <w:color w:val="000000" w:themeColor="text1"/>
        </w:rPr>
        <w:t>I c</w:t>
      </w:r>
      <w:r w:rsidRPr="002F0FE4">
        <w:rPr>
          <w:rFonts w:cs="Arial"/>
          <w:color w:val="000000" w:themeColor="text1"/>
        </w:rPr>
        <w:t>osti</w:t>
      </w:r>
      <w:r>
        <w:rPr>
          <w:rFonts w:cs="Arial"/>
          <w:color w:val="000000" w:themeColor="text1"/>
        </w:rPr>
        <w:t xml:space="preserve"> di realizzazione delle sedi provvisorie sono i seguenti (maggiori informazioni sui singoli progetti alle pagine 11-26 del messaggio governativo).</w:t>
      </w:r>
    </w:p>
    <w:p w:rsidR="00F45EAC" w:rsidRPr="00B54866" w:rsidRDefault="00F45EAC" w:rsidP="00F45EAC">
      <w:pPr>
        <w:rPr>
          <w:rFonts w:cs="Arial"/>
          <w:color w:val="000000" w:themeColor="text1"/>
          <w:sz w:val="16"/>
          <w:szCs w:val="16"/>
        </w:rPr>
      </w:pPr>
    </w:p>
    <w:tbl>
      <w:tblPr>
        <w:tblW w:w="9889" w:type="dxa"/>
        <w:tblLayout w:type="fixed"/>
        <w:tblLook w:val="04A0" w:firstRow="1" w:lastRow="0" w:firstColumn="1" w:lastColumn="0" w:noHBand="0" w:noVBand="1"/>
      </w:tblPr>
      <w:tblGrid>
        <w:gridCol w:w="7338"/>
        <w:gridCol w:w="708"/>
        <w:gridCol w:w="1843"/>
      </w:tblGrid>
      <w:tr w:rsidR="00F45EAC" w:rsidRPr="00B54866" w:rsidTr="008A6D59">
        <w:trPr>
          <w:trHeight w:hRule="exact" w:val="454"/>
        </w:trPr>
        <w:tc>
          <w:tcPr>
            <w:tcW w:w="7338" w:type="dxa"/>
            <w:shd w:val="clear" w:color="auto" w:fill="auto"/>
            <w:vAlign w:val="center"/>
          </w:tcPr>
          <w:p w:rsidR="00F45EAC" w:rsidRPr="00B54866" w:rsidRDefault="00F45EAC" w:rsidP="008A6D59">
            <w:pPr>
              <w:rPr>
                <w:rFonts w:cs="Arial"/>
                <w:i/>
                <w:sz w:val="22"/>
              </w:rPr>
            </w:pPr>
            <w:r w:rsidRPr="00B54866">
              <w:rPr>
                <w:rFonts w:cs="Arial"/>
                <w:i/>
                <w:sz w:val="22"/>
              </w:rPr>
              <w:t xml:space="preserve">Sede della Magistratura presso l’ex sede del Credit </w:t>
            </w:r>
            <w:proofErr w:type="spellStart"/>
            <w:r w:rsidRPr="00B54866">
              <w:rPr>
                <w:rFonts w:cs="Arial"/>
                <w:i/>
                <w:sz w:val="22"/>
              </w:rPr>
              <w:t>Suisse</w:t>
            </w:r>
            <w:proofErr w:type="spellEnd"/>
          </w:p>
        </w:tc>
        <w:tc>
          <w:tcPr>
            <w:tcW w:w="708" w:type="dxa"/>
            <w:vAlign w:val="center"/>
          </w:tcPr>
          <w:p w:rsidR="00F45EAC" w:rsidRPr="00B54866" w:rsidRDefault="00F45EAC" w:rsidP="008A6D59">
            <w:pPr>
              <w:jc w:val="right"/>
              <w:rPr>
                <w:rFonts w:cs="Arial"/>
                <w:i/>
                <w:sz w:val="22"/>
              </w:rPr>
            </w:pPr>
            <w:proofErr w:type="spellStart"/>
            <w:r w:rsidRPr="00B54866">
              <w:rPr>
                <w:rFonts w:cs="Arial"/>
                <w:i/>
                <w:sz w:val="22"/>
              </w:rPr>
              <w:t>fr</w:t>
            </w:r>
            <w:proofErr w:type="spellEnd"/>
            <w:r w:rsidRPr="00B54866">
              <w:rPr>
                <w:rFonts w:cs="Arial"/>
                <w:i/>
                <w:sz w:val="22"/>
              </w:rPr>
              <w:t>.</w:t>
            </w:r>
          </w:p>
        </w:tc>
        <w:tc>
          <w:tcPr>
            <w:tcW w:w="1843" w:type="dxa"/>
            <w:shd w:val="clear" w:color="auto" w:fill="auto"/>
            <w:vAlign w:val="center"/>
          </w:tcPr>
          <w:p w:rsidR="00F45EAC" w:rsidRPr="00B54866" w:rsidRDefault="00F45EAC" w:rsidP="008A6D59">
            <w:pPr>
              <w:jc w:val="right"/>
              <w:rPr>
                <w:rFonts w:cs="Arial"/>
                <w:i/>
                <w:sz w:val="22"/>
              </w:rPr>
            </w:pPr>
            <w:r w:rsidRPr="00B54866">
              <w:rPr>
                <w:rFonts w:cs="Arial"/>
                <w:i/>
                <w:sz w:val="22"/>
              </w:rPr>
              <w:t>1'815’000</w:t>
            </w:r>
          </w:p>
        </w:tc>
      </w:tr>
      <w:tr w:rsidR="00F45EAC" w:rsidRPr="00B54866" w:rsidTr="008A6D59">
        <w:trPr>
          <w:trHeight w:hRule="exact" w:val="454"/>
        </w:trPr>
        <w:tc>
          <w:tcPr>
            <w:tcW w:w="7338" w:type="dxa"/>
            <w:shd w:val="clear" w:color="auto" w:fill="auto"/>
            <w:vAlign w:val="center"/>
          </w:tcPr>
          <w:p w:rsidR="00F45EAC" w:rsidRPr="00B54866" w:rsidRDefault="00F45EAC" w:rsidP="008A6D59">
            <w:pPr>
              <w:rPr>
                <w:rFonts w:cs="Arial"/>
                <w:i/>
                <w:sz w:val="22"/>
              </w:rPr>
            </w:pPr>
            <w:r w:rsidRPr="00B54866">
              <w:rPr>
                <w:rFonts w:cs="Arial"/>
                <w:i/>
                <w:sz w:val="22"/>
              </w:rPr>
              <w:t>Sede della Polizia Cantonale presso La Ferriera</w:t>
            </w:r>
          </w:p>
        </w:tc>
        <w:tc>
          <w:tcPr>
            <w:tcW w:w="708" w:type="dxa"/>
            <w:vAlign w:val="center"/>
          </w:tcPr>
          <w:p w:rsidR="00F45EAC" w:rsidRPr="00B54866" w:rsidRDefault="00F45EAC" w:rsidP="008A6D59">
            <w:pPr>
              <w:jc w:val="right"/>
              <w:rPr>
                <w:rFonts w:cs="Arial"/>
                <w:i/>
                <w:sz w:val="22"/>
              </w:rPr>
            </w:pPr>
            <w:proofErr w:type="spellStart"/>
            <w:r w:rsidRPr="00B54866">
              <w:rPr>
                <w:rFonts w:cs="Arial"/>
                <w:i/>
                <w:sz w:val="22"/>
              </w:rPr>
              <w:t>fr</w:t>
            </w:r>
            <w:proofErr w:type="spellEnd"/>
            <w:r w:rsidRPr="00B54866">
              <w:rPr>
                <w:rFonts w:cs="Arial"/>
                <w:i/>
                <w:sz w:val="22"/>
              </w:rPr>
              <w:t>.</w:t>
            </w:r>
          </w:p>
        </w:tc>
        <w:tc>
          <w:tcPr>
            <w:tcW w:w="1843" w:type="dxa"/>
            <w:shd w:val="clear" w:color="auto" w:fill="auto"/>
            <w:vAlign w:val="center"/>
          </w:tcPr>
          <w:p w:rsidR="00F45EAC" w:rsidRPr="00B54866" w:rsidRDefault="00F45EAC" w:rsidP="008A6D59">
            <w:pPr>
              <w:jc w:val="right"/>
              <w:rPr>
                <w:rFonts w:cs="Arial"/>
                <w:i/>
                <w:sz w:val="22"/>
              </w:rPr>
            </w:pPr>
            <w:r w:rsidRPr="00B54866">
              <w:rPr>
                <w:rFonts w:cs="Arial"/>
                <w:i/>
                <w:sz w:val="22"/>
              </w:rPr>
              <w:t>3’550’000</w:t>
            </w:r>
          </w:p>
        </w:tc>
      </w:tr>
      <w:tr w:rsidR="00F45EAC" w:rsidRPr="00B54866" w:rsidTr="008A6D59">
        <w:trPr>
          <w:trHeight w:hRule="exact" w:val="454"/>
        </w:trPr>
        <w:tc>
          <w:tcPr>
            <w:tcW w:w="7338" w:type="dxa"/>
            <w:shd w:val="clear" w:color="auto" w:fill="auto"/>
            <w:vAlign w:val="center"/>
          </w:tcPr>
          <w:p w:rsidR="00F45EAC" w:rsidRPr="00B54866" w:rsidRDefault="00F45EAC" w:rsidP="008A6D59">
            <w:pPr>
              <w:rPr>
                <w:rFonts w:cs="Arial"/>
                <w:i/>
                <w:sz w:val="22"/>
              </w:rPr>
            </w:pPr>
            <w:r w:rsidRPr="00B54866">
              <w:rPr>
                <w:rFonts w:cs="Arial"/>
                <w:i/>
                <w:sz w:val="22"/>
              </w:rPr>
              <w:t>Sede degli uffici forestali presso lo stabile PVL</w:t>
            </w:r>
          </w:p>
        </w:tc>
        <w:tc>
          <w:tcPr>
            <w:tcW w:w="708" w:type="dxa"/>
            <w:vAlign w:val="center"/>
          </w:tcPr>
          <w:p w:rsidR="00F45EAC" w:rsidRPr="00B54866" w:rsidRDefault="00F45EAC" w:rsidP="008A6D59">
            <w:pPr>
              <w:jc w:val="right"/>
              <w:rPr>
                <w:rFonts w:cs="Arial"/>
                <w:i/>
                <w:sz w:val="22"/>
              </w:rPr>
            </w:pPr>
            <w:proofErr w:type="spellStart"/>
            <w:r w:rsidRPr="00B54866">
              <w:rPr>
                <w:rFonts w:cs="Arial"/>
                <w:i/>
                <w:sz w:val="22"/>
              </w:rPr>
              <w:t>fr</w:t>
            </w:r>
            <w:proofErr w:type="spellEnd"/>
            <w:r w:rsidRPr="00B54866">
              <w:rPr>
                <w:rFonts w:cs="Arial"/>
                <w:i/>
                <w:sz w:val="22"/>
              </w:rPr>
              <w:t>,</w:t>
            </w:r>
          </w:p>
        </w:tc>
        <w:tc>
          <w:tcPr>
            <w:tcW w:w="1843" w:type="dxa"/>
            <w:shd w:val="clear" w:color="auto" w:fill="auto"/>
            <w:vAlign w:val="center"/>
          </w:tcPr>
          <w:p w:rsidR="00F45EAC" w:rsidRPr="00B54866" w:rsidRDefault="00F45EAC" w:rsidP="008A6D59">
            <w:pPr>
              <w:jc w:val="right"/>
              <w:rPr>
                <w:rFonts w:cs="Arial"/>
                <w:i/>
                <w:sz w:val="22"/>
              </w:rPr>
            </w:pPr>
            <w:r w:rsidRPr="00B54866">
              <w:rPr>
                <w:rFonts w:cs="Arial"/>
                <w:i/>
                <w:sz w:val="22"/>
              </w:rPr>
              <w:t>835’000</w:t>
            </w:r>
          </w:p>
        </w:tc>
      </w:tr>
      <w:tr w:rsidR="00F45EAC" w:rsidRPr="00B54866" w:rsidTr="008A6D59">
        <w:trPr>
          <w:trHeight w:hRule="exact" w:val="454"/>
        </w:trPr>
        <w:tc>
          <w:tcPr>
            <w:tcW w:w="7338" w:type="dxa"/>
            <w:tcBorders>
              <w:bottom w:val="single" w:sz="4" w:space="0" w:color="auto"/>
            </w:tcBorders>
            <w:shd w:val="clear" w:color="auto" w:fill="auto"/>
            <w:vAlign w:val="center"/>
          </w:tcPr>
          <w:p w:rsidR="00F45EAC" w:rsidRPr="00B54866" w:rsidRDefault="00F45EAC" w:rsidP="008A6D59">
            <w:pPr>
              <w:rPr>
                <w:rFonts w:cs="Arial"/>
                <w:i/>
                <w:sz w:val="22"/>
              </w:rPr>
            </w:pPr>
            <w:proofErr w:type="spellStart"/>
            <w:r w:rsidRPr="00B54866">
              <w:rPr>
                <w:rFonts w:cs="Arial"/>
                <w:i/>
                <w:sz w:val="22"/>
              </w:rPr>
              <w:t>Sottosede</w:t>
            </w:r>
            <w:proofErr w:type="spellEnd"/>
            <w:r w:rsidRPr="00B54866">
              <w:rPr>
                <w:rFonts w:cs="Arial"/>
                <w:i/>
                <w:sz w:val="22"/>
              </w:rPr>
              <w:t xml:space="preserve"> del CPC presso Villa Erica </w:t>
            </w:r>
          </w:p>
        </w:tc>
        <w:tc>
          <w:tcPr>
            <w:tcW w:w="708" w:type="dxa"/>
            <w:tcBorders>
              <w:bottom w:val="single" w:sz="4" w:space="0" w:color="auto"/>
            </w:tcBorders>
            <w:vAlign w:val="center"/>
          </w:tcPr>
          <w:p w:rsidR="00F45EAC" w:rsidRPr="00B54866" w:rsidRDefault="00F45EAC" w:rsidP="008A6D59">
            <w:pPr>
              <w:jc w:val="right"/>
              <w:rPr>
                <w:rFonts w:cs="Arial"/>
                <w:i/>
                <w:sz w:val="22"/>
              </w:rPr>
            </w:pPr>
            <w:proofErr w:type="spellStart"/>
            <w:r w:rsidRPr="00B54866">
              <w:rPr>
                <w:rFonts w:cs="Arial"/>
                <w:i/>
                <w:sz w:val="22"/>
              </w:rPr>
              <w:t>fr</w:t>
            </w:r>
            <w:proofErr w:type="spellEnd"/>
            <w:r w:rsidRPr="00B54866">
              <w:rPr>
                <w:rFonts w:cs="Arial"/>
                <w:i/>
                <w:sz w:val="22"/>
              </w:rPr>
              <w:t>.</w:t>
            </w:r>
          </w:p>
        </w:tc>
        <w:tc>
          <w:tcPr>
            <w:tcW w:w="1843" w:type="dxa"/>
            <w:tcBorders>
              <w:bottom w:val="single" w:sz="4" w:space="0" w:color="auto"/>
            </w:tcBorders>
            <w:shd w:val="clear" w:color="auto" w:fill="auto"/>
            <w:vAlign w:val="center"/>
          </w:tcPr>
          <w:p w:rsidR="00F45EAC" w:rsidRPr="00B54866" w:rsidRDefault="00F45EAC" w:rsidP="008A6D59">
            <w:pPr>
              <w:jc w:val="right"/>
              <w:rPr>
                <w:rFonts w:cs="Arial"/>
                <w:i/>
                <w:sz w:val="22"/>
              </w:rPr>
            </w:pPr>
            <w:r w:rsidRPr="00B54866">
              <w:rPr>
                <w:rFonts w:cs="Arial"/>
                <w:i/>
                <w:sz w:val="22"/>
              </w:rPr>
              <w:t>1'665’000</w:t>
            </w:r>
          </w:p>
        </w:tc>
      </w:tr>
      <w:tr w:rsidR="00F45EAC" w:rsidRPr="00B54866" w:rsidTr="008A6D59">
        <w:trPr>
          <w:trHeight w:hRule="exact" w:val="454"/>
        </w:trPr>
        <w:tc>
          <w:tcPr>
            <w:tcW w:w="7338" w:type="dxa"/>
            <w:tcBorders>
              <w:top w:val="single" w:sz="4" w:space="0" w:color="auto"/>
            </w:tcBorders>
            <w:shd w:val="clear" w:color="auto" w:fill="auto"/>
            <w:vAlign w:val="center"/>
          </w:tcPr>
          <w:p w:rsidR="00F45EAC" w:rsidRPr="00B54866" w:rsidRDefault="00F45EAC" w:rsidP="008A6D59">
            <w:pPr>
              <w:rPr>
                <w:rFonts w:cs="Arial"/>
                <w:b/>
                <w:i/>
                <w:sz w:val="22"/>
              </w:rPr>
            </w:pPr>
            <w:r w:rsidRPr="00B54866">
              <w:rPr>
                <w:rFonts w:cs="Arial"/>
                <w:b/>
                <w:i/>
                <w:sz w:val="22"/>
              </w:rPr>
              <w:t>Totale dei costi di realizzazione delle sedi provvisorie</w:t>
            </w:r>
          </w:p>
        </w:tc>
        <w:tc>
          <w:tcPr>
            <w:tcW w:w="708" w:type="dxa"/>
            <w:tcBorders>
              <w:top w:val="single" w:sz="4" w:space="0" w:color="auto"/>
            </w:tcBorders>
            <w:vAlign w:val="center"/>
          </w:tcPr>
          <w:p w:rsidR="00F45EAC" w:rsidRPr="00B54866" w:rsidRDefault="00F45EAC" w:rsidP="008A6D59">
            <w:pPr>
              <w:jc w:val="right"/>
              <w:rPr>
                <w:rFonts w:cs="Arial"/>
                <w:i/>
                <w:sz w:val="22"/>
              </w:rPr>
            </w:pPr>
            <w:proofErr w:type="spellStart"/>
            <w:r w:rsidRPr="00B54866">
              <w:rPr>
                <w:rFonts w:cs="Arial"/>
                <w:i/>
                <w:sz w:val="22"/>
              </w:rPr>
              <w:t>fr</w:t>
            </w:r>
            <w:proofErr w:type="spellEnd"/>
            <w:r w:rsidRPr="00B54866">
              <w:rPr>
                <w:rFonts w:cs="Arial"/>
                <w:i/>
                <w:sz w:val="22"/>
              </w:rPr>
              <w:t>.</w:t>
            </w:r>
          </w:p>
        </w:tc>
        <w:tc>
          <w:tcPr>
            <w:tcW w:w="1843" w:type="dxa"/>
            <w:tcBorders>
              <w:top w:val="single" w:sz="4" w:space="0" w:color="auto"/>
            </w:tcBorders>
            <w:shd w:val="clear" w:color="auto" w:fill="auto"/>
            <w:vAlign w:val="center"/>
          </w:tcPr>
          <w:p w:rsidR="00F45EAC" w:rsidRPr="00B54866" w:rsidRDefault="00F45EAC" w:rsidP="008A6D59">
            <w:pPr>
              <w:jc w:val="right"/>
              <w:rPr>
                <w:rFonts w:cs="Arial"/>
                <w:b/>
                <w:i/>
                <w:sz w:val="22"/>
              </w:rPr>
            </w:pPr>
            <w:r w:rsidRPr="00B54866">
              <w:rPr>
                <w:rFonts w:cs="Arial"/>
                <w:b/>
                <w:i/>
                <w:sz w:val="22"/>
              </w:rPr>
              <w:t>7'865’000</w:t>
            </w:r>
          </w:p>
        </w:tc>
      </w:tr>
    </w:tbl>
    <w:p w:rsidR="00F45EAC" w:rsidRPr="00B54866" w:rsidRDefault="00F45EAC" w:rsidP="00F45EAC">
      <w:pPr>
        <w:rPr>
          <w:sz w:val="20"/>
          <w:szCs w:val="20"/>
        </w:rPr>
      </w:pPr>
    </w:p>
    <w:p w:rsidR="00F45EAC" w:rsidRPr="00B54866" w:rsidRDefault="00F45EAC" w:rsidP="00F45EAC">
      <w:pPr>
        <w:rPr>
          <w:color w:val="000000" w:themeColor="text1"/>
          <w:sz w:val="20"/>
          <w:szCs w:val="20"/>
        </w:rPr>
      </w:pPr>
    </w:p>
    <w:p w:rsidR="00F45EAC" w:rsidRPr="00511682" w:rsidRDefault="00F45EAC" w:rsidP="00F45EAC">
      <w:pPr>
        <w:rPr>
          <w:color w:val="000000" w:themeColor="text1"/>
        </w:rPr>
      </w:pPr>
      <w:r w:rsidRPr="00511682">
        <w:rPr>
          <w:color w:val="000000" w:themeColor="text1"/>
        </w:rPr>
        <w:t xml:space="preserve">Nel messaggio il Consiglio di Stato rileva in particolare che, per quanto riguarda </w:t>
      </w:r>
      <w:r w:rsidRPr="00511682">
        <w:rPr>
          <w:b/>
          <w:color w:val="000000" w:themeColor="text1"/>
        </w:rPr>
        <w:t>l’Aula penale</w:t>
      </w:r>
      <w:r w:rsidRPr="00511682">
        <w:rPr>
          <w:color w:val="000000" w:themeColor="text1"/>
        </w:rPr>
        <w:t>, gli accordi con la Città di Locarno non sono ancora ratificati e che, di conseguenza, eventuali costi saranno inseriti nel messaggio di costruzione del Pretorio (per il quale ora si vota il credito di progettazione).</w:t>
      </w:r>
    </w:p>
    <w:p w:rsidR="00F45EAC" w:rsidRPr="00511682" w:rsidRDefault="00F45EAC" w:rsidP="00F45EAC">
      <w:pPr>
        <w:rPr>
          <w:color w:val="000000" w:themeColor="text1"/>
        </w:rPr>
      </w:pPr>
      <w:r w:rsidRPr="00511682">
        <w:rPr>
          <w:color w:val="000000" w:themeColor="text1"/>
        </w:rPr>
        <w:t xml:space="preserve">Per quanto riguarda le progettazioni, in particolare degli spazi ex-Credit </w:t>
      </w:r>
      <w:proofErr w:type="spellStart"/>
      <w:r w:rsidRPr="00511682">
        <w:rPr>
          <w:color w:val="000000" w:themeColor="text1"/>
        </w:rPr>
        <w:t>Suisse</w:t>
      </w:r>
      <w:proofErr w:type="spellEnd"/>
      <w:r w:rsidRPr="00511682">
        <w:rPr>
          <w:color w:val="000000" w:themeColor="text1"/>
        </w:rPr>
        <w:t xml:space="preserve"> e Villa Erica, il Consiglio di Stato anticipa che saranno affidate per </w:t>
      </w:r>
      <w:r w:rsidRPr="00511682">
        <w:rPr>
          <w:b/>
          <w:color w:val="000000" w:themeColor="text1"/>
        </w:rPr>
        <w:t>mandato diretto</w:t>
      </w:r>
      <w:r w:rsidRPr="00511682">
        <w:rPr>
          <w:color w:val="000000" w:themeColor="text1"/>
        </w:rPr>
        <w:t xml:space="preserve"> e questo “</w:t>
      </w:r>
      <w:r w:rsidRPr="00511682">
        <w:rPr>
          <w:i/>
          <w:color w:val="000000" w:themeColor="text1"/>
        </w:rPr>
        <w:t xml:space="preserve">nel </w:t>
      </w:r>
      <w:r w:rsidRPr="00511682">
        <w:rPr>
          <w:i/>
          <w:color w:val="000000" w:themeColor="text1"/>
        </w:rPr>
        <w:lastRenderedPageBreak/>
        <w:t>rispetto della legislazione sulle commesse pubbliche</w:t>
      </w:r>
      <w:r w:rsidRPr="00511682">
        <w:rPr>
          <w:color w:val="000000" w:themeColor="text1"/>
        </w:rPr>
        <w:t xml:space="preserve">”. Il primo è affidato allo studio  di architettura Cotti &amp; </w:t>
      </w:r>
      <w:proofErr w:type="spellStart"/>
      <w:r w:rsidRPr="00511682">
        <w:rPr>
          <w:color w:val="000000" w:themeColor="text1"/>
        </w:rPr>
        <w:t>Parnerts</w:t>
      </w:r>
      <w:proofErr w:type="spellEnd"/>
      <w:r w:rsidRPr="00511682">
        <w:rPr>
          <w:color w:val="000000" w:themeColor="text1"/>
        </w:rPr>
        <w:t xml:space="preserve">, che è anche co-proprietario dell’edificio, come da richiesta degli stessi proprietari in fase di trattativa, il tutto per una migliore gestione delle responsabilità sui lavori del conduttore e nella prospettiva della continuità progettuale (avendo lo stesso studio già elaborato lo studio di fattibilità); l’onorario complessivo forfetario per tutte le prestazioni (compreso lo studio di fattibilità) è di CHF 150’000 (spese comprese). Per il secondo, le prestazioni della progettazione esecutiva degli adattamenti degli spazi della </w:t>
      </w:r>
      <w:proofErr w:type="spellStart"/>
      <w:r w:rsidRPr="00511682">
        <w:rPr>
          <w:color w:val="000000" w:themeColor="text1"/>
        </w:rPr>
        <w:t>sottosede</w:t>
      </w:r>
      <w:proofErr w:type="spellEnd"/>
      <w:r w:rsidRPr="00511682">
        <w:rPr>
          <w:color w:val="000000" w:themeColor="text1"/>
        </w:rPr>
        <w:t xml:space="preserve"> del CPC saranno affidate allo studio di architettura Cristiana Guerra, autore come in precedenza dello studio di fattibilità, nella prospettiva della continuità progettuale. </w:t>
      </w:r>
    </w:p>
    <w:p w:rsidR="00F45EAC" w:rsidRDefault="00F45EAC" w:rsidP="00F45EAC"/>
    <w:p w:rsidR="00F45EAC" w:rsidRPr="008478D1" w:rsidRDefault="00F45EAC" w:rsidP="00F45EAC"/>
    <w:p w:rsidR="00F45EAC" w:rsidRPr="00BE0C04" w:rsidRDefault="00F45EAC" w:rsidP="00DA731E">
      <w:pPr>
        <w:pStyle w:val="Titolo2"/>
        <w:tabs>
          <w:tab w:val="clear" w:pos="567"/>
          <w:tab w:val="left" w:pos="709"/>
        </w:tabs>
        <w:ind w:left="709" w:hanging="709"/>
      </w:pPr>
      <w:r w:rsidRPr="00BE0C04">
        <w:t>2.</w:t>
      </w:r>
      <w:r>
        <w:t>3</w:t>
      </w:r>
      <w:r w:rsidR="00B54866">
        <w:tab/>
      </w:r>
      <w:r w:rsidRPr="00BE0C04">
        <w:t>Gestione corrente</w:t>
      </w:r>
    </w:p>
    <w:p w:rsidR="00F45EAC" w:rsidRPr="009B7171" w:rsidRDefault="00DA731E" w:rsidP="00DA731E">
      <w:pPr>
        <w:pStyle w:val="Titolo3"/>
        <w:ind w:left="709" w:hanging="709"/>
      </w:pPr>
      <w:r>
        <w:t>2.3.1</w:t>
      </w:r>
      <w:r>
        <w:tab/>
      </w:r>
      <w:r w:rsidR="00F45EAC" w:rsidRPr="009B7171">
        <w:t xml:space="preserve">Locazione della sede della Magistratura presso l’ex sede del Credit </w:t>
      </w:r>
      <w:proofErr w:type="spellStart"/>
      <w:r w:rsidR="00F45EAC" w:rsidRPr="009B7171">
        <w:t>Suisse</w:t>
      </w:r>
      <w:proofErr w:type="spellEnd"/>
      <w:r w:rsidR="00F45EAC" w:rsidRPr="009B7171">
        <w:t xml:space="preserve"> in Piazza Grande a Locarno</w:t>
      </w:r>
    </w:p>
    <w:p w:rsidR="00F45EAC" w:rsidRPr="009B7171" w:rsidRDefault="00F45EAC" w:rsidP="00F45EAC">
      <w:pPr>
        <w:pStyle w:val="Paragrafoelenco"/>
        <w:rPr>
          <w:rFonts w:cs="Arial"/>
          <w:color w:val="000000" w:themeColor="text1"/>
        </w:rPr>
      </w:pPr>
      <w:r w:rsidRPr="009B7171">
        <w:rPr>
          <w:color w:val="000000" w:themeColor="text1"/>
        </w:rPr>
        <w:t xml:space="preserve">Le trattative intercorse con la proprietà, rappresentata dal sig. Nicola Cotti di Locarno hanno permesso di definire delle condizioni di locazione corrispondenti a </w:t>
      </w:r>
      <w:proofErr w:type="spellStart"/>
      <w:r w:rsidRPr="009B7171">
        <w:rPr>
          <w:color w:val="000000" w:themeColor="text1"/>
        </w:rPr>
        <w:t>fr</w:t>
      </w:r>
      <w:proofErr w:type="spellEnd"/>
      <w:r w:rsidRPr="009B7171">
        <w:rPr>
          <w:color w:val="000000" w:themeColor="text1"/>
        </w:rPr>
        <w:t xml:space="preserve">. 376'000 annui, equivalenti a </w:t>
      </w:r>
      <w:proofErr w:type="spellStart"/>
      <w:r w:rsidRPr="009B7171">
        <w:rPr>
          <w:color w:val="000000" w:themeColor="text1"/>
        </w:rPr>
        <w:t>fr</w:t>
      </w:r>
      <w:proofErr w:type="spellEnd"/>
      <w:r w:rsidRPr="009B7171">
        <w:rPr>
          <w:color w:val="000000" w:themeColor="text1"/>
        </w:rPr>
        <w:t xml:space="preserve">. 293.52 mq/anno per un totale di superficie locata di 1’281 mq (946 mq superfici uso ufficio + 325 mq superfici accessorie); per una durata minima di 10 anni </w:t>
      </w:r>
      <w:r w:rsidRPr="009B7171">
        <w:rPr>
          <w:rFonts w:cs="Arial"/>
          <w:color w:val="000000" w:themeColor="text1"/>
        </w:rPr>
        <w:t>dall’inizio della locazione.</w:t>
      </w:r>
    </w:p>
    <w:p w:rsidR="00F45EAC" w:rsidRPr="009B7171" w:rsidRDefault="00F45EAC" w:rsidP="00F45EAC">
      <w:pPr>
        <w:spacing w:after="160"/>
        <w:rPr>
          <w:color w:val="000000" w:themeColor="text1"/>
        </w:rPr>
      </w:pPr>
      <w:r w:rsidRPr="009B7171">
        <w:rPr>
          <w:color w:val="000000" w:themeColor="text1"/>
        </w:rPr>
        <w:t xml:space="preserve">Il Consiglio di Stato ritiene il prezzo sostenibile per </w:t>
      </w:r>
      <w:r w:rsidRPr="009B7171">
        <w:rPr>
          <w:rFonts w:cs="Arial"/>
          <w:color w:val="000000" w:themeColor="text1"/>
        </w:rPr>
        <w:t xml:space="preserve">la mancanza di alternative </w:t>
      </w:r>
      <w:r w:rsidRPr="009B7171">
        <w:rPr>
          <w:rFonts w:cs="Arial"/>
          <w:color w:val="000000" w:themeColor="text1"/>
          <w:szCs w:val="24"/>
        </w:rPr>
        <w:t xml:space="preserve">nell’area di interesse del </w:t>
      </w:r>
      <w:r w:rsidRPr="009B7171">
        <w:rPr>
          <w:rFonts w:cs="Arial"/>
          <w:color w:val="000000" w:themeColor="text1"/>
        </w:rPr>
        <w:t xml:space="preserve">mercato immobiliare di Locarno; per gli standard molto elevati di gran parte degli spazi locati; per il fatto che le superfici soddisfano i fabbisogni ed evitano la scissione dei Servizi giudiziari (che causerebbe maggiori costi d’investimento e di gestione); per l’ubicazione (Piazza Grande) che soddisfa i criteri di centralità e prossimità alla struttura della Polizia (situata a pochi metri nello stabile La Ferriera); e infine per la vicinanza al Pretorio, che permetterà di usufruire dell’aula penale che rimarrà disponibile fino all’inizio dei lavori di ristrutturazione (per poi passare a un’altra sistemazione vicina, la sala del Consiglio Comunale di Locarno, con il quale occorre però ancora concludere l’accordo). Il messaggio governativo precisa inoltre come </w:t>
      </w:r>
      <w:r w:rsidRPr="009B7171">
        <w:rPr>
          <w:color w:val="000000" w:themeColor="text1"/>
        </w:rPr>
        <w:t xml:space="preserve">le considerazioni relative al mercato immobiliare del luogo siano state confermate dalla perizia esterna del canone di locazione commissionata dalla Sezione della logistica alla ditta </w:t>
      </w:r>
      <w:proofErr w:type="spellStart"/>
      <w:r w:rsidRPr="009B7171">
        <w:rPr>
          <w:color w:val="000000" w:themeColor="text1"/>
        </w:rPr>
        <w:t>Wuest</w:t>
      </w:r>
      <w:proofErr w:type="spellEnd"/>
      <w:r w:rsidRPr="009B7171">
        <w:rPr>
          <w:color w:val="000000" w:themeColor="text1"/>
        </w:rPr>
        <w:t xml:space="preserve"> e Partner di Lugano; perizia che conclude che “</w:t>
      </w:r>
      <w:r w:rsidRPr="009B7171">
        <w:rPr>
          <w:i/>
          <w:color w:val="000000" w:themeColor="text1"/>
        </w:rPr>
        <w:t xml:space="preserve">Il posizionamento nella fascia alta dei canoni di Locarno delle superfici al </w:t>
      </w:r>
      <w:proofErr w:type="spellStart"/>
      <w:r w:rsidRPr="009B7171">
        <w:rPr>
          <w:i/>
          <w:color w:val="000000" w:themeColor="text1"/>
        </w:rPr>
        <w:t>mapp</w:t>
      </w:r>
      <w:proofErr w:type="spellEnd"/>
      <w:r w:rsidRPr="009B7171">
        <w:rPr>
          <w:i/>
          <w:color w:val="000000" w:themeColor="text1"/>
        </w:rPr>
        <w:t>. RFD 314 (90° percentile) risulta dall’alta qualità degli spazi e delle finiture dello stabile nonché dall’ottimo stato conservativo delle stesse. Il canone negoziato con i proprietari di CHF 380'000 annui, ovvero CHF 297 /m2 annui, risulta pertanto compreso nella forchetta di prezzi sopra stimata ed è da considerare conforme al mercato</w:t>
      </w:r>
      <w:r w:rsidRPr="009B7171">
        <w:rPr>
          <w:color w:val="000000" w:themeColor="text1"/>
        </w:rPr>
        <w:t>”.</w:t>
      </w:r>
    </w:p>
    <w:tbl>
      <w:tblPr>
        <w:tblpPr w:leftFromText="141" w:rightFromText="141" w:vertAnchor="text" w:horzAnchor="margin" w:tblpX="108" w:tblpY="16"/>
        <w:tblW w:w="97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18"/>
        <w:gridCol w:w="1522"/>
        <w:gridCol w:w="1522"/>
        <w:gridCol w:w="1522"/>
        <w:gridCol w:w="1522"/>
        <w:gridCol w:w="1522"/>
      </w:tblGrid>
      <w:tr w:rsidR="00F45EAC" w:rsidRPr="009B7171" w:rsidTr="008A6D59">
        <w:tc>
          <w:tcPr>
            <w:tcW w:w="2093" w:type="dxa"/>
            <w:shd w:val="clear" w:color="auto" w:fill="auto"/>
            <w:vAlign w:val="center"/>
          </w:tcPr>
          <w:p w:rsidR="00F45EAC" w:rsidRPr="009B7171" w:rsidRDefault="00F45EAC" w:rsidP="008A6D59">
            <w:pPr>
              <w:rPr>
                <w:rFonts w:cs="Arial"/>
                <w:b/>
                <w:color w:val="000000" w:themeColor="text1"/>
                <w:sz w:val="22"/>
              </w:rPr>
            </w:pPr>
            <w:r w:rsidRPr="009B7171">
              <w:rPr>
                <w:rFonts w:cs="Arial"/>
                <w:b/>
                <w:color w:val="000000" w:themeColor="text1"/>
                <w:sz w:val="22"/>
              </w:rPr>
              <w:t xml:space="preserve">Ex- Credit </w:t>
            </w:r>
            <w:proofErr w:type="spellStart"/>
            <w:r w:rsidRPr="009B7171">
              <w:rPr>
                <w:rFonts w:cs="Arial"/>
                <w:b/>
                <w:color w:val="000000" w:themeColor="text1"/>
                <w:sz w:val="22"/>
              </w:rPr>
              <w:t>Suisse</w:t>
            </w:r>
            <w:proofErr w:type="spellEnd"/>
          </w:p>
        </w:tc>
        <w:tc>
          <w:tcPr>
            <w:tcW w:w="1503" w:type="dxa"/>
            <w:shd w:val="clear" w:color="auto" w:fill="auto"/>
          </w:tcPr>
          <w:p w:rsidR="00F45EAC" w:rsidRPr="009B7171" w:rsidRDefault="00F45EAC" w:rsidP="008A6D59">
            <w:pPr>
              <w:jc w:val="center"/>
              <w:rPr>
                <w:rFonts w:cs="Arial"/>
                <w:b/>
                <w:color w:val="000000" w:themeColor="text1"/>
                <w:sz w:val="22"/>
              </w:rPr>
            </w:pPr>
            <w:r w:rsidRPr="009B7171">
              <w:rPr>
                <w:rFonts w:cs="Arial"/>
                <w:b/>
                <w:color w:val="000000" w:themeColor="text1"/>
                <w:sz w:val="22"/>
              </w:rPr>
              <w:t>oneri di</w:t>
            </w:r>
          </w:p>
          <w:p w:rsidR="00F45EAC" w:rsidRPr="009B7171" w:rsidRDefault="00F45EAC" w:rsidP="008A6D59">
            <w:pPr>
              <w:jc w:val="center"/>
              <w:rPr>
                <w:rFonts w:cs="Arial"/>
                <w:b/>
                <w:color w:val="000000" w:themeColor="text1"/>
                <w:sz w:val="22"/>
              </w:rPr>
            </w:pPr>
            <w:r w:rsidRPr="009B7171">
              <w:rPr>
                <w:rFonts w:cs="Arial"/>
                <w:b/>
                <w:color w:val="000000" w:themeColor="text1"/>
                <w:sz w:val="22"/>
              </w:rPr>
              <w:t>locazione</w:t>
            </w:r>
          </w:p>
        </w:tc>
        <w:tc>
          <w:tcPr>
            <w:tcW w:w="1503" w:type="dxa"/>
            <w:shd w:val="clear" w:color="auto" w:fill="auto"/>
          </w:tcPr>
          <w:p w:rsidR="00F45EAC" w:rsidRPr="009B7171" w:rsidRDefault="00F45EAC" w:rsidP="008A6D59">
            <w:pPr>
              <w:jc w:val="center"/>
              <w:rPr>
                <w:rFonts w:cs="Arial"/>
                <w:b/>
                <w:color w:val="000000" w:themeColor="text1"/>
                <w:sz w:val="22"/>
              </w:rPr>
            </w:pPr>
            <w:r w:rsidRPr="009B7171">
              <w:rPr>
                <w:rFonts w:cs="Arial"/>
                <w:b/>
                <w:color w:val="000000" w:themeColor="text1"/>
                <w:sz w:val="22"/>
              </w:rPr>
              <w:t>spese accessorie</w:t>
            </w:r>
          </w:p>
        </w:tc>
        <w:tc>
          <w:tcPr>
            <w:tcW w:w="1503" w:type="dxa"/>
            <w:shd w:val="clear" w:color="auto" w:fill="auto"/>
          </w:tcPr>
          <w:p w:rsidR="00F45EAC" w:rsidRPr="009B7171" w:rsidRDefault="00F45EAC" w:rsidP="008A6D59">
            <w:pPr>
              <w:jc w:val="center"/>
              <w:rPr>
                <w:rFonts w:cs="Arial"/>
                <w:b/>
                <w:color w:val="000000" w:themeColor="text1"/>
                <w:sz w:val="22"/>
              </w:rPr>
            </w:pPr>
            <w:r w:rsidRPr="009B7171">
              <w:rPr>
                <w:rFonts w:cs="Arial"/>
                <w:b/>
                <w:color w:val="000000" w:themeColor="text1"/>
                <w:sz w:val="22"/>
              </w:rPr>
              <w:t>costi di pulizia</w:t>
            </w:r>
          </w:p>
        </w:tc>
        <w:tc>
          <w:tcPr>
            <w:tcW w:w="1503" w:type="dxa"/>
            <w:shd w:val="clear" w:color="auto" w:fill="auto"/>
          </w:tcPr>
          <w:p w:rsidR="00F45EAC" w:rsidRPr="009B7171" w:rsidRDefault="00F45EAC" w:rsidP="008A6D59">
            <w:pPr>
              <w:jc w:val="center"/>
              <w:rPr>
                <w:rFonts w:cs="Arial"/>
                <w:b/>
                <w:color w:val="000000" w:themeColor="text1"/>
                <w:sz w:val="22"/>
              </w:rPr>
            </w:pPr>
            <w:r w:rsidRPr="009B7171">
              <w:rPr>
                <w:rFonts w:cs="Arial"/>
                <w:b/>
                <w:color w:val="000000" w:themeColor="text1"/>
                <w:sz w:val="22"/>
              </w:rPr>
              <w:t>costi ricorrenti  CSI</w:t>
            </w:r>
          </w:p>
        </w:tc>
        <w:tc>
          <w:tcPr>
            <w:tcW w:w="1503" w:type="dxa"/>
            <w:shd w:val="clear" w:color="auto" w:fill="auto"/>
          </w:tcPr>
          <w:p w:rsidR="00F45EAC" w:rsidRPr="009B7171" w:rsidRDefault="00F45EAC" w:rsidP="008A6D59">
            <w:pPr>
              <w:jc w:val="center"/>
              <w:rPr>
                <w:rFonts w:cs="Arial"/>
                <w:b/>
                <w:color w:val="000000" w:themeColor="text1"/>
                <w:sz w:val="22"/>
              </w:rPr>
            </w:pPr>
            <w:r w:rsidRPr="009B7171">
              <w:rPr>
                <w:rFonts w:cs="Arial"/>
                <w:b/>
                <w:color w:val="000000" w:themeColor="text1"/>
                <w:sz w:val="22"/>
              </w:rPr>
              <w:t xml:space="preserve">Totale </w:t>
            </w:r>
            <w:proofErr w:type="spellStart"/>
            <w:r w:rsidRPr="009B7171">
              <w:rPr>
                <w:rFonts w:cs="Arial"/>
                <w:b/>
                <w:color w:val="000000" w:themeColor="text1"/>
                <w:sz w:val="22"/>
              </w:rPr>
              <w:t>fr</w:t>
            </w:r>
            <w:proofErr w:type="spellEnd"/>
            <w:r w:rsidRPr="009B7171">
              <w:rPr>
                <w:rFonts w:cs="Arial"/>
                <w:b/>
                <w:color w:val="000000" w:themeColor="text1"/>
                <w:sz w:val="22"/>
              </w:rPr>
              <w:t>./anno</w:t>
            </w:r>
          </w:p>
        </w:tc>
      </w:tr>
      <w:tr w:rsidR="00F45EAC" w:rsidRPr="009B7171" w:rsidTr="008A6D59">
        <w:trPr>
          <w:trHeight w:val="340"/>
        </w:trPr>
        <w:tc>
          <w:tcPr>
            <w:tcW w:w="2093" w:type="dxa"/>
            <w:shd w:val="clear" w:color="auto" w:fill="auto"/>
            <w:vAlign w:val="center"/>
          </w:tcPr>
          <w:p w:rsidR="00F45EAC" w:rsidRPr="009B7171" w:rsidRDefault="00F45EAC" w:rsidP="008A6D59">
            <w:pPr>
              <w:jc w:val="center"/>
              <w:rPr>
                <w:rFonts w:cs="Arial"/>
                <w:color w:val="000000" w:themeColor="text1"/>
                <w:sz w:val="22"/>
              </w:rPr>
            </w:pPr>
          </w:p>
        </w:tc>
        <w:tc>
          <w:tcPr>
            <w:tcW w:w="1503" w:type="dxa"/>
            <w:shd w:val="clear" w:color="auto" w:fill="auto"/>
            <w:vAlign w:val="center"/>
          </w:tcPr>
          <w:p w:rsidR="00F45EAC" w:rsidRPr="009B7171" w:rsidRDefault="00F45EAC" w:rsidP="008A6D59">
            <w:pPr>
              <w:jc w:val="center"/>
              <w:rPr>
                <w:rFonts w:cs="Arial"/>
                <w:color w:val="000000" w:themeColor="text1"/>
                <w:sz w:val="22"/>
              </w:rPr>
            </w:pPr>
            <w:r w:rsidRPr="009B7171">
              <w:rPr>
                <w:rFonts w:cs="Arial"/>
                <w:color w:val="000000" w:themeColor="text1"/>
                <w:sz w:val="22"/>
              </w:rPr>
              <w:t>376’000</w:t>
            </w:r>
          </w:p>
        </w:tc>
        <w:tc>
          <w:tcPr>
            <w:tcW w:w="1503" w:type="dxa"/>
            <w:shd w:val="clear" w:color="auto" w:fill="auto"/>
            <w:vAlign w:val="center"/>
          </w:tcPr>
          <w:p w:rsidR="00F45EAC" w:rsidRPr="009B7171" w:rsidRDefault="00F45EAC" w:rsidP="008A6D59">
            <w:pPr>
              <w:jc w:val="center"/>
              <w:rPr>
                <w:rFonts w:cs="Arial"/>
                <w:color w:val="000000" w:themeColor="text1"/>
                <w:sz w:val="22"/>
              </w:rPr>
            </w:pPr>
            <w:r w:rsidRPr="009B7171">
              <w:rPr>
                <w:rFonts w:cs="Arial"/>
                <w:color w:val="000000" w:themeColor="text1"/>
                <w:sz w:val="22"/>
              </w:rPr>
              <w:t>42’000</w:t>
            </w:r>
          </w:p>
        </w:tc>
        <w:tc>
          <w:tcPr>
            <w:tcW w:w="1503" w:type="dxa"/>
            <w:shd w:val="clear" w:color="auto" w:fill="auto"/>
            <w:vAlign w:val="center"/>
          </w:tcPr>
          <w:p w:rsidR="00F45EAC" w:rsidRPr="009B7171" w:rsidRDefault="00F45EAC" w:rsidP="008A6D59">
            <w:pPr>
              <w:jc w:val="center"/>
              <w:rPr>
                <w:rFonts w:cs="Arial"/>
                <w:color w:val="000000" w:themeColor="text1"/>
                <w:sz w:val="22"/>
              </w:rPr>
            </w:pPr>
            <w:r w:rsidRPr="009B7171">
              <w:rPr>
                <w:rFonts w:cs="Arial"/>
                <w:color w:val="000000" w:themeColor="text1"/>
                <w:sz w:val="22"/>
              </w:rPr>
              <w:t>30’000</w:t>
            </w:r>
          </w:p>
        </w:tc>
        <w:tc>
          <w:tcPr>
            <w:tcW w:w="1503" w:type="dxa"/>
            <w:shd w:val="clear" w:color="auto" w:fill="auto"/>
            <w:vAlign w:val="center"/>
          </w:tcPr>
          <w:p w:rsidR="00F45EAC" w:rsidRPr="009B7171" w:rsidRDefault="00F45EAC" w:rsidP="008A6D59">
            <w:pPr>
              <w:jc w:val="center"/>
              <w:rPr>
                <w:rFonts w:cs="Arial"/>
                <w:color w:val="000000" w:themeColor="text1"/>
                <w:sz w:val="22"/>
              </w:rPr>
            </w:pPr>
            <w:r w:rsidRPr="009B7171">
              <w:rPr>
                <w:rFonts w:cs="Arial"/>
                <w:color w:val="000000" w:themeColor="text1"/>
                <w:sz w:val="22"/>
              </w:rPr>
              <w:t>3'661</w:t>
            </w:r>
          </w:p>
        </w:tc>
        <w:tc>
          <w:tcPr>
            <w:tcW w:w="1503" w:type="dxa"/>
            <w:shd w:val="clear" w:color="auto" w:fill="auto"/>
            <w:vAlign w:val="center"/>
          </w:tcPr>
          <w:p w:rsidR="00F45EAC" w:rsidRPr="009B7171" w:rsidRDefault="00F45EAC" w:rsidP="008A6D59">
            <w:pPr>
              <w:jc w:val="center"/>
              <w:rPr>
                <w:rFonts w:cs="Arial"/>
                <w:b/>
                <w:color w:val="000000" w:themeColor="text1"/>
                <w:sz w:val="22"/>
              </w:rPr>
            </w:pPr>
            <w:r w:rsidRPr="009B7171">
              <w:rPr>
                <w:rFonts w:cs="Arial"/>
                <w:b/>
                <w:color w:val="000000" w:themeColor="text1"/>
                <w:sz w:val="22"/>
              </w:rPr>
              <w:t>451’661</w:t>
            </w:r>
          </w:p>
        </w:tc>
      </w:tr>
    </w:tbl>
    <w:p w:rsidR="00F45EAC" w:rsidRPr="00302D87" w:rsidRDefault="00F45EAC" w:rsidP="00B54866"/>
    <w:p w:rsidR="00F45EAC" w:rsidRPr="001B563B" w:rsidRDefault="00DA731E" w:rsidP="00B54866">
      <w:pPr>
        <w:pStyle w:val="Titolo3"/>
      </w:pPr>
      <w:r>
        <w:t>2.3.2</w:t>
      </w:r>
      <w:r>
        <w:tab/>
      </w:r>
      <w:r w:rsidR="00F45EAC" w:rsidRPr="001B563B">
        <w:t>Locazione sede della Polizia cantonale presso La Ferriera in via Luini a Locarno</w:t>
      </w:r>
    </w:p>
    <w:p w:rsidR="00F45EAC" w:rsidRPr="001B563B" w:rsidRDefault="00F45EAC" w:rsidP="00F45EAC">
      <w:pPr>
        <w:spacing w:after="120"/>
        <w:rPr>
          <w:rFonts w:cs="Arial"/>
          <w:color w:val="000000" w:themeColor="text1"/>
          <w:szCs w:val="24"/>
        </w:rPr>
      </w:pPr>
      <w:r w:rsidRPr="001B563B">
        <w:rPr>
          <w:rFonts w:cs="Arial"/>
          <w:color w:val="000000" w:themeColor="text1"/>
          <w:szCs w:val="24"/>
        </w:rPr>
        <w:t xml:space="preserve">Gli spazi interessati riguardano perlopiù superfici già affittati dal Cantone (CPC e Uffici forestali), ai quali però – per ottemperare a tutte le necessità della sede provvisoria della polizia – occorre aggiungere nuovi spazi per depositi e posteggi, per i quali si dovrà allestire un contratto ad hoc. Le trattative con </w:t>
      </w:r>
      <w:proofErr w:type="spellStart"/>
      <w:r w:rsidRPr="001B563B">
        <w:rPr>
          <w:rFonts w:cs="Arial"/>
          <w:color w:val="000000" w:themeColor="text1"/>
          <w:szCs w:val="24"/>
        </w:rPr>
        <w:t>Swiss</w:t>
      </w:r>
      <w:proofErr w:type="spellEnd"/>
      <w:r w:rsidRPr="001B563B">
        <w:rPr>
          <w:rFonts w:cs="Arial"/>
          <w:color w:val="000000" w:themeColor="text1"/>
          <w:szCs w:val="24"/>
        </w:rPr>
        <w:t xml:space="preserve"> Life </w:t>
      </w:r>
      <w:proofErr w:type="spellStart"/>
      <w:r w:rsidRPr="001B563B">
        <w:rPr>
          <w:rFonts w:cs="Arial"/>
          <w:color w:val="000000" w:themeColor="text1"/>
          <w:szCs w:val="24"/>
        </w:rPr>
        <w:t>Found</w:t>
      </w:r>
      <w:proofErr w:type="spellEnd"/>
      <w:r w:rsidRPr="001B563B">
        <w:rPr>
          <w:rFonts w:cs="Arial"/>
          <w:color w:val="000000" w:themeColor="text1"/>
          <w:szCs w:val="24"/>
        </w:rPr>
        <w:t xml:space="preserve"> Management, proprietario dell’immobile, hanno definito che le condizioni della futura locazione per gli spazi in autorimessa saranno precisate al momento del consolidamento del contratto stesso: il Consiglio di Stato considera un onere massimo di CHF 70'000 (cfr. tabella).</w:t>
      </w:r>
    </w:p>
    <w:p w:rsidR="00F45EAC" w:rsidRPr="00B54866" w:rsidRDefault="00F45EAC" w:rsidP="00B54866">
      <w:pPr>
        <w:rPr>
          <w:rFonts w:cs="Arial"/>
          <w:color w:val="000000" w:themeColor="text1"/>
          <w:sz w:val="12"/>
          <w:szCs w:val="12"/>
        </w:rPr>
      </w:pPr>
    </w:p>
    <w:tbl>
      <w:tblPr>
        <w:tblpPr w:leftFromText="141" w:rightFromText="141" w:vertAnchor="text" w:horzAnchor="margin" w:tblpXSpec="center" w:tblpY="16"/>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96"/>
        <w:gridCol w:w="1489"/>
        <w:gridCol w:w="1500"/>
        <w:gridCol w:w="1507"/>
        <w:gridCol w:w="1507"/>
        <w:gridCol w:w="1507"/>
      </w:tblGrid>
      <w:tr w:rsidR="00F45EAC" w:rsidRPr="001B563B" w:rsidTr="008A6D59">
        <w:trPr>
          <w:cantSplit/>
        </w:trPr>
        <w:tc>
          <w:tcPr>
            <w:tcW w:w="2096" w:type="dxa"/>
            <w:tcBorders>
              <w:top w:val="single" w:sz="4" w:space="0" w:color="auto"/>
              <w:left w:val="nil"/>
              <w:bottom w:val="single" w:sz="4" w:space="0" w:color="auto"/>
              <w:right w:val="dotted" w:sz="4" w:space="0" w:color="auto"/>
            </w:tcBorders>
            <w:shd w:val="clear" w:color="auto" w:fill="auto"/>
            <w:vAlign w:val="center"/>
          </w:tcPr>
          <w:p w:rsidR="00F45EAC" w:rsidRPr="001B563B" w:rsidRDefault="00F45EAC" w:rsidP="008A6D59">
            <w:pPr>
              <w:rPr>
                <w:rFonts w:cs="Arial"/>
                <w:b/>
                <w:color w:val="000000" w:themeColor="text1"/>
                <w:sz w:val="22"/>
              </w:rPr>
            </w:pPr>
            <w:r w:rsidRPr="001B563B">
              <w:rPr>
                <w:rFonts w:cs="Arial"/>
                <w:b/>
                <w:color w:val="000000" w:themeColor="text1"/>
                <w:sz w:val="22"/>
              </w:rPr>
              <w:t>La Ferriera</w:t>
            </w:r>
          </w:p>
        </w:tc>
        <w:tc>
          <w:tcPr>
            <w:tcW w:w="1489" w:type="dxa"/>
            <w:tcBorders>
              <w:top w:val="single" w:sz="4" w:space="0" w:color="auto"/>
              <w:left w:val="dotted" w:sz="4" w:space="0" w:color="auto"/>
              <w:bottom w:val="single" w:sz="4" w:space="0" w:color="auto"/>
              <w:right w:val="dotted" w:sz="4" w:space="0" w:color="auto"/>
            </w:tcBorders>
            <w:shd w:val="clear" w:color="auto" w:fill="auto"/>
          </w:tcPr>
          <w:p w:rsidR="00F45EAC" w:rsidRPr="001B563B" w:rsidRDefault="00F45EAC" w:rsidP="008A6D59">
            <w:pPr>
              <w:jc w:val="center"/>
              <w:rPr>
                <w:rFonts w:cs="Arial"/>
                <w:b/>
                <w:color w:val="000000" w:themeColor="text1"/>
                <w:sz w:val="22"/>
              </w:rPr>
            </w:pPr>
            <w:r w:rsidRPr="001B563B">
              <w:rPr>
                <w:rFonts w:cs="Arial"/>
                <w:b/>
                <w:color w:val="000000" w:themeColor="text1"/>
                <w:sz w:val="22"/>
              </w:rPr>
              <w:t xml:space="preserve">oneri di locazione </w:t>
            </w:r>
          </w:p>
        </w:tc>
        <w:tc>
          <w:tcPr>
            <w:tcW w:w="1500" w:type="dxa"/>
            <w:tcBorders>
              <w:top w:val="single" w:sz="4" w:space="0" w:color="auto"/>
              <w:left w:val="dotted" w:sz="4" w:space="0" w:color="auto"/>
              <w:bottom w:val="single" w:sz="4" w:space="0" w:color="auto"/>
              <w:right w:val="dotted" w:sz="4" w:space="0" w:color="auto"/>
            </w:tcBorders>
            <w:shd w:val="clear" w:color="auto" w:fill="auto"/>
          </w:tcPr>
          <w:p w:rsidR="00F45EAC" w:rsidRPr="001B563B" w:rsidRDefault="00F45EAC" w:rsidP="008A6D59">
            <w:pPr>
              <w:jc w:val="center"/>
              <w:rPr>
                <w:rFonts w:cs="Arial"/>
                <w:b/>
                <w:color w:val="000000" w:themeColor="text1"/>
                <w:sz w:val="22"/>
              </w:rPr>
            </w:pPr>
            <w:r w:rsidRPr="001B563B">
              <w:rPr>
                <w:rFonts w:cs="Arial"/>
                <w:b/>
                <w:color w:val="000000" w:themeColor="text1"/>
                <w:sz w:val="22"/>
              </w:rPr>
              <w:t>spese accessorie</w:t>
            </w:r>
          </w:p>
        </w:tc>
        <w:tc>
          <w:tcPr>
            <w:tcW w:w="1507" w:type="dxa"/>
            <w:tcBorders>
              <w:top w:val="single" w:sz="4" w:space="0" w:color="auto"/>
              <w:left w:val="dotted" w:sz="4" w:space="0" w:color="auto"/>
              <w:bottom w:val="single" w:sz="4" w:space="0" w:color="auto"/>
              <w:right w:val="dotted" w:sz="4" w:space="0" w:color="auto"/>
            </w:tcBorders>
            <w:shd w:val="clear" w:color="auto" w:fill="auto"/>
          </w:tcPr>
          <w:p w:rsidR="00F45EAC" w:rsidRPr="001B563B" w:rsidRDefault="00F45EAC" w:rsidP="008A6D59">
            <w:pPr>
              <w:jc w:val="center"/>
              <w:rPr>
                <w:rFonts w:cs="Arial"/>
                <w:b/>
                <w:color w:val="000000" w:themeColor="text1"/>
                <w:sz w:val="22"/>
              </w:rPr>
            </w:pPr>
            <w:r w:rsidRPr="001B563B">
              <w:rPr>
                <w:rFonts w:cs="Arial"/>
                <w:b/>
                <w:color w:val="000000" w:themeColor="text1"/>
                <w:sz w:val="22"/>
              </w:rPr>
              <w:t>costi di pulizia</w:t>
            </w:r>
          </w:p>
        </w:tc>
        <w:tc>
          <w:tcPr>
            <w:tcW w:w="1507" w:type="dxa"/>
            <w:tcBorders>
              <w:top w:val="single" w:sz="4" w:space="0" w:color="auto"/>
              <w:left w:val="dotted" w:sz="4" w:space="0" w:color="auto"/>
              <w:bottom w:val="single" w:sz="4" w:space="0" w:color="auto"/>
              <w:right w:val="dotted" w:sz="4" w:space="0" w:color="auto"/>
            </w:tcBorders>
            <w:shd w:val="clear" w:color="auto" w:fill="auto"/>
          </w:tcPr>
          <w:p w:rsidR="00F45EAC" w:rsidRPr="001B563B" w:rsidRDefault="00F45EAC" w:rsidP="008A6D59">
            <w:pPr>
              <w:jc w:val="center"/>
              <w:rPr>
                <w:rFonts w:cs="Arial"/>
                <w:b/>
                <w:color w:val="000000" w:themeColor="text1"/>
                <w:sz w:val="22"/>
              </w:rPr>
            </w:pPr>
            <w:r w:rsidRPr="001B563B">
              <w:rPr>
                <w:rFonts w:cs="Arial"/>
                <w:b/>
                <w:color w:val="000000" w:themeColor="text1"/>
                <w:sz w:val="22"/>
              </w:rPr>
              <w:t>costi ricorrenti CSI</w:t>
            </w:r>
          </w:p>
        </w:tc>
        <w:tc>
          <w:tcPr>
            <w:tcW w:w="1507" w:type="dxa"/>
            <w:tcBorders>
              <w:top w:val="single" w:sz="4" w:space="0" w:color="auto"/>
              <w:left w:val="dotted" w:sz="4" w:space="0" w:color="auto"/>
              <w:bottom w:val="single" w:sz="4" w:space="0" w:color="auto"/>
              <w:right w:val="nil"/>
            </w:tcBorders>
            <w:shd w:val="clear" w:color="auto" w:fill="auto"/>
          </w:tcPr>
          <w:p w:rsidR="00F45EAC" w:rsidRPr="001B563B" w:rsidRDefault="00F45EAC" w:rsidP="008A6D59">
            <w:pPr>
              <w:jc w:val="center"/>
              <w:rPr>
                <w:rFonts w:cs="Arial"/>
                <w:b/>
                <w:color w:val="000000" w:themeColor="text1"/>
                <w:sz w:val="22"/>
              </w:rPr>
            </w:pPr>
            <w:r w:rsidRPr="001B563B">
              <w:rPr>
                <w:rFonts w:cs="Arial"/>
                <w:b/>
                <w:color w:val="000000" w:themeColor="text1"/>
                <w:sz w:val="22"/>
              </w:rPr>
              <w:t xml:space="preserve">Totale </w:t>
            </w:r>
            <w:proofErr w:type="spellStart"/>
            <w:r w:rsidRPr="001B563B">
              <w:rPr>
                <w:rFonts w:cs="Arial"/>
                <w:b/>
                <w:color w:val="000000" w:themeColor="text1"/>
                <w:sz w:val="22"/>
              </w:rPr>
              <w:t>fr</w:t>
            </w:r>
            <w:proofErr w:type="spellEnd"/>
            <w:r w:rsidRPr="001B563B">
              <w:rPr>
                <w:rFonts w:cs="Arial"/>
                <w:b/>
                <w:color w:val="000000" w:themeColor="text1"/>
                <w:sz w:val="22"/>
              </w:rPr>
              <w:t>./anno</w:t>
            </w:r>
          </w:p>
        </w:tc>
      </w:tr>
      <w:tr w:rsidR="00F45EAC" w:rsidRPr="001B563B" w:rsidTr="008A6D59">
        <w:trPr>
          <w:cantSplit/>
          <w:trHeight w:hRule="exact" w:val="510"/>
        </w:trPr>
        <w:tc>
          <w:tcPr>
            <w:tcW w:w="2096" w:type="dxa"/>
            <w:tcBorders>
              <w:top w:val="single" w:sz="4" w:space="0" w:color="auto"/>
              <w:left w:val="nil"/>
              <w:bottom w:val="dotted" w:sz="4" w:space="0" w:color="auto"/>
              <w:right w:val="dotted" w:sz="4" w:space="0" w:color="auto"/>
            </w:tcBorders>
            <w:shd w:val="clear" w:color="auto" w:fill="auto"/>
            <w:vAlign w:val="center"/>
          </w:tcPr>
          <w:p w:rsidR="00F45EAC" w:rsidRPr="001B563B" w:rsidRDefault="00F45EAC" w:rsidP="008A6D59">
            <w:pPr>
              <w:rPr>
                <w:rFonts w:cs="Arial"/>
                <w:color w:val="000000" w:themeColor="text1"/>
                <w:sz w:val="22"/>
              </w:rPr>
            </w:pPr>
            <w:r w:rsidRPr="001B563B">
              <w:rPr>
                <w:rFonts w:cs="Arial"/>
                <w:color w:val="000000" w:themeColor="text1"/>
                <w:sz w:val="22"/>
              </w:rPr>
              <w:t>Blocco A (CPC)</w:t>
            </w:r>
          </w:p>
        </w:tc>
        <w:tc>
          <w:tcPr>
            <w:tcW w:w="1489" w:type="dxa"/>
            <w:tcBorders>
              <w:top w:val="single"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183’790</w:t>
            </w:r>
          </w:p>
        </w:tc>
        <w:tc>
          <w:tcPr>
            <w:tcW w:w="1500" w:type="dxa"/>
            <w:tcBorders>
              <w:top w:val="single"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41’100</w:t>
            </w:r>
          </w:p>
        </w:tc>
        <w:tc>
          <w:tcPr>
            <w:tcW w:w="1507" w:type="dxa"/>
            <w:tcBorders>
              <w:top w:val="single"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30'500</w:t>
            </w:r>
          </w:p>
        </w:tc>
        <w:tc>
          <w:tcPr>
            <w:tcW w:w="1507" w:type="dxa"/>
            <w:tcBorders>
              <w:top w:val="single"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2'928</w:t>
            </w:r>
          </w:p>
        </w:tc>
        <w:tc>
          <w:tcPr>
            <w:tcW w:w="1507" w:type="dxa"/>
            <w:tcBorders>
              <w:top w:val="single" w:sz="4" w:space="0" w:color="auto"/>
              <w:left w:val="dotted" w:sz="4" w:space="0" w:color="auto"/>
              <w:bottom w:val="dotted" w:sz="4" w:space="0" w:color="auto"/>
              <w:right w:val="nil"/>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258’318</w:t>
            </w:r>
          </w:p>
        </w:tc>
      </w:tr>
      <w:tr w:rsidR="00F45EAC" w:rsidRPr="001B563B" w:rsidTr="008A6D59">
        <w:trPr>
          <w:cantSplit/>
          <w:trHeight w:hRule="exact" w:val="510"/>
        </w:trPr>
        <w:tc>
          <w:tcPr>
            <w:tcW w:w="2096" w:type="dxa"/>
            <w:tcBorders>
              <w:top w:val="dotted" w:sz="4" w:space="0" w:color="auto"/>
              <w:left w:val="nil"/>
              <w:bottom w:val="dotted" w:sz="4" w:space="0" w:color="auto"/>
              <w:right w:val="dotted" w:sz="4" w:space="0" w:color="auto"/>
            </w:tcBorders>
            <w:shd w:val="clear" w:color="auto" w:fill="auto"/>
            <w:vAlign w:val="center"/>
          </w:tcPr>
          <w:p w:rsidR="00F45EAC" w:rsidRPr="001B563B" w:rsidRDefault="00F45EAC" w:rsidP="008A6D59">
            <w:pPr>
              <w:ind w:right="-108"/>
              <w:jc w:val="left"/>
              <w:rPr>
                <w:rFonts w:cs="Arial"/>
                <w:color w:val="000000" w:themeColor="text1"/>
                <w:sz w:val="22"/>
              </w:rPr>
            </w:pPr>
            <w:r w:rsidRPr="001B563B">
              <w:rPr>
                <w:rFonts w:cs="Arial"/>
                <w:color w:val="000000" w:themeColor="text1"/>
                <w:sz w:val="22"/>
              </w:rPr>
              <w:t>Blocco B (Forestali)</w:t>
            </w:r>
          </w:p>
        </w:tc>
        <w:tc>
          <w:tcPr>
            <w:tcW w:w="1489" w:type="dxa"/>
            <w:tcBorders>
              <w:top w:val="dotted"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45’792</w:t>
            </w:r>
          </w:p>
        </w:tc>
        <w:tc>
          <w:tcPr>
            <w:tcW w:w="1500" w:type="dxa"/>
            <w:tcBorders>
              <w:top w:val="dotted"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7’600</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7’500</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w:t>
            </w:r>
          </w:p>
        </w:tc>
        <w:tc>
          <w:tcPr>
            <w:tcW w:w="1507" w:type="dxa"/>
            <w:tcBorders>
              <w:top w:val="dotted" w:sz="4" w:space="0" w:color="auto"/>
              <w:left w:val="dotted" w:sz="4" w:space="0" w:color="auto"/>
              <w:bottom w:val="dotted" w:sz="4" w:space="0" w:color="auto"/>
              <w:right w:val="nil"/>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60’892</w:t>
            </w:r>
          </w:p>
        </w:tc>
      </w:tr>
      <w:tr w:rsidR="00F45EAC" w:rsidRPr="001B563B" w:rsidTr="008A6D59">
        <w:trPr>
          <w:cantSplit/>
          <w:trHeight w:hRule="exact" w:val="510"/>
        </w:trPr>
        <w:tc>
          <w:tcPr>
            <w:tcW w:w="2096" w:type="dxa"/>
            <w:tcBorders>
              <w:top w:val="dotted" w:sz="4" w:space="0" w:color="auto"/>
              <w:left w:val="nil"/>
              <w:bottom w:val="single" w:sz="4" w:space="0" w:color="808080"/>
              <w:right w:val="dotted" w:sz="4" w:space="0" w:color="auto"/>
            </w:tcBorders>
            <w:shd w:val="clear" w:color="auto" w:fill="auto"/>
            <w:vAlign w:val="center"/>
          </w:tcPr>
          <w:p w:rsidR="00F45EAC" w:rsidRPr="001B563B" w:rsidRDefault="00F45EAC" w:rsidP="008A6D59">
            <w:pPr>
              <w:rPr>
                <w:rFonts w:cs="Arial"/>
                <w:color w:val="000000" w:themeColor="text1"/>
                <w:sz w:val="22"/>
              </w:rPr>
            </w:pPr>
            <w:r w:rsidRPr="001B563B">
              <w:rPr>
                <w:rFonts w:cs="Arial"/>
                <w:color w:val="000000" w:themeColor="text1"/>
                <w:sz w:val="22"/>
              </w:rPr>
              <w:t>Piano sottosuolo</w:t>
            </w:r>
          </w:p>
        </w:tc>
        <w:tc>
          <w:tcPr>
            <w:tcW w:w="1489" w:type="dxa"/>
            <w:tcBorders>
              <w:top w:val="dotted" w:sz="4" w:space="0" w:color="auto"/>
              <w:left w:val="dotted" w:sz="4" w:space="0" w:color="auto"/>
              <w:bottom w:val="single" w:sz="4" w:space="0" w:color="808080"/>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65'800</w:t>
            </w:r>
          </w:p>
        </w:tc>
        <w:tc>
          <w:tcPr>
            <w:tcW w:w="1500" w:type="dxa"/>
            <w:tcBorders>
              <w:top w:val="dotted" w:sz="4" w:space="0" w:color="auto"/>
              <w:left w:val="dotted" w:sz="4" w:space="0" w:color="auto"/>
              <w:bottom w:val="single" w:sz="4" w:space="0" w:color="808080"/>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4’478</w:t>
            </w:r>
          </w:p>
        </w:tc>
        <w:tc>
          <w:tcPr>
            <w:tcW w:w="1507" w:type="dxa"/>
            <w:tcBorders>
              <w:top w:val="dotted" w:sz="4" w:space="0" w:color="auto"/>
              <w:left w:val="dotted" w:sz="4" w:space="0" w:color="auto"/>
              <w:bottom w:val="single" w:sz="4" w:space="0" w:color="808080"/>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w:t>
            </w:r>
          </w:p>
        </w:tc>
        <w:tc>
          <w:tcPr>
            <w:tcW w:w="1507" w:type="dxa"/>
            <w:tcBorders>
              <w:top w:val="dotted" w:sz="4" w:space="0" w:color="auto"/>
              <w:left w:val="dotted" w:sz="4" w:space="0" w:color="auto"/>
              <w:bottom w:val="single" w:sz="4" w:space="0" w:color="808080"/>
              <w:right w:val="dotted" w:sz="4" w:space="0" w:color="auto"/>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w:t>
            </w:r>
          </w:p>
        </w:tc>
        <w:tc>
          <w:tcPr>
            <w:tcW w:w="1507" w:type="dxa"/>
            <w:tcBorders>
              <w:top w:val="dotted" w:sz="4" w:space="0" w:color="auto"/>
              <w:left w:val="dotted" w:sz="4" w:space="0" w:color="auto"/>
              <w:bottom w:val="single" w:sz="4" w:space="0" w:color="808080"/>
              <w:right w:val="nil"/>
            </w:tcBorders>
            <w:shd w:val="clear" w:color="auto" w:fill="auto"/>
            <w:vAlign w:val="center"/>
          </w:tcPr>
          <w:p w:rsidR="00F45EAC" w:rsidRPr="001B563B" w:rsidRDefault="00F45EAC" w:rsidP="008A6D59">
            <w:pPr>
              <w:jc w:val="center"/>
              <w:rPr>
                <w:rFonts w:cs="Arial"/>
                <w:color w:val="000000" w:themeColor="text1"/>
                <w:sz w:val="22"/>
              </w:rPr>
            </w:pPr>
            <w:r w:rsidRPr="001B563B">
              <w:rPr>
                <w:rFonts w:cs="Arial"/>
                <w:color w:val="000000" w:themeColor="text1"/>
                <w:sz w:val="22"/>
              </w:rPr>
              <w:t>70'278</w:t>
            </w:r>
          </w:p>
        </w:tc>
      </w:tr>
      <w:tr w:rsidR="00F45EAC" w:rsidRPr="001B563B" w:rsidTr="008A6D59">
        <w:trPr>
          <w:cantSplit/>
          <w:trHeight w:hRule="exact" w:val="510"/>
        </w:trPr>
        <w:tc>
          <w:tcPr>
            <w:tcW w:w="8099" w:type="dxa"/>
            <w:gridSpan w:val="5"/>
            <w:tcBorders>
              <w:left w:val="nil"/>
              <w:right w:val="dotted" w:sz="4" w:space="0" w:color="auto"/>
            </w:tcBorders>
            <w:shd w:val="clear" w:color="auto" w:fill="auto"/>
            <w:vAlign w:val="center"/>
          </w:tcPr>
          <w:p w:rsidR="00F45EAC" w:rsidRPr="001B563B" w:rsidRDefault="00F45EAC" w:rsidP="008A6D59">
            <w:pPr>
              <w:jc w:val="left"/>
              <w:rPr>
                <w:rFonts w:cs="Arial"/>
                <w:color w:val="000000" w:themeColor="text1"/>
                <w:sz w:val="22"/>
              </w:rPr>
            </w:pPr>
            <w:r w:rsidRPr="001B563B">
              <w:rPr>
                <w:rFonts w:cs="Arial"/>
                <w:color w:val="000000" w:themeColor="text1"/>
                <w:sz w:val="22"/>
              </w:rPr>
              <w:t>Costi di affitto e spese accessorie per gli spazi aggiuntivi</w:t>
            </w:r>
          </w:p>
        </w:tc>
        <w:tc>
          <w:tcPr>
            <w:tcW w:w="1507" w:type="dxa"/>
            <w:tcBorders>
              <w:left w:val="dotted" w:sz="4" w:space="0" w:color="auto"/>
              <w:right w:val="nil"/>
            </w:tcBorders>
            <w:shd w:val="clear" w:color="auto" w:fill="auto"/>
            <w:vAlign w:val="center"/>
          </w:tcPr>
          <w:p w:rsidR="00F45EAC" w:rsidRPr="001B563B" w:rsidRDefault="00F45EAC" w:rsidP="008A6D59">
            <w:pPr>
              <w:jc w:val="center"/>
              <w:rPr>
                <w:rFonts w:cs="Arial"/>
                <w:b/>
                <w:color w:val="000000" w:themeColor="text1"/>
                <w:sz w:val="22"/>
              </w:rPr>
            </w:pPr>
            <w:r w:rsidRPr="001B563B">
              <w:rPr>
                <w:rFonts w:cs="Arial"/>
                <w:b/>
                <w:color w:val="000000" w:themeColor="text1"/>
                <w:sz w:val="22"/>
              </w:rPr>
              <w:t>70’278</w:t>
            </w:r>
          </w:p>
        </w:tc>
      </w:tr>
    </w:tbl>
    <w:p w:rsidR="00F45EAC" w:rsidRPr="00302D87" w:rsidRDefault="00F45EAC" w:rsidP="00B54866"/>
    <w:p w:rsidR="00F45EAC" w:rsidRPr="00966ACF" w:rsidRDefault="00DA731E" w:rsidP="00B54866">
      <w:pPr>
        <w:pStyle w:val="Titolo3"/>
      </w:pPr>
      <w:r>
        <w:t>2.3.3</w:t>
      </w:r>
      <w:r>
        <w:tab/>
      </w:r>
      <w:r w:rsidR="00F45EAC">
        <w:t>L</w:t>
      </w:r>
      <w:r w:rsidR="00F45EAC" w:rsidRPr="00966ACF">
        <w:t xml:space="preserve">ocazione la </w:t>
      </w:r>
      <w:proofErr w:type="spellStart"/>
      <w:r w:rsidR="00F45EAC" w:rsidRPr="00966ACF">
        <w:t>sottosede</w:t>
      </w:r>
      <w:proofErr w:type="spellEnd"/>
      <w:r w:rsidR="00F45EAC" w:rsidRPr="00966ACF">
        <w:t xml:space="preserve"> CPC presso Villa Erica a Locarno</w:t>
      </w:r>
    </w:p>
    <w:p w:rsidR="00F45EAC" w:rsidRPr="00966ACF" w:rsidRDefault="00F45EAC" w:rsidP="00F45EAC">
      <w:pPr>
        <w:rPr>
          <w:rFonts w:cs="Arial"/>
          <w:color w:val="000000" w:themeColor="text1"/>
        </w:rPr>
      </w:pPr>
      <w:r w:rsidRPr="00966ACF">
        <w:rPr>
          <w:rFonts w:cs="Arial"/>
          <w:color w:val="000000" w:themeColor="text1"/>
        </w:rPr>
        <w:t>Le trattative intercorse con la proprietà, l’</w:t>
      </w:r>
      <w:proofErr w:type="spellStart"/>
      <w:r w:rsidRPr="00966ACF">
        <w:rPr>
          <w:rFonts w:cs="Arial"/>
          <w:color w:val="000000" w:themeColor="text1"/>
        </w:rPr>
        <w:t>Istitut</w:t>
      </w:r>
      <w:proofErr w:type="spellEnd"/>
      <w:r w:rsidRPr="00966ACF">
        <w:rPr>
          <w:rFonts w:cs="Arial"/>
          <w:color w:val="000000" w:themeColor="text1"/>
        </w:rPr>
        <w:t xml:space="preserve"> </w:t>
      </w:r>
      <w:proofErr w:type="spellStart"/>
      <w:r w:rsidRPr="00966ACF">
        <w:rPr>
          <w:rFonts w:cs="Arial"/>
          <w:color w:val="000000" w:themeColor="text1"/>
        </w:rPr>
        <w:t>Ingenbohl</w:t>
      </w:r>
      <w:proofErr w:type="spellEnd"/>
      <w:r w:rsidRPr="00966ACF">
        <w:rPr>
          <w:rFonts w:cs="Arial"/>
          <w:color w:val="000000" w:themeColor="text1"/>
        </w:rPr>
        <w:t xml:space="preserve"> </w:t>
      </w:r>
      <w:proofErr w:type="spellStart"/>
      <w:r w:rsidRPr="00966ACF">
        <w:rPr>
          <w:rFonts w:cs="Arial"/>
          <w:color w:val="000000" w:themeColor="text1"/>
        </w:rPr>
        <w:t>Mutterprovinz</w:t>
      </w:r>
      <w:proofErr w:type="spellEnd"/>
      <w:r w:rsidRPr="00966ACF">
        <w:rPr>
          <w:rFonts w:cs="Arial"/>
          <w:color w:val="000000" w:themeColor="text1"/>
        </w:rPr>
        <w:t xml:space="preserve"> </w:t>
      </w:r>
      <w:proofErr w:type="spellStart"/>
      <w:r w:rsidRPr="00966ACF">
        <w:rPr>
          <w:rFonts w:cs="Arial"/>
          <w:color w:val="000000" w:themeColor="text1"/>
        </w:rPr>
        <w:t>Schweiz</w:t>
      </w:r>
      <w:proofErr w:type="spellEnd"/>
      <w:r w:rsidRPr="00966ACF">
        <w:rPr>
          <w:rFonts w:cs="Arial"/>
          <w:color w:val="000000" w:themeColor="text1"/>
        </w:rPr>
        <w:t xml:space="preserve">, hanno permesso di definire delle condizioni di locazione pari a 67 </w:t>
      </w:r>
      <w:proofErr w:type="spellStart"/>
      <w:r w:rsidRPr="00966ACF">
        <w:rPr>
          <w:rFonts w:cs="Arial"/>
          <w:color w:val="000000" w:themeColor="text1"/>
        </w:rPr>
        <w:t>fr</w:t>
      </w:r>
      <w:proofErr w:type="spellEnd"/>
      <w:r w:rsidRPr="00966ACF">
        <w:rPr>
          <w:rFonts w:cs="Arial"/>
          <w:color w:val="000000" w:themeColor="text1"/>
        </w:rPr>
        <w:t>./m</w:t>
      </w:r>
      <w:r w:rsidRPr="00966ACF">
        <w:rPr>
          <w:rFonts w:cs="Arial"/>
          <w:color w:val="000000" w:themeColor="text1"/>
          <w:vertAlign w:val="superscript"/>
        </w:rPr>
        <w:t>2</w:t>
      </w:r>
      <w:r w:rsidRPr="00966ACF">
        <w:rPr>
          <w:rFonts w:cs="Arial"/>
          <w:color w:val="000000" w:themeColor="text1"/>
        </w:rPr>
        <w:t>/anno per le superfici didattiche (m</w:t>
      </w:r>
      <w:r w:rsidRPr="00966ACF">
        <w:rPr>
          <w:rFonts w:cs="Arial"/>
          <w:color w:val="000000" w:themeColor="text1"/>
          <w:vertAlign w:val="superscript"/>
        </w:rPr>
        <w:t>2</w:t>
      </w:r>
      <w:r w:rsidRPr="00966ACF">
        <w:rPr>
          <w:rFonts w:cs="Arial"/>
          <w:color w:val="000000" w:themeColor="text1"/>
        </w:rPr>
        <w:t xml:space="preserve"> 731) e a 35 </w:t>
      </w:r>
      <w:proofErr w:type="spellStart"/>
      <w:r w:rsidRPr="00966ACF">
        <w:rPr>
          <w:rFonts w:cs="Arial"/>
          <w:color w:val="000000" w:themeColor="text1"/>
        </w:rPr>
        <w:t>fr</w:t>
      </w:r>
      <w:proofErr w:type="spellEnd"/>
      <w:r w:rsidRPr="00966ACF">
        <w:rPr>
          <w:rFonts w:cs="Arial"/>
          <w:color w:val="000000" w:themeColor="text1"/>
        </w:rPr>
        <w:t>./m</w:t>
      </w:r>
      <w:r w:rsidRPr="00966ACF">
        <w:rPr>
          <w:rFonts w:cs="Arial"/>
          <w:color w:val="000000" w:themeColor="text1"/>
          <w:vertAlign w:val="superscript"/>
        </w:rPr>
        <w:t>2</w:t>
      </w:r>
      <w:r w:rsidRPr="00966ACF">
        <w:rPr>
          <w:rFonts w:cs="Arial"/>
          <w:color w:val="000000" w:themeColor="text1"/>
        </w:rPr>
        <w:t>/anno per le superfici di circolazione e di supporto (m</w:t>
      </w:r>
      <w:r w:rsidRPr="00966ACF">
        <w:rPr>
          <w:rFonts w:cs="Arial"/>
          <w:color w:val="000000" w:themeColor="text1"/>
          <w:vertAlign w:val="superscript"/>
        </w:rPr>
        <w:t>2</w:t>
      </w:r>
      <w:r w:rsidRPr="00966ACF">
        <w:rPr>
          <w:rFonts w:cs="Arial"/>
          <w:color w:val="000000" w:themeColor="text1"/>
        </w:rPr>
        <w:t xml:space="preserve"> 538) per una locazione globale di </w:t>
      </w:r>
      <w:proofErr w:type="spellStart"/>
      <w:r w:rsidRPr="00966ACF">
        <w:rPr>
          <w:rFonts w:cs="Arial"/>
          <w:color w:val="000000" w:themeColor="text1"/>
        </w:rPr>
        <w:t>fr</w:t>
      </w:r>
      <w:proofErr w:type="spellEnd"/>
      <w:r w:rsidRPr="00966ACF">
        <w:rPr>
          <w:rFonts w:cs="Arial"/>
          <w:color w:val="000000" w:themeColor="text1"/>
        </w:rPr>
        <w:t>. 70'000 anno. Inoltre, considerate le specifiche necessità della scuola, questa soluzione soddisfa i requisiti di ubicazione, in quanto nelle immediate vicinanze della sede principale del CPC e di tipologia, in quanto già edificio scolastico.</w:t>
      </w:r>
    </w:p>
    <w:p w:rsidR="00F45EAC" w:rsidRPr="00966ACF" w:rsidRDefault="00F45EAC" w:rsidP="00F45EAC">
      <w:pPr>
        <w:rPr>
          <w:rFonts w:cs="Arial"/>
          <w:b/>
          <w:i/>
          <w:noProof/>
          <w:color w:val="000000" w:themeColor="text1"/>
          <w:szCs w:val="24"/>
        </w:rPr>
      </w:pPr>
    </w:p>
    <w:tbl>
      <w:tblPr>
        <w:tblpPr w:leftFromText="141" w:rightFromText="141" w:vertAnchor="text" w:horzAnchor="margin" w:tblpXSpec="center" w:tblpY="16"/>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1509"/>
        <w:gridCol w:w="1509"/>
        <w:gridCol w:w="1509"/>
        <w:gridCol w:w="1509"/>
        <w:gridCol w:w="1510"/>
      </w:tblGrid>
      <w:tr w:rsidR="00F45EAC" w:rsidRPr="00966ACF" w:rsidTr="008A6D59">
        <w:tc>
          <w:tcPr>
            <w:tcW w:w="2093" w:type="dxa"/>
            <w:shd w:val="clear" w:color="auto" w:fill="auto"/>
            <w:vAlign w:val="center"/>
          </w:tcPr>
          <w:p w:rsidR="00F45EAC" w:rsidRPr="00966ACF" w:rsidRDefault="00F45EAC" w:rsidP="008A6D59">
            <w:pPr>
              <w:ind w:right="-96"/>
              <w:jc w:val="left"/>
              <w:rPr>
                <w:rFonts w:cs="Arial"/>
                <w:b/>
                <w:color w:val="000000" w:themeColor="text1"/>
                <w:sz w:val="22"/>
              </w:rPr>
            </w:pPr>
            <w:r w:rsidRPr="00966ACF">
              <w:rPr>
                <w:rFonts w:cs="Arial"/>
                <w:b/>
                <w:color w:val="000000" w:themeColor="text1"/>
                <w:sz w:val="22"/>
              </w:rPr>
              <w:t>Villa Erica</w:t>
            </w:r>
          </w:p>
        </w:tc>
        <w:tc>
          <w:tcPr>
            <w:tcW w:w="1509" w:type="dxa"/>
            <w:shd w:val="clear" w:color="auto" w:fill="auto"/>
          </w:tcPr>
          <w:p w:rsidR="00F45EAC" w:rsidRPr="00966ACF" w:rsidRDefault="00F45EAC" w:rsidP="008A6D59">
            <w:pPr>
              <w:jc w:val="center"/>
              <w:rPr>
                <w:rFonts w:cs="Arial"/>
                <w:b/>
                <w:color w:val="000000" w:themeColor="text1"/>
                <w:sz w:val="22"/>
              </w:rPr>
            </w:pPr>
            <w:r w:rsidRPr="00966ACF">
              <w:rPr>
                <w:rFonts w:cs="Arial"/>
                <w:b/>
                <w:color w:val="000000" w:themeColor="text1"/>
                <w:sz w:val="22"/>
              </w:rPr>
              <w:t>oneri di locazione</w:t>
            </w:r>
          </w:p>
        </w:tc>
        <w:tc>
          <w:tcPr>
            <w:tcW w:w="1509" w:type="dxa"/>
            <w:shd w:val="clear" w:color="auto" w:fill="auto"/>
          </w:tcPr>
          <w:p w:rsidR="00F45EAC" w:rsidRPr="00966ACF" w:rsidRDefault="00F45EAC" w:rsidP="008A6D59">
            <w:pPr>
              <w:jc w:val="center"/>
              <w:rPr>
                <w:rFonts w:cs="Arial"/>
                <w:b/>
                <w:color w:val="000000" w:themeColor="text1"/>
                <w:sz w:val="22"/>
              </w:rPr>
            </w:pPr>
            <w:r w:rsidRPr="00966ACF">
              <w:rPr>
                <w:rFonts w:cs="Arial"/>
                <w:b/>
                <w:color w:val="000000" w:themeColor="text1"/>
                <w:sz w:val="22"/>
              </w:rPr>
              <w:t>spese accessorie</w:t>
            </w:r>
          </w:p>
        </w:tc>
        <w:tc>
          <w:tcPr>
            <w:tcW w:w="1509" w:type="dxa"/>
            <w:shd w:val="clear" w:color="auto" w:fill="auto"/>
          </w:tcPr>
          <w:p w:rsidR="00F45EAC" w:rsidRPr="00966ACF" w:rsidRDefault="00F45EAC" w:rsidP="008A6D59">
            <w:pPr>
              <w:jc w:val="center"/>
              <w:rPr>
                <w:rFonts w:cs="Arial"/>
                <w:b/>
                <w:color w:val="000000" w:themeColor="text1"/>
                <w:sz w:val="22"/>
              </w:rPr>
            </w:pPr>
            <w:r w:rsidRPr="00966ACF">
              <w:rPr>
                <w:rFonts w:cs="Arial"/>
                <w:b/>
                <w:color w:val="000000" w:themeColor="text1"/>
                <w:sz w:val="22"/>
              </w:rPr>
              <w:t>costi di pulizia</w:t>
            </w:r>
          </w:p>
        </w:tc>
        <w:tc>
          <w:tcPr>
            <w:tcW w:w="1509" w:type="dxa"/>
            <w:shd w:val="clear" w:color="auto" w:fill="auto"/>
          </w:tcPr>
          <w:p w:rsidR="00F45EAC" w:rsidRPr="00966ACF" w:rsidRDefault="00F45EAC" w:rsidP="008A6D59">
            <w:pPr>
              <w:jc w:val="center"/>
              <w:rPr>
                <w:rFonts w:cs="Arial"/>
                <w:b/>
                <w:color w:val="000000" w:themeColor="text1"/>
                <w:sz w:val="22"/>
              </w:rPr>
            </w:pPr>
            <w:r w:rsidRPr="00966ACF">
              <w:rPr>
                <w:rFonts w:cs="Arial"/>
                <w:b/>
                <w:color w:val="000000" w:themeColor="text1"/>
                <w:sz w:val="22"/>
              </w:rPr>
              <w:t>costi ricorrenti CSI</w:t>
            </w:r>
          </w:p>
        </w:tc>
        <w:tc>
          <w:tcPr>
            <w:tcW w:w="1510" w:type="dxa"/>
            <w:shd w:val="clear" w:color="auto" w:fill="auto"/>
          </w:tcPr>
          <w:p w:rsidR="00F45EAC" w:rsidRPr="00966ACF" w:rsidRDefault="00F45EAC" w:rsidP="008A6D59">
            <w:pPr>
              <w:jc w:val="center"/>
              <w:rPr>
                <w:rFonts w:cs="Arial"/>
                <w:b/>
                <w:color w:val="000000" w:themeColor="text1"/>
                <w:sz w:val="22"/>
              </w:rPr>
            </w:pPr>
            <w:r w:rsidRPr="00966ACF">
              <w:rPr>
                <w:rFonts w:cs="Arial"/>
                <w:b/>
                <w:color w:val="000000" w:themeColor="text1"/>
                <w:sz w:val="22"/>
              </w:rPr>
              <w:t xml:space="preserve">Totale </w:t>
            </w:r>
            <w:proofErr w:type="spellStart"/>
            <w:r w:rsidRPr="00966ACF">
              <w:rPr>
                <w:rFonts w:cs="Arial"/>
                <w:b/>
                <w:color w:val="000000" w:themeColor="text1"/>
                <w:sz w:val="22"/>
              </w:rPr>
              <w:t>fr</w:t>
            </w:r>
            <w:proofErr w:type="spellEnd"/>
            <w:r w:rsidRPr="00966ACF">
              <w:rPr>
                <w:rFonts w:cs="Arial"/>
                <w:b/>
                <w:color w:val="000000" w:themeColor="text1"/>
                <w:sz w:val="22"/>
              </w:rPr>
              <w:t>./anno</w:t>
            </w:r>
          </w:p>
        </w:tc>
      </w:tr>
      <w:tr w:rsidR="00F45EAC" w:rsidRPr="00966ACF" w:rsidTr="008A6D59">
        <w:tc>
          <w:tcPr>
            <w:tcW w:w="2093" w:type="dxa"/>
            <w:shd w:val="clear" w:color="auto" w:fill="auto"/>
          </w:tcPr>
          <w:p w:rsidR="00F45EAC" w:rsidRPr="00966ACF" w:rsidRDefault="00F45EAC" w:rsidP="008A6D59">
            <w:pPr>
              <w:rPr>
                <w:rFonts w:cs="Arial"/>
                <w:b/>
                <w:color w:val="000000" w:themeColor="text1"/>
                <w:sz w:val="22"/>
              </w:rPr>
            </w:pPr>
          </w:p>
        </w:tc>
        <w:tc>
          <w:tcPr>
            <w:tcW w:w="1509" w:type="dxa"/>
            <w:shd w:val="clear" w:color="auto" w:fill="auto"/>
          </w:tcPr>
          <w:p w:rsidR="00F45EAC" w:rsidRPr="00966ACF" w:rsidRDefault="00F45EAC" w:rsidP="008A6D59">
            <w:pPr>
              <w:jc w:val="right"/>
              <w:rPr>
                <w:rFonts w:cs="Arial"/>
                <w:color w:val="000000" w:themeColor="text1"/>
                <w:sz w:val="22"/>
              </w:rPr>
            </w:pPr>
            <w:r w:rsidRPr="00966ACF">
              <w:rPr>
                <w:rFonts w:cs="Arial"/>
                <w:color w:val="000000" w:themeColor="text1"/>
                <w:sz w:val="22"/>
              </w:rPr>
              <w:t>70’000</w:t>
            </w:r>
          </w:p>
        </w:tc>
        <w:tc>
          <w:tcPr>
            <w:tcW w:w="1509" w:type="dxa"/>
            <w:shd w:val="clear" w:color="auto" w:fill="auto"/>
          </w:tcPr>
          <w:p w:rsidR="00F45EAC" w:rsidRPr="00966ACF" w:rsidRDefault="00F45EAC" w:rsidP="008A6D59">
            <w:pPr>
              <w:jc w:val="right"/>
              <w:rPr>
                <w:rFonts w:cs="Arial"/>
                <w:color w:val="000000" w:themeColor="text1"/>
                <w:sz w:val="22"/>
              </w:rPr>
            </w:pPr>
            <w:r w:rsidRPr="00966ACF">
              <w:rPr>
                <w:rFonts w:cs="Arial"/>
                <w:color w:val="000000" w:themeColor="text1"/>
                <w:sz w:val="22"/>
              </w:rPr>
              <w:t>25’380</w:t>
            </w:r>
          </w:p>
        </w:tc>
        <w:tc>
          <w:tcPr>
            <w:tcW w:w="1509" w:type="dxa"/>
            <w:shd w:val="clear" w:color="auto" w:fill="auto"/>
          </w:tcPr>
          <w:p w:rsidR="00F45EAC" w:rsidRPr="00966ACF" w:rsidRDefault="00F45EAC" w:rsidP="008A6D59">
            <w:pPr>
              <w:jc w:val="right"/>
              <w:rPr>
                <w:rFonts w:cs="Arial"/>
                <w:color w:val="000000" w:themeColor="text1"/>
                <w:sz w:val="22"/>
              </w:rPr>
            </w:pPr>
            <w:r w:rsidRPr="00966ACF">
              <w:rPr>
                <w:rFonts w:cs="Arial"/>
                <w:color w:val="000000" w:themeColor="text1"/>
                <w:sz w:val="22"/>
              </w:rPr>
              <w:t>43’395</w:t>
            </w:r>
          </w:p>
        </w:tc>
        <w:tc>
          <w:tcPr>
            <w:tcW w:w="1509" w:type="dxa"/>
            <w:shd w:val="clear" w:color="auto" w:fill="auto"/>
          </w:tcPr>
          <w:p w:rsidR="00F45EAC" w:rsidRPr="00966ACF" w:rsidRDefault="00F45EAC" w:rsidP="008A6D59">
            <w:pPr>
              <w:jc w:val="right"/>
              <w:rPr>
                <w:rFonts w:cs="Arial"/>
                <w:color w:val="000000" w:themeColor="text1"/>
                <w:sz w:val="22"/>
              </w:rPr>
            </w:pPr>
            <w:r w:rsidRPr="00966ACF">
              <w:rPr>
                <w:rFonts w:cs="Arial"/>
                <w:color w:val="000000" w:themeColor="text1"/>
                <w:sz w:val="22"/>
              </w:rPr>
              <w:t>3'713</w:t>
            </w:r>
          </w:p>
        </w:tc>
        <w:tc>
          <w:tcPr>
            <w:tcW w:w="1510" w:type="dxa"/>
            <w:shd w:val="clear" w:color="auto" w:fill="auto"/>
          </w:tcPr>
          <w:p w:rsidR="00F45EAC" w:rsidRPr="00966ACF" w:rsidRDefault="00F45EAC" w:rsidP="008A6D59">
            <w:pPr>
              <w:jc w:val="right"/>
              <w:rPr>
                <w:rFonts w:cs="Arial"/>
                <w:b/>
                <w:color w:val="000000" w:themeColor="text1"/>
                <w:sz w:val="22"/>
              </w:rPr>
            </w:pPr>
            <w:r w:rsidRPr="00966ACF">
              <w:rPr>
                <w:rFonts w:cs="Arial"/>
                <w:b/>
                <w:color w:val="000000" w:themeColor="text1"/>
                <w:sz w:val="22"/>
              </w:rPr>
              <w:t>142’488</w:t>
            </w:r>
          </w:p>
        </w:tc>
      </w:tr>
    </w:tbl>
    <w:p w:rsidR="00F45EAC" w:rsidRDefault="00F45EAC" w:rsidP="00B54866">
      <w:bookmarkStart w:id="1" w:name="_Toc515448881"/>
    </w:p>
    <w:p w:rsidR="00F45EAC" w:rsidRPr="006D4406" w:rsidRDefault="00F45EAC" w:rsidP="00F45EAC">
      <w:pPr>
        <w:tabs>
          <w:tab w:val="left" w:pos="709"/>
        </w:tabs>
        <w:ind w:left="709" w:hanging="709"/>
        <w:rPr>
          <w:rFonts w:cs="Arial"/>
          <w:color w:val="000000" w:themeColor="text1"/>
          <w:szCs w:val="24"/>
        </w:rPr>
      </w:pPr>
      <w:r>
        <w:rPr>
          <w:rFonts w:cs="Arial"/>
          <w:color w:val="000000" w:themeColor="text1"/>
          <w:szCs w:val="24"/>
        </w:rPr>
        <w:t>I</w:t>
      </w:r>
      <w:r w:rsidRPr="006D4406">
        <w:rPr>
          <w:rFonts w:cs="Arial"/>
          <w:color w:val="000000" w:themeColor="text1"/>
          <w:szCs w:val="24"/>
        </w:rPr>
        <w:t xml:space="preserve"> costi di gestione corrente delle sedi provvisorie</w:t>
      </w:r>
      <w:r>
        <w:rPr>
          <w:rFonts w:cs="Arial"/>
          <w:color w:val="000000" w:themeColor="text1"/>
          <w:szCs w:val="24"/>
        </w:rPr>
        <w:t xml:space="preserve"> sono dunque così riassunti:</w:t>
      </w:r>
    </w:p>
    <w:p w:rsidR="00F45EAC" w:rsidRPr="006D4406" w:rsidRDefault="00F45EAC" w:rsidP="00F45EAC">
      <w:pPr>
        <w:rPr>
          <w:rFonts w:cs="Arial"/>
          <w:i/>
          <w:color w:val="000000" w:themeColor="text1"/>
          <w:szCs w:val="24"/>
        </w:rPr>
      </w:pPr>
    </w:p>
    <w:tbl>
      <w:tblPr>
        <w:tblW w:w="9781" w:type="dxa"/>
        <w:tblInd w:w="-34" w:type="dxa"/>
        <w:tblLayout w:type="fixed"/>
        <w:tblLook w:val="04A0" w:firstRow="1" w:lastRow="0" w:firstColumn="1" w:lastColumn="0" w:noHBand="0" w:noVBand="1"/>
      </w:tblPr>
      <w:tblGrid>
        <w:gridCol w:w="6930"/>
        <w:gridCol w:w="1434"/>
        <w:gridCol w:w="1417"/>
      </w:tblGrid>
      <w:tr w:rsidR="00F45EAC" w:rsidRPr="00B54866" w:rsidTr="008A6D59">
        <w:trPr>
          <w:trHeight w:hRule="exact" w:val="567"/>
        </w:trPr>
        <w:tc>
          <w:tcPr>
            <w:tcW w:w="6930" w:type="dxa"/>
            <w:shd w:val="clear" w:color="auto" w:fill="auto"/>
            <w:vAlign w:val="center"/>
          </w:tcPr>
          <w:p w:rsidR="00F45EAC" w:rsidRPr="00B54866" w:rsidRDefault="00F45EAC" w:rsidP="008A6D59">
            <w:pPr>
              <w:rPr>
                <w:rFonts w:cs="Arial"/>
                <w:i/>
                <w:color w:val="000000" w:themeColor="text1"/>
                <w:sz w:val="22"/>
              </w:rPr>
            </w:pPr>
            <w:r w:rsidRPr="00B54866">
              <w:rPr>
                <w:rFonts w:cs="Arial"/>
                <w:i/>
                <w:color w:val="000000" w:themeColor="text1"/>
                <w:sz w:val="22"/>
              </w:rPr>
              <w:t xml:space="preserve">Sede della Magistratura presso l’ex sede del Credit </w:t>
            </w:r>
            <w:proofErr w:type="spellStart"/>
            <w:r w:rsidRPr="00B54866">
              <w:rPr>
                <w:rFonts w:cs="Arial"/>
                <w:i/>
                <w:color w:val="000000" w:themeColor="text1"/>
                <w:sz w:val="22"/>
              </w:rPr>
              <w:t>Suisse</w:t>
            </w:r>
            <w:proofErr w:type="spellEnd"/>
          </w:p>
        </w:tc>
        <w:tc>
          <w:tcPr>
            <w:tcW w:w="1434" w:type="dxa"/>
            <w:vAlign w:val="center"/>
          </w:tcPr>
          <w:p w:rsidR="00F45EAC" w:rsidRPr="00B54866" w:rsidRDefault="00F45EAC" w:rsidP="008A6D59">
            <w:pPr>
              <w:rPr>
                <w:rFonts w:cs="Arial"/>
                <w:b/>
                <w:i/>
                <w:color w:val="000000" w:themeColor="text1"/>
                <w:sz w:val="22"/>
              </w:rPr>
            </w:pPr>
            <w:proofErr w:type="spellStart"/>
            <w:r w:rsidRPr="00B54866">
              <w:rPr>
                <w:rFonts w:cs="Arial"/>
                <w:i/>
                <w:color w:val="000000" w:themeColor="text1"/>
                <w:sz w:val="22"/>
              </w:rPr>
              <w:t>fr</w:t>
            </w:r>
            <w:proofErr w:type="spellEnd"/>
            <w:r w:rsidRPr="00B54866">
              <w:rPr>
                <w:rFonts w:cs="Arial"/>
                <w:i/>
                <w:color w:val="000000" w:themeColor="text1"/>
                <w:sz w:val="22"/>
              </w:rPr>
              <w:t>. / anno</w:t>
            </w:r>
          </w:p>
        </w:tc>
        <w:tc>
          <w:tcPr>
            <w:tcW w:w="1417" w:type="dxa"/>
            <w:shd w:val="clear" w:color="auto" w:fill="auto"/>
            <w:vAlign w:val="center"/>
          </w:tcPr>
          <w:p w:rsidR="00F45EAC" w:rsidRPr="00B54866" w:rsidRDefault="00F45EAC" w:rsidP="008A6D59">
            <w:pPr>
              <w:jc w:val="right"/>
              <w:rPr>
                <w:rFonts w:cs="Arial"/>
                <w:i/>
                <w:color w:val="000000" w:themeColor="text1"/>
                <w:sz w:val="22"/>
              </w:rPr>
            </w:pPr>
            <w:r w:rsidRPr="00B54866">
              <w:rPr>
                <w:rFonts w:cs="Arial"/>
                <w:b/>
                <w:i/>
                <w:color w:val="000000" w:themeColor="text1"/>
                <w:sz w:val="22"/>
              </w:rPr>
              <w:t>451’661</w:t>
            </w:r>
          </w:p>
        </w:tc>
      </w:tr>
      <w:tr w:rsidR="00F45EAC" w:rsidRPr="00B54866" w:rsidTr="008A6D59">
        <w:trPr>
          <w:trHeight w:hRule="exact" w:val="567"/>
        </w:trPr>
        <w:tc>
          <w:tcPr>
            <w:tcW w:w="6930" w:type="dxa"/>
            <w:shd w:val="clear" w:color="auto" w:fill="auto"/>
            <w:vAlign w:val="center"/>
          </w:tcPr>
          <w:p w:rsidR="00F45EAC" w:rsidRPr="00B54866" w:rsidRDefault="00F45EAC" w:rsidP="008A6D59">
            <w:pPr>
              <w:rPr>
                <w:rFonts w:cs="Arial"/>
                <w:i/>
                <w:color w:val="000000" w:themeColor="text1"/>
                <w:sz w:val="22"/>
              </w:rPr>
            </w:pPr>
            <w:r w:rsidRPr="00B54866">
              <w:rPr>
                <w:rFonts w:cs="Arial"/>
                <w:i/>
                <w:color w:val="000000" w:themeColor="text1"/>
                <w:sz w:val="22"/>
              </w:rPr>
              <w:t xml:space="preserve">Sede della Polizia cantonale presso La Ferriera </w:t>
            </w:r>
          </w:p>
        </w:tc>
        <w:tc>
          <w:tcPr>
            <w:tcW w:w="1434" w:type="dxa"/>
            <w:vAlign w:val="center"/>
          </w:tcPr>
          <w:p w:rsidR="00F45EAC" w:rsidRPr="00B54866" w:rsidRDefault="00F45EAC" w:rsidP="008A6D59">
            <w:pPr>
              <w:rPr>
                <w:rFonts w:cs="Arial"/>
                <w:i/>
                <w:color w:val="000000" w:themeColor="text1"/>
                <w:sz w:val="22"/>
              </w:rPr>
            </w:pPr>
            <w:proofErr w:type="spellStart"/>
            <w:r w:rsidRPr="00B54866">
              <w:rPr>
                <w:rFonts w:cs="Arial"/>
                <w:i/>
                <w:color w:val="000000" w:themeColor="text1"/>
                <w:sz w:val="22"/>
              </w:rPr>
              <w:t>fr</w:t>
            </w:r>
            <w:proofErr w:type="spellEnd"/>
            <w:r w:rsidRPr="00B54866">
              <w:rPr>
                <w:rFonts w:cs="Arial"/>
                <w:i/>
                <w:color w:val="000000" w:themeColor="text1"/>
                <w:sz w:val="22"/>
              </w:rPr>
              <w:t>. / anno</w:t>
            </w:r>
          </w:p>
        </w:tc>
        <w:tc>
          <w:tcPr>
            <w:tcW w:w="1417" w:type="dxa"/>
            <w:shd w:val="clear" w:color="auto" w:fill="auto"/>
            <w:vAlign w:val="center"/>
          </w:tcPr>
          <w:p w:rsidR="00F45EAC" w:rsidRPr="00B54866" w:rsidRDefault="00F45EAC" w:rsidP="008A6D59">
            <w:pPr>
              <w:jc w:val="right"/>
              <w:rPr>
                <w:rFonts w:cs="Arial"/>
                <w:b/>
                <w:i/>
                <w:color w:val="000000" w:themeColor="text1"/>
                <w:sz w:val="22"/>
              </w:rPr>
            </w:pPr>
            <w:r w:rsidRPr="00B54866">
              <w:rPr>
                <w:rFonts w:cs="Arial"/>
                <w:b/>
                <w:i/>
                <w:color w:val="000000" w:themeColor="text1"/>
                <w:sz w:val="22"/>
              </w:rPr>
              <w:t>70’278</w:t>
            </w:r>
          </w:p>
        </w:tc>
      </w:tr>
      <w:tr w:rsidR="00F45EAC" w:rsidRPr="00B54866" w:rsidTr="008A6D59">
        <w:trPr>
          <w:trHeight w:hRule="exact" w:val="567"/>
        </w:trPr>
        <w:tc>
          <w:tcPr>
            <w:tcW w:w="6930" w:type="dxa"/>
            <w:tcBorders>
              <w:bottom w:val="single" w:sz="8" w:space="0" w:color="auto"/>
            </w:tcBorders>
            <w:shd w:val="clear" w:color="auto" w:fill="auto"/>
            <w:vAlign w:val="center"/>
          </w:tcPr>
          <w:p w:rsidR="00F45EAC" w:rsidRPr="00B54866" w:rsidRDefault="00F45EAC" w:rsidP="008A6D59">
            <w:pPr>
              <w:rPr>
                <w:rFonts w:cs="Arial"/>
                <w:i/>
                <w:color w:val="000000" w:themeColor="text1"/>
                <w:sz w:val="22"/>
              </w:rPr>
            </w:pPr>
            <w:proofErr w:type="spellStart"/>
            <w:r w:rsidRPr="00B54866">
              <w:rPr>
                <w:rFonts w:cs="Arial"/>
                <w:i/>
                <w:color w:val="000000" w:themeColor="text1"/>
                <w:sz w:val="22"/>
              </w:rPr>
              <w:t>Sottosede</w:t>
            </w:r>
            <w:proofErr w:type="spellEnd"/>
            <w:r w:rsidRPr="00B54866">
              <w:rPr>
                <w:rFonts w:cs="Arial"/>
                <w:i/>
                <w:color w:val="000000" w:themeColor="text1"/>
                <w:sz w:val="22"/>
              </w:rPr>
              <w:t xml:space="preserve"> del Centro Professionale Commerciale presso Villa Erica</w:t>
            </w:r>
          </w:p>
        </w:tc>
        <w:tc>
          <w:tcPr>
            <w:tcW w:w="1434" w:type="dxa"/>
            <w:tcBorders>
              <w:bottom w:val="single" w:sz="8" w:space="0" w:color="auto"/>
            </w:tcBorders>
            <w:vAlign w:val="center"/>
          </w:tcPr>
          <w:p w:rsidR="00F45EAC" w:rsidRPr="00B54866" w:rsidRDefault="00F45EAC" w:rsidP="008A6D59">
            <w:pPr>
              <w:rPr>
                <w:rFonts w:cs="Arial"/>
                <w:i/>
                <w:color w:val="000000" w:themeColor="text1"/>
                <w:sz w:val="22"/>
              </w:rPr>
            </w:pPr>
            <w:proofErr w:type="spellStart"/>
            <w:r w:rsidRPr="00B54866">
              <w:rPr>
                <w:rFonts w:cs="Arial"/>
                <w:i/>
                <w:color w:val="000000" w:themeColor="text1"/>
                <w:sz w:val="22"/>
              </w:rPr>
              <w:t>fr</w:t>
            </w:r>
            <w:proofErr w:type="spellEnd"/>
            <w:r w:rsidRPr="00B54866">
              <w:rPr>
                <w:rFonts w:cs="Arial"/>
                <w:i/>
                <w:color w:val="000000" w:themeColor="text1"/>
                <w:sz w:val="22"/>
              </w:rPr>
              <w:t>. / anno</w:t>
            </w:r>
          </w:p>
        </w:tc>
        <w:tc>
          <w:tcPr>
            <w:tcW w:w="1417" w:type="dxa"/>
            <w:tcBorders>
              <w:bottom w:val="single" w:sz="8" w:space="0" w:color="auto"/>
            </w:tcBorders>
            <w:shd w:val="clear" w:color="auto" w:fill="auto"/>
            <w:vAlign w:val="center"/>
          </w:tcPr>
          <w:p w:rsidR="00F45EAC" w:rsidRPr="00B54866" w:rsidRDefault="00F45EAC" w:rsidP="008A6D59">
            <w:pPr>
              <w:jc w:val="right"/>
              <w:rPr>
                <w:rFonts w:cs="Arial"/>
                <w:i/>
                <w:color w:val="000000" w:themeColor="text1"/>
                <w:sz w:val="22"/>
              </w:rPr>
            </w:pPr>
            <w:r w:rsidRPr="00B54866">
              <w:rPr>
                <w:rFonts w:cs="Arial"/>
                <w:b/>
                <w:i/>
                <w:color w:val="000000" w:themeColor="text1"/>
                <w:sz w:val="22"/>
              </w:rPr>
              <w:t>142’488</w:t>
            </w:r>
          </w:p>
        </w:tc>
      </w:tr>
      <w:tr w:rsidR="00F45EAC" w:rsidRPr="00B54866" w:rsidTr="008A6D59">
        <w:trPr>
          <w:trHeight w:hRule="exact" w:val="567"/>
        </w:trPr>
        <w:tc>
          <w:tcPr>
            <w:tcW w:w="6930" w:type="dxa"/>
            <w:tcBorders>
              <w:top w:val="single" w:sz="8" w:space="0" w:color="auto"/>
            </w:tcBorders>
            <w:shd w:val="clear" w:color="auto" w:fill="auto"/>
            <w:vAlign w:val="center"/>
          </w:tcPr>
          <w:p w:rsidR="00F45EAC" w:rsidRPr="00B54866" w:rsidRDefault="00F45EAC" w:rsidP="008A6D59">
            <w:pPr>
              <w:rPr>
                <w:rFonts w:cs="Arial"/>
                <w:b/>
                <w:i/>
                <w:color w:val="000000" w:themeColor="text1"/>
                <w:sz w:val="22"/>
              </w:rPr>
            </w:pPr>
            <w:r w:rsidRPr="00B54866">
              <w:rPr>
                <w:rFonts w:cs="Arial"/>
                <w:b/>
                <w:i/>
                <w:color w:val="000000" w:themeColor="text1"/>
                <w:sz w:val="22"/>
              </w:rPr>
              <w:t>Totale complessivo dei costi di gestione corrente</w:t>
            </w:r>
          </w:p>
        </w:tc>
        <w:tc>
          <w:tcPr>
            <w:tcW w:w="1434" w:type="dxa"/>
            <w:tcBorders>
              <w:top w:val="single" w:sz="8" w:space="0" w:color="auto"/>
            </w:tcBorders>
            <w:vAlign w:val="center"/>
          </w:tcPr>
          <w:p w:rsidR="00F45EAC" w:rsidRPr="00B54866" w:rsidRDefault="00F45EAC" w:rsidP="008A6D59">
            <w:pPr>
              <w:rPr>
                <w:rFonts w:cs="Arial"/>
                <w:i/>
                <w:color w:val="000000" w:themeColor="text1"/>
                <w:sz w:val="22"/>
              </w:rPr>
            </w:pPr>
            <w:proofErr w:type="spellStart"/>
            <w:r w:rsidRPr="00B54866">
              <w:rPr>
                <w:rFonts w:cs="Arial"/>
                <w:i/>
                <w:color w:val="000000" w:themeColor="text1"/>
                <w:sz w:val="22"/>
              </w:rPr>
              <w:t>fr</w:t>
            </w:r>
            <w:proofErr w:type="spellEnd"/>
            <w:r w:rsidRPr="00B54866">
              <w:rPr>
                <w:rFonts w:cs="Arial"/>
                <w:i/>
                <w:color w:val="000000" w:themeColor="text1"/>
                <w:sz w:val="22"/>
              </w:rPr>
              <w:t>. / anno</w:t>
            </w:r>
          </w:p>
        </w:tc>
        <w:tc>
          <w:tcPr>
            <w:tcW w:w="1417" w:type="dxa"/>
            <w:tcBorders>
              <w:top w:val="single" w:sz="8" w:space="0" w:color="auto"/>
            </w:tcBorders>
            <w:shd w:val="clear" w:color="auto" w:fill="auto"/>
            <w:vAlign w:val="center"/>
          </w:tcPr>
          <w:p w:rsidR="00F45EAC" w:rsidRPr="00B54866" w:rsidRDefault="00F45EAC" w:rsidP="008A6D59">
            <w:pPr>
              <w:jc w:val="right"/>
              <w:rPr>
                <w:rFonts w:cs="Arial"/>
                <w:b/>
                <w:i/>
                <w:color w:val="000000" w:themeColor="text1"/>
                <w:sz w:val="22"/>
              </w:rPr>
            </w:pPr>
            <w:r w:rsidRPr="00B54866">
              <w:rPr>
                <w:rFonts w:cs="Arial"/>
                <w:b/>
                <w:i/>
                <w:color w:val="000000" w:themeColor="text1"/>
                <w:sz w:val="22"/>
              </w:rPr>
              <w:t>664’427</w:t>
            </w:r>
          </w:p>
        </w:tc>
      </w:tr>
    </w:tbl>
    <w:p w:rsidR="00F45EAC" w:rsidRPr="00302D87" w:rsidRDefault="00F45EAC" w:rsidP="00B54866"/>
    <w:bookmarkEnd w:id="1"/>
    <w:p w:rsidR="00F45EAC" w:rsidRDefault="00F45EAC" w:rsidP="00F45EAC">
      <w:pPr>
        <w:tabs>
          <w:tab w:val="left" w:pos="709"/>
        </w:tabs>
      </w:pPr>
    </w:p>
    <w:p w:rsidR="00F45EAC" w:rsidRDefault="00F45EAC" w:rsidP="00F45EAC"/>
    <w:p w:rsidR="00F45EAC" w:rsidRDefault="00F45EAC" w:rsidP="00B54866">
      <w:pPr>
        <w:pStyle w:val="Titolo1"/>
      </w:pPr>
      <w:r w:rsidRPr="00F9598C">
        <w:t>CONSIDERAZIONI COMMISSIONALI</w:t>
      </w:r>
    </w:p>
    <w:p w:rsidR="00F45EAC" w:rsidRPr="00337BB6" w:rsidRDefault="00F45EAC" w:rsidP="00F45EAC">
      <w:pPr>
        <w:rPr>
          <w:color w:val="000000" w:themeColor="text1"/>
        </w:rPr>
      </w:pPr>
      <w:r w:rsidRPr="00337BB6">
        <w:rPr>
          <w:color w:val="000000" w:themeColor="text1"/>
        </w:rPr>
        <w:t xml:space="preserve">La Commissione della gestione e delle finanze inizia con il </w:t>
      </w:r>
      <w:r w:rsidRPr="00307468">
        <w:rPr>
          <w:b/>
          <w:color w:val="000000" w:themeColor="text1"/>
        </w:rPr>
        <w:t>salutare positivamente l’arrivo e soprattutto l’impostazione del messaggio governativo</w:t>
      </w:r>
      <w:r w:rsidRPr="00337BB6">
        <w:rPr>
          <w:color w:val="000000" w:themeColor="text1"/>
        </w:rPr>
        <w:t>, che presuppone un lavoro di coordinamento non indifferente per la fase transitoria; lavoro peraltro eseguito tenendo conto degli sviluppi futuri e, laddove possibile, anticipando soluzioni definitive</w:t>
      </w:r>
      <w:r>
        <w:rPr>
          <w:color w:val="000000" w:themeColor="text1"/>
        </w:rPr>
        <w:t>, come ad esempio l’ubicazione del Centro professionale commerciale (CPC)</w:t>
      </w:r>
      <w:r w:rsidRPr="00337BB6">
        <w:rPr>
          <w:color w:val="000000" w:themeColor="text1"/>
        </w:rPr>
        <w:t>.</w:t>
      </w:r>
      <w:r>
        <w:rPr>
          <w:color w:val="000000" w:themeColor="text1"/>
        </w:rPr>
        <w:t xml:space="preserve"> La Commissione condivide inoltre la necessità – e l’urgenza – dell’intervento stesso, </w:t>
      </w:r>
      <w:r w:rsidRPr="00307468">
        <w:rPr>
          <w:b/>
          <w:color w:val="000000" w:themeColor="text1"/>
        </w:rPr>
        <w:t>vista l’indubbia precarietà logistica ed estetica dell’attuale Pretorio, a cui occorre al più ridare la giusta dignità operativa e istituzionale.</w:t>
      </w:r>
      <w:r>
        <w:rPr>
          <w:color w:val="000000" w:themeColor="text1"/>
        </w:rPr>
        <w:t xml:space="preserve"> </w:t>
      </w:r>
    </w:p>
    <w:p w:rsidR="00F45EAC" w:rsidRPr="00337BB6" w:rsidRDefault="00F45EAC" w:rsidP="00F45EAC">
      <w:pPr>
        <w:rPr>
          <w:color w:val="000000" w:themeColor="text1"/>
        </w:rPr>
      </w:pPr>
    </w:p>
    <w:p w:rsidR="00F45EAC" w:rsidRPr="009F6D8D" w:rsidRDefault="00F45EAC" w:rsidP="00F45EAC">
      <w:pPr>
        <w:rPr>
          <w:rFonts w:cs="Arial"/>
          <w:color w:val="C0504D" w:themeColor="accent2"/>
          <w:szCs w:val="24"/>
        </w:rPr>
      </w:pPr>
      <w:r w:rsidRPr="00337BB6">
        <w:rPr>
          <w:color w:val="000000" w:themeColor="text1"/>
        </w:rPr>
        <w:t>Un primo quesito oggetto di approfondimenti da parte del</w:t>
      </w:r>
      <w:r>
        <w:rPr>
          <w:color w:val="000000" w:themeColor="text1"/>
        </w:rPr>
        <w:t>la Commissione gestione e finanze</w:t>
      </w:r>
      <w:r w:rsidRPr="00337BB6">
        <w:rPr>
          <w:color w:val="000000" w:themeColor="text1"/>
        </w:rPr>
        <w:t xml:space="preserve"> è stato relativamente alle </w:t>
      </w:r>
      <w:r w:rsidRPr="008E7463">
        <w:rPr>
          <w:b/>
          <w:color w:val="000000" w:themeColor="text1"/>
        </w:rPr>
        <w:t>tempistiche di realizzazione del Pretorio</w:t>
      </w:r>
      <w:r w:rsidRPr="00337BB6">
        <w:rPr>
          <w:color w:val="000000" w:themeColor="text1"/>
        </w:rPr>
        <w:t>, per il quale il messaggio governativo chiede il credito di p</w:t>
      </w:r>
      <w:r>
        <w:rPr>
          <w:color w:val="000000" w:themeColor="text1"/>
        </w:rPr>
        <w:t>rogettazione. La Sezione della L</w:t>
      </w:r>
      <w:r w:rsidRPr="00337BB6">
        <w:rPr>
          <w:color w:val="000000" w:themeColor="text1"/>
        </w:rPr>
        <w:t xml:space="preserve">ogistica ha </w:t>
      </w:r>
      <w:r w:rsidRPr="00337BB6">
        <w:rPr>
          <w:color w:val="000000" w:themeColor="text1"/>
        </w:rPr>
        <w:lastRenderedPageBreak/>
        <w:t xml:space="preserve">confermato l’attendibilità della pianificazione temporale </w:t>
      </w:r>
      <w:r>
        <w:rPr>
          <w:color w:val="000000" w:themeColor="text1"/>
        </w:rPr>
        <w:t>(illustrata a</w:t>
      </w:r>
      <w:r w:rsidRPr="00337BB6">
        <w:rPr>
          <w:color w:val="000000" w:themeColor="text1"/>
        </w:rPr>
        <w:t xml:space="preserve"> pagi</w:t>
      </w:r>
      <w:r>
        <w:rPr>
          <w:color w:val="000000" w:themeColor="text1"/>
        </w:rPr>
        <w:t>na 29 del messaggio governativo)</w:t>
      </w:r>
      <w:r w:rsidRPr="00337BB6">
        <w:rPr>
          <w:color w:val="000000" w:themeColor="text1"/>
        </w:rPr>
        <w:t>, motivando ogni scelta</w:t>
      </w:r>
      <w:r>
        <w:rPr>
          <w:color w:val="000000" w:themeColor="text1"/>
        </w:rPr>
        <w:t xml:space="preserve"> effettuata</w:t>
      </w:r>
      <w:r w:rsidRPr="00337BB6">
        <w:rPr>
          <w:color w:val="000000" w:themeColor="text1"/>
        </w:rPr>
        <w:t>: dal concorso in due fasi (</w:t>
      </w:r>
      <w:r w:rsidRPr="00337BB6">
        <w:rPr>
          <w:rFonts w:cs="Arial"/>
          <w:color w:val="000000" w:themeColor="text1"/>
          <w:szCs w:val="24"/>
        </w:rPr>
        <w:t>prequalifica e poi il concorso vero e proprio</w:t>
      </w:r>
      <w:r w:rsidRPr="00337BB6">
        <w:rPr>
          <w:color w:val="000000" w:themeColor="text1"/>
        </w:rPr>
        <w:t xml:space="preserve">) </w:t>
      </w:r>
      <w:r w:rsidRPr="00337BB6">
        <w:rPr>
          <w:rFonts w:cs="Arial"/>
          <w:color w:val="000000" w:themeColor="text1"/>
          <w:szCs w:val="24"/>
        </w:rPr>
        <w:t xml:space="preserve">all’incertezza di un nuovo passaggio in Gran Consiglio per il credito di realizzazione, passando per i tempi di </w:t>
      </w:r>
      <w:r>
        <w:rPr>
          <w:rFonts w:cs="Arial"/>
          <w:color w:val="000000" w:themeColor="text1"/>
          <w:szCs w:val="24"/>
        </w:rPr>
        <w:t>lavoro</w:t>
      </w:r>
      <w:r w:rsidRPr="00337BB6">
        <w:rPr>
          <w:rFonts w:cs="Arial"/>
          <w:color w:val="000000" w:themeColor="text1"/>
          <w:szCs w:val="24"/>
        </w:rPr>
        <w:t xml:space="preserve"> </w:t>
      </w:r>
      <w:r>
        <w:rPr>
          <w:rFonts w:cs="Arial"/>
          <w:color w:val="000000" w:themeColor="text1"/>
          <w:szCs w:val="24"/>
        </w:rPr>
        <w:t xml:space="preserve">leggermente dilatati </w:t>
      </w:r>
      <w:r w:rsidRPr="00337BB6">
        <w:rPr>
          <w:rFonts w:cs="Arial"/>
          <w:color w:val="000000" w:themeColor="text1"/>
          <w:szCs w:val="24"/>
        </w:rPr>
        <w:t>in ragione del fatto che si tratta d</w:t>
      </w:r>
      <w:r>
        <w:rPr>
          <w:rFonts w:cs="Arial"/>
          <w:color w:val="000000" w:themeColor="text1"/>
          <w:szCs w:val="24"/>
        </w:rPr>
        <w:t>i un bene protetto che necessita</w:t>
      </w:r>
      <w:r w:rsidRPr="00337BB6">
        <w:rPr>
          <w:rFonts w:cs="Arial"/>
          <w:color w:val="000000" w:themeColor="text1"/>
          <w:szCs w:val="24"/>
        </w:rPr>
        <w:t xml:space="preserve"> di lavori particolari</w:t>
      </w:r>
      <w:r>
        <w:rPr>
          <w:rFonts w:cs="Arial"/>
          <w:color w:val="000000" w:themeColor="text1"/>
          <w:szCs w:val="24"/>
        </w:rPr>
        <w:t xml:space="preserve"> (e non di una semplice costruzione)</w:t>
      </w:r>
      <w:r w:rsidRPr="00337BB6">
        <w:rPr>
          <w:rFonts w:cs="Arial"/>
          <w:color w:val="000000" w:themeColor="text1"/>
          <w:szCs w:val="24"/>
        </w:rPr>
        <w:t>.</w:t>
      </w:r>
      <w:r>
        <w:rPr>
          <w:rFonts w:cs="Arial"/>
          <w:color w:val="000000" w:themeColor="text1"/>
          <w:szCs w:val="24"/>
        </w:rPr>
        <w:t xml:space="preserve"> Da qui la giustificazione all’affitto per 10 anni in particolare dell’ex sede Credit </w:t>
      </w:r>
      <w:proofErr w:type="spellStart"/>
      <w:r>
        <w:rPr>
          <w:rFonts w:cs="Arial"/>
          <w:color w:val="000000" w:themeColor="text1"/>
          <w:szCs w:val="24"/>
        </w:rPr>
        <w:t>Suisse</w:t>
      </w:r>
      <w:proofErr w:type="spellEnd"/>
      <w:r>
        <w:rPr>
          <w:rFonts w:cs="Arial"/>
          <w:color w:val="000000" w:themeColor="text1"/>
          <w:szCs w:val="24"/>
        </w:rPr>
        <w:t xml:space="preserve">, che secondo la Logistica </w:t>
      </w:r>
      <w:r w:rsidRPr="00EF0AA2">
        <w:rPr>
          <w:rFonts w:cs="Arial"/>
          <w:color w:val="000000" w:themeColor="text1"/>
          <w:szCs w:val="24"/>
        </w:rPr>
        <w:t xml:space="preserve">è </w:t>
      </w:r>
      <w:r>
        <w:rPr>
          <w:rFonts w:cs="Arial"/>
          <w:color w:val="000000" w:themeColor="text1"/>
          <w:szCs w:val="24"/>
        </w:rPr>
        <w:t xml:space="preserve">un tempo </w:t>
      </w:r>
      <w:r w:rsidRPr="00EF0AA2">
        <w:rPr>
          <w:rFonts w:cs="Arial"/>
          <w:color w:val="000000" w:themeColor="text1"/>
          <w:szCs w:val="24"/>
        </w:rPr>
        <w:t>realistico. A titolo di paragone si sono verificate le tempistiche relative alla realizzazione del Tribunale Federale di Bellinzona, il cui cantiere è iniziato nel maggio 2010 e la cui inaugurazione è avvenuta nell’ottobre del 2013. Ritenuto che il progetto del Palazzo del Pretorio non potrà prevedere la demolizione e la ricostruzione di parte dell’edificio come nel caso del Tribunale Federale, la Sezione della Logistica ha valutato che ci potrebbero essere dei minori rendimenti</w:t>
      </w:r>
      <w:r>
        <w:rPr>
          <w:rFonts w:cs="Arial"/>
          <w:color w:val="000000" w:themeColor="text1"/>
          <w:szCs w:val="24"/>
        </w:rPr>
        <w:t xml:space="preserve"> nell’avanzamento del cantiere,</w:t>
      </w:r>
      <w:r w:rsidRPr="00EF0AA2">
        <w:rPr>
          <w:rFonts w:cs="Arial"/>
          <w:color w:val="000000" w:themeColor="text1"/>
          <w:szCs w:val="24"/>
        </w:rPr>
        <w:t xml:space="preserve"> di conseguenza ha inserito preventivamente </w:t>
      </w:r>
      <w:r w:rsidRPr="009F6D8D">
        <w:rPr>
          <w:rFonts w:cs="Arial"/>
          <w:color w:val="000000" w:themeColor="text1"/>
          <w:szCs w:val="24"/>
        </w:rPr>
        <w:t>circa 6 mesi di riserva (riserva che sarebbe comunque già bruciata se dovesse esserci un ricorso in una procedura d’appalto sul cammino).</w:t>
      </w:r>
    </w:p>
    <w:p w:rsidR="00F45EAC" w:rsidRPr="009F6D8D" w:rsidRDefault="00F45EAC" w:rsidP="00F45EAC">
      <w:pPr>
        <w:rPr>
          <w:rFonts w:cs="Arial"/>
          <w:color w:val="000000" w:themeColor="text1"/>
          <w:szCs w:val="24"/>
        </w:rPr>
      </w:pPr>
    </w:p>
    <w:p w:rsidR="00F45EAC" w:rsidRPr="00F21533" w:rsidRDefault="00F45EAC" w:rsidP="00F45EAC">
      <w:pPr>
        <w:rPr>
          <w:rFonts w:cs="Arial"/>
          <w:color w:val="C00000"/>
          <w:szCs w:val="24"/>
        </w:rPr>
      </w:pPr>
      <w:r w:rsidRPr="009F6D8D">
        <w:rPr>
          <w:rFonts w:cs="Arial"/>
          <w:color w:val="000000" w:themeColor="text1"/>
          <w:szCs w:val="24"/>
        </w:rPr>
        <w:t xml:space="preserve">Un secondo approfondimento è relativo a una </w:t>
      </w:r>
      <w:r w:rsidRPr="009F6D8D">
        <w:rPr>
          <w:rFonts w:cs="Arial"/>
          <w:b/>
          <w:color w:val="000000" w:themeColor="text1"/>
          <w:szCs w:val="24"/>
        </w:rPr>
        <w:t xml:space="preserve">questione </w:t>
      </w:r>
      <w:proofErr w:type="spellStart"/>
      <w:r w:rsidRPr="009F6D8D">
        <w:rPr>
          <w:rFonts w:cs="Arial"/>
          <w:b/>
          <w:color w:val="000000" w:themeColor="text1"/>
          <w:szCs w:val="24"/>
        </w:rPr>
        <w:t>pianificatoria</w:t>
      </w:r>
      <w:proofErr w:type="spellEnd"/>
      <w:r w:rsidRPr="009F6D8D">
        <w:rPr>
          <w:rFonts w:cs="Arial"/>
          <w:color w:val="000000" w:themeColor="text1"/>
          <w:szCs w:val="24"/>
        </w:rPr>
        <w:t>. È infatti sorto il dubbio che, dopo la realizzazione del nuovo stabile amministrativo a Locarno, la particella non disponga più di indici per consentire in particolare la chiusura della corte</w:t>
      </w:r>
      <w:r>
        <w:rPr>
          <w:rFonts w:cs="Arial"/>
          <w:color w:val="000000" w:themeColor="text1"/>
          <w:szCs w:val="24"/>
        </w:rPr>
        <w:t xml:space="preserve">. </w:t>
      </w:r>
      <w:r w:rsidRPr="009F6D8D">
        <w:rPr>
          <w:rFonts w:cs="Arial"/>
          <w:color w:val="000000" w:themeColor="text1"/>
          <w:szCs w:val="24"/>
        </w:rPr>
        <w:t>Sollecitata in tal senso, la Sezione della Logistica ha risposto che nel messaggio governativo è stata inserita un’ipotesi di lavoro che prevede lo sfruttamento del volume massimo costruibile nel rispetto del Piano particolareggiato del quartiere Rusca, il quale indica che il 40% della superficie deve rimanere libera e aperta all’uso pubblico e di conseguenza valutarne i costi di progettazione. Tale ipotesi – hanno specificato i Servizi</w:t>
      </w:r>
      <w:r>
        <w:rPr>
          <w:rFonts w:cs="Arial"/>
          <w:color w:val="000000" w:themeColor="text1"/>
          <w:szCs w:val="24"/>
        </w:rPr>
        <w:t xml:space="preserve"> cantonali</w:t>
      </w:r>
      <w:r w:rsidRPr="009F6D8D">
        <w:rPr>
          <w:rFonts w:cs="Arial"/>
          <w:color w:val="000000" w:themeColor="text1"/>
          <w:szCs w:val="24"/>
        </w:rPr>
        <w:t xml:space="preserve"> – dovrà essere confermata in fase di perfezionamento del bando del concorso di progetto e nella valutazione dei progetti pervenuti, il tutto in collaborazione con l’Ufficio dei beni culturali e la Città di Locarno.</w:t>
      </w:r>
      <w:r>
        <w:rPr>
          <w:rFonts w:cs="Arial"/>
          <w:color w:val="000000" w:themeColor="text1"/>
          <w:szCs w:val="24"/>
        </w:rPr>
        <w:t xml:space="preserve"> </w:t>
      </w:r>
      <w:r w:rsidRPr="003D2F1B">
        <w:rPr>
          <w:rFonts w:cs="Arial"/>
          <w:b/>
          <w:color w:val="000000" w:themeColor="text1"/>
          <w:szCs w:val="24"/>
        </w:rPr>
        <w:t>Visto quanto precede, la Commissione gestione e finanze invita Cantone e Città di Locarno a ben coordinarsi – e di farlo a breve – in modo da evitare spiacevoli disguidi durante il percorso.</w:t>
      </w:r>
      <w:r w:rsidRPr="003D2F1B">
        <w:rPr>
          <w:rFonts w:cs="Arial"/>
          <w:color w:val="000000" w:themeColor="text1"/>
          <w:szCs w:val="24"/>
        </w:rPr>
        <w:t xml:space="preserve">   </w:t>
      </w:r>
    </w:p>
    <w:p w:rsidR="00F45EAC" w:rsidRPr="00307468" w:rsidRDefault="00F45EAC" w:rsidP="00B54866"/>
    <w:p w:rsidR="00F45EAC" w:rsidRDefault="00F45EAC" w:rsidP="00F45EAC">
      <w:pPr>
        <w:rPr>
          <w:color w:val="000000" w:themeColor="text1"/>
        </w:rPr>
      </w:pPr>
      <w:r w:rsidRPr="007D1A5A">
        <w:rPr>
          <w:color w:val="000000" w:themeColor="text1"/>
        </w:rPr>
        <w:t xml:space="preserve">Un aspetto </w:t>
      </w:r>
      <w:r>
        <w:rPr>
          <w:color w:val="000000" w:themeColor="text1"/>
        </w:rPr>
        <w:t xml:space="preserve">politicamente </w:t>
      </w:r>
      <w:r w:rsidRPr="007D1A5A">
        <w:rPr>
          <w:color w:val="000000" w:themeColor="text1"/>
        </w:rPr>
        <w:t xml:space="preserve">sensibile è </w:t>
      </w:r>
      <w:r>
        <w:rPr>
          <w:color w:val="000000" w:themeColor="text1"/>
        </w:rPr>
        <w:t xml:space="preserve">invece </w:t>
      </w:r>
      <w:r w:rsidRPr="007D1A5A">
        <w:rPr>
          <w:color w:val="000000" w:themeColor="text1"/>
        </w:rPr>
        <w:t xml:space="preserve">lo spostamento dell’Ufficio stime a Bellinzona – con il mantenimento a Locarno di una semplice antenna (un ufficio) – e della Corte di appello e revisione penale (CARP) a Lugano. </w:t>
      </w:r>
    </w:p>
    <w:p w:rsidR="00F45EAC" w:rsidRDefault="00F45EAC" w:rsidP="00F45EAC">
      <w:pPr>
        <w:rPr>
          <w:color w:val="000000" w:themeColor="text1"/>
        </w:rPr>
      </w:pPr>
      <w:r>
        <w:rPr>
          <w:color w:val="000000" w:themeColor="text1"/>
        </w:rPr>
        <w:t>Per quanto riguarda l’</w:t>
      </w:r>
      <w:r w:rsidRPr="00DD0C4D">
        <w:rPr>
          <w:b/>
          <w:color w:val="000000" w:themeColor="text1"/>
        </w:rPr>
        <w:t>Ufficio stima</w:t>
      </w:r>
      <w:r>
        <w:rPr>
          <w:color w:val="000000" w:themeColor="text1"/>
        </w:rPr>
        <w:t xml:space="preserve">, tale decisione rientra nel processo di riorganizzazione del servizio con l’intento di migliorare i processi lavorativi e adottare le procedure più adeguate alla realtà corrente, ma anche una prassi più uniforme nei confronti dei cittadini di tutte le regioni del Cantone. Tale riorganizzazione prevede, dopo una tappa intermedia, una sede centrale per il </w:t>
      </w:r>
      <w:proofErr w:type="spellStart"/>
      <w:r>
        <w:rPr>
          <w:color w:val="000000" w:themeColor="text1"/>
        </w:rPr>
        <w:t>Sopraceneri</w:t>
      </w:r>
      <w:proofErr w:type="spellEnd"/>
      <w:r>
        <w:rPr>
          <w:color w:val="000000" w:themeColor="text1"/>
        </w:rPr>
        <w:t xml:space="preserve"> e una per il </w:t>
      </w:r>
      <w:proofErr w:type="spellStart"/>
      <w:r>
        <w:rPr>
          <w:color w:val="000000" w:themeColor="text1"/>
        </w:rPr>
        <w:t>Sottoceneri</w:t>
      </w:r>
      <w:proofErr w:type="spellEnd"/>
      <w:r>
        <w:rPr>
          <w:color w:val="000000" w:themeColor="text1"/>
        </w:rPr>
        <w:t xml:space="preserve">, con la presenza però di antenne nelle diverse regioni del Cantone, fra le quali evidentemente il Locarnese, dove si trovano più di 100'000 beni. La Divisione Economia ha in questo senso confermato che la sede locarnese dell’Ufficio stima continuerà ad essere utilizzata in modo efficace e razionale per le attività che si prevedono di eseguire a Locarno e nei Comuni confinanti. </w:t>
      </w:r>
      <w:r w:rsidRPr="00224137">
        <w:rPr>
          <w:b/>
          <w:color w:val="000000" w:themeColor="text1"/>
        </w:rPr>
        <w:t xml:space="preserve">La Commissione gestione e finanze non si oppone a tale riorganizzazione, peraltro già avvenuta, ma chiede al Dipartimento competente di effettuare una valutazione dell’operazione prima del credito di </w:t>
      </w:r>
      <w:r>
        <w:rPr>
          <w:b/>
          <w:color w:val="000000" w:themeColor="text1"/>
        </w:rPr>
        <w:t>realizzazione</w:t>
      </w:r>
      <w:r w:rsidRPr="00224137">
        <w:rPr>
          <w:b/>
          <w:color w:val="000000" w:themeColor="text1"/>
        </w:rPr>
        <w:t xml:space="preserve"> (2023), in modo da se del caso essere ancora in tempo per tornare sui propri passi includendo il servizio nel futuro Pretorio.</w:t>
      </w:r>
      <w:r>
        <w:rPr>
          <w:color w:val="000000" w:themeColor="text1"/>
        </w:rPr>
        <w:t xml:space="preserve">  </w:t>
      </w:r>
    </w:p>
    <w:p w:rsidR="00F45EAC" w:rsidRPr="009F6D8D" w:rsidRDefault="00F45EAC" w:rsidP="00F45EAC">
      <w:pPr>
        <w:widowControl w:val="0"/>
        <w:autoSpaceDE w:val="0"/>
        <w:autoSpaceDN w:val="0"/>
        <w:adjustRightInd w:val="0"/>
        <w:rPr>
          <w:rFonts w:ascii="Helvetica" w:hAnsi="Helvetica" w:cs="Helvetica"/>
          <w:sz w:val="23"/>
          <w:szCs w:val="23"/>
          <w:lang w:eastAsia="it-CH"/>
        </w:rPr>
      </w:pPr>
      <w:r>
        <w:rPr>
          <w:color w:val="000000" w:themeColor="text1"/>
        </w:rPr>
        <w:t>Per quanto riguarda la</w:t>
      </w:r>
      <w:r w:rsidRPr="00F2209F">
        <w:rPr>
          <w:color w:val="000000" w:themeColor="text1"/>
        </w:rPr>
        <w:t xml:space="preserve"> </w:t>
      </w:r>
      <w:r w:rsidRPr="00914343">
        <w:rPr>
          <w:b/>
          <w:color w:val="000000" w:themeColor="text1"/>
        </w:rPr>
        <w:t>Corte di appello e revisione penale (CARP)</w:t>
      </w:r>
      <w:r>
        <w:rPr>
          <w:color w:val="000000" w:themeColor="text1"/>
        </w:rPr>
        <w:t xml:space="preserve">, il suo insediamento a Locarno è stato deciso nel 2009 (cfr. messaggio governativo n. 6304; </w:t>
      </w:r>
      <w:r w:rsidRPr="00914343">
        <w:rPr>
          <w:bCs/>
          <w:i/>
          <w:color w:val="000000" w:themeColor="text1"/>
        </w:rPr>
        <w:t>Richiesta di un credito di 1'250'000 franchi per la sistemazione logistica del Palazzo del Pretorio di Locarno per consentire l’avvio dell’attività della Corte di appello e di revisione penale e modifica della legge sull’organizzazione giudiziaria</w:t>
      </w:r>
      <w:r w:rsidRPr="00914343">
        <w:rPr>
          <w:bCs/>
          <w:color w:val="000000" w:themeColor="text1"/>
        </w:rPr>
        <w:t>)</w:t>
      </w:r>
      <w:r>
        <w:rPr>
          <w:color w:val="000000" w:themeColor="text1"/>
        </w:rPr>
        <w:t xml:space="preserve"> con la qualifica di “temporaneo”. Così </w:t>
      </w:r>
      <w:r>
        <w:rPr>
          <w:color w:val="000000" w:themeColor="text1"/>
        </w:rPr>
        <w:lastRenderedPageBreak/>
        <w:t>si era espresso il Consiglio di Stato: “</w:t>
      </w:r>
      <w:r w:rsidRPr="00914343">
        <w:rPr>
          <w:rFonts w:ascii="Helvetica" w:hAnsi="Helvetica" w:cs="Helvetica"/>
          <w:i/>
          <w:sz w:val="23"/>
          <w:szCs w:val="23"/>
          <w:lang w:eastAsia="it-CH"/>
        </w:rPr>
        <w:t>Nel disegno di articolo 42 capoverso 1 LOG allegato al messaggio n. 6165 si precisa che il Tribunale di appello ha sede a Lugano. Per fornire una base legale chiara e esplicita al fatto che la Corte di appello e di revisione penale si installi in via temporanea e non definitiva a Locarno, proponiamo di inserire una specifica norma transitoria nella legge sull’organizzazione giudiziaria</w:t>
      </w:r>
      <w:r>
        <w:rPr>
          <w:rFonts w:ascii="Helvetica" w:hAnsi="Helvetica" w:cs="Helvetica"/>
          <w:sz w:val="23"/>
          <w:szCs w:val="23"/>
          <w:lang w:eastAsia="it-CH"/>
        </w:rPr>
        <w:t>”. La norma transitoria dell’articolo 42 afferma quindi che “</w:t>
      </w:r>
      <w:r w:rsidRPr="00F537E0">
        <w:rPr>
          <w:rFonts w:ascii="Helvetica" w:hAnsi="Helvetica" w:cs="Helvetica"/>
          <w:i/>
          <w:sz w:val="23"/>
          <w:szCs w:val="23"/>
          <w:lang w:eastAsia="it-CH"/>
        </w:rPr>
        <w:t>La sede della Corte di appello e di revisione penale è, in via temporanea, a Locarno</w:t>
      </w:r>
      <w:r>
        <w:rPr>
          <w:rFonts w:ascii="Helvetica" w:hAnsi="Helvetica" w:cs="Helvetica"/>
          <w:sz w:val="23"/>
          <w:szCs w:val="23"/>
          <w:lang w:eastAsia="it-CH"/>
        </w:rPr>
        <w:t>”</w:t>
      </w:r>
      <w:r w:rsidRPr="00914343">
        <w:rPr>
          <w:rFonts w:ascii="Helvetica" w:hAnsi="Helvetica" w:cs="Helvetica"/>
          <w:sz w:val="23"/>
          <w:szCs w:val="23"/>
          <w:lang w:eastAsia="it-CH"/>
        </w:rPr>
        <w:t>.</w:t>
      </w:r>
      <w:r>
        <w:rPr>
          <w:rFonts w:ascii="Helvetica" w:hAnsi="Helvetica" w:cs="Helvetica"/>
          <w:sz w:val="23"/>
          <w:szCs w:val="23"/>
          <w:lang w:eastAsia="it-CH"/>
        </w:rPr>
        <w:t xml:space="preserve"> Il messaggio governativo specifica però anche che “</w:t>
      </w:r>
      <w:r w:rsidRPr="00914343">
        <w:rPr>
          <w:rFonts w:ascii="Helvetica" w:hAnsi="Helvetica" w:cs="Helvetica"/>
          <w:i/>
          <w:sz w:val="23"/>
          <w:szCs w:val="23"/>
          <w:lang w:eastAsia="it-CH"/>
        </w:rPr>
        <w:t>La soluzione proposta potrà essere riesaminata al termine dello studio di cui si detto sopra circa la separazione delle tre Sezioni che compongono il Tribunale d’appello</w:t>
      </w:r>
      <w:r>
        <w:rPr>
          <w:rFonts w:ascii="Helvetica" w:hAnsi="Helvetica" w:cs="Helvetica"/>
          <w:sz w:val="23"/>
          <w:szCs w:val="23"/>
          <w:lang w:eastAsia="it-CH"/>
        </w:rPr>
        <w:t xml:space="preserve">”. </w:t>
      </w:r>
      <w:r w:rsidRPr="00224137">
        <w:rPr>
          <w:rFonts w:ascii="Helvetica" w:hAnsi="Helvetica" w:cs="Helvetica"/>
          <w:b/>
          <w:sz w:val="23"/>
          <w:szCs w:val="23"/>
          <w:lang w:eastAsia="it-CH"/>
        </w:rPr>
        <w:t xml:space="preserve">La Commissione gestione e finanze invita pertanto il Consiglio di Stato a valutare attentamente se non mantenere la CARP a Locarno, in un’ottica </w:t>
      </w:r>
      <w:r>
        <w:rPr>
          <w:rFonts w:ascii="Helvetica" w:hAnsi="Helvetica" w:cs="Helvetica"/>
          <w:b/>
          <w:sz w:val="23"/>
          <w:szCs w:val="23"/>
          <w:lang w:eastAsia="it-CH"/>
        </w:rPr>
        <w:t>non solo di distribuzione regionale, ma soprattutto</w:t>
      </w:r>
      <w:r w:rsidRPr="00224137">
        <w:rPr>
          <w:rFonts w:ascii="Helvetica" w:hAnsi="Helvetica" w:cs="Helvetica"/>
          <w:b/>
          <w:sz w:val="23"/>
          <w:szCs w:val="23"/>
          <w:lang w:eastAsia="it-CH"/>
        </w:rPr>
        <w:t xml:space="preserve"> di separazione </w:t>
      </w:r>
      <w:r>
        <w:rPr>
          <w:rFonts w:ascii="Helvetica" w:hAnsi="Helvetica" w:cs="Helvetica"/>
          <w:b/>
          <w:sz w:val="23"/>
          <w:szCs w:val="23"/>
          <w:lang w:eastAsia="it-CH"/>
        </w:rPr>
        <w:t xml:space="preserve">anche fisica </w:t>
      </w:r>
      <w:r w:rsidRPr="00224137">
        <w:rPr>
          <w:rFonts w:ascii="Helvetica" w:hAnsi="Helvetica" w:cs="Helvetica"/>
          <w:b/>
          <w:sz w:val="23"/>
          <w:szCs w:val="23"/>
          <w:lang w:eastAsia="it-CH"/>
        </w:rPr>
        <w:t xml:space="preserve">tra primo e secondo grado, rendendo </w:t>
      </w:r>
      <w:r>
        <w:rPr>
          <w:rFonts w:ascii="Helvetica" w:hAnsi="Helvetica" w:cs="Helvetica"/>
          <w:b/>
          <w:sz w:val="23"/>
          <w:szCs w:val="23"/>
          <w:lang w:eastAsia="it-CH"/>
        </w:rPr>
        <w:t xml:space="preserve">di conseguenza </w:t>
      </w:r>
      <w:r w:rsidRPr="00224137">
        <w:rPr>
          <w:rFonts w:ascii="Helvetica" w:hAnsi="Helvetica" w:cs="Helvetica"/>
          <w:b/>
          <w:sz w:val="23"/>
          <w:szCs w:val="23"/>
          <w:lang w:eastAsia="it-CH"/>
        </w:rPr>
        <w:t>definitiva la norma transitoria.</w:t>
      </w:r>
      <w:r w:rsidRPr="00F537E0">
        <w:rPr>
          <w:rFonts w:ascii="Helvetica" w:hAnsi="Helvetica" w:cs="Helvetica"/>
          <w:b/>
          <w:sz w:val="23"/>
          <w:szCs w:val="23"/>
          <w:lang w:eastAsia="it-CH"/>
        </w:rPr>
        <w:t xml:space="preserve"> </w:t>
      </w:r>
    </w:p>
    <w:p w:rsidR="00F45EAC" w:rsidRDefault="00F45EAC" w:rsidP="00B54866"/>
    <w:p w:rsidR="00F45EAC" w:rsidRDefault="00F45EAC" w:rsidP="00F45EAC">
      <w:pPr>
        <w:rPr>
          <w:b/>
          <w:color w:val="000000" w:themeColor="text1"/>
        </w:rPr>
      </w:pPr>
      <w:r w:rsidRPr="00F2209F">
        <w:rPr>
          <w:color w:val="000000" w:themeColor="text1"/>
        </w:rPr>
        <w:t xml:space="preserve">In generale, per potersi eventualmente permettere in futuro di recepire nuove esigenze di spazio e di servizio, </w:t>
      </w:r>
      <w:r w:rsidRPr="00B6576D">
        <w:rPr>
          <w:b/>
          <w:color w:val="000000" w:themeColor="text1"/>
        </w:rPr>
        <w:t>la Commissione gestione e finanze chiede che nella progettazione possa essere valutata l’opzione di ricavare – se non ci sono problemi a livelli</w:t>
      </w:r>
      <w:r>
        <w:rPr>
          <w:b/>
          <w:color w:val="000000" w:themeColor="text1"/>
        </w:rPr>
        <w:t xml:space="preserve"> di indici</w:t>
      </w:r>
      <w:r w:rsidRPr="00B6576D">
        <w:rPr>
          <w:b/>
          <w:color w:val="000000" w:themeColor="text1"/>
        </w:rPr>
        <w:t xml:space="preserve"> – maggiori spazi possibili anche nel sottotetto, lasciando una buona liber</w:t>
      </w:r>
      <w:r>
        <w:rPr>
          <w:b/>
          <w:color w:val="000000" w:themeColor="text1"/>
        </w:rPr>
        <w:t xml:space="preserve">tà nel concorso di architettura, in modo da garantirsi la necessaria flessibilità </w:t>
      </w:r>
      <w:r w:rsidRPr="003D2F1B">
        <w:rPr>
          <w:b/>
          <w:color w:val="000000" w:themeColor="text1"/>
        </w:rPr>
        <w:t>per le esigenze del futuro</w:t>
      </w:r>
      <w:r>
        <w:rPr>
          <w:b/>
          <w:color w:val="000000" w:themeColor="text1"/>
        </w:rPr>
        <w:t>.</w:t>
      </w:r>
    </w:p>
    <w:p w:rsidR="00F45EAC" w:rsidRDefault="00F45EAC" w:rsidP="00F45EAC">
      <w:pPr>
        <w:rPr>
          <w:b/>
          <w:color w:val="000000" w:themeColor="text1"/>
        </w:rPr>
      </w:pPr>
    </w:p>
    <w:p w:rsidR="00F45EAC" w:rsidRPr="00DA731E" w:rsidRDefault="00F45EAC" w:rsidP="00F45EAC">
      <w:r>
        <w:rPr>
          <w:color w:val="000000" w:themeColor="text1"/>
        </w:rPr>
        <w:t>Si segnala infine, per chiarezza e precisione, che alcuni riferiment</w:t>
      </w:r>
      <w:r w:rsidRPr="00EF0AA2">
        <w:rPr>
          <w:color w:val="000000" w:themeColor="text1"/>
        </w:rPr>
        <w:t xml:space="preserve">i </w:t>
      </w:r>
      <w:r w:rsidRPr="00EF0AA2">
        <w:rPr>
          <w:rFonts w:cs="Arial"/>
          <w:bCs/>
          <w:color w:val="000000" w:themeColor="text1"/>
          <w:szCs w:val="24"/>
        </w:rPr>
        <w:t>alle planimetrie dello stabile Ferriere del messaggio governativo</w:t>
      </w:r>
      <w:r>
        <w:rPr>
          <w:rFonts w:cs="Arial"/>
          <w:bCs/>
          <w:color w:val="000000" w:themeColor="text1"/>
          <w:szCs w:val="24"/>
        </w:rPr>
        <w:t xml:space="preserve"> (cfr. </w:t>
      </w:r>
      <w:r w:rsidRPr="00EF0AA2">
        <w:rPr>
          <w:rFonts w:cs="Arial"/>
          <w:bCs/>
          <w:color w:val="000000" w:themeColor="text1"/>
          <w:szCs w:val="24"/>
        </w:rPr>
        <w:t>p. 19)</w:t>
      </w:r>
      <w:r>
        <w:rPr>
          <w:rFonts w:cs="Arial"/>
          <w:bCs/>
          <w:color w:val="000000" w:themeColor="text1"/>
          <w:szCs w:val="24"/>
        </w:rPr>
        <w:t xml:space="preserve"> sono errati e vanno corretti nel seguente modo: </w:t>
      </w:r>
    </w:p>
    <w:p w:rsidR="00F45EAC" w:rsidRPr="00EF0AA2" w:rsidRDefault="00F45EAC" w:rsidP="00B54866">
      <w:pPr>
        <w:pStyle w:val="Paragrafoelenco"/>
        <w:numPr>
          <w:ilvl w:val="0"/>
          <w:numId w:val="6"/>
        </w:numPr>
        <w:spacing w:before="80"/>
        <w:ind w:left="284" w:hanging="284"/>
        <w:rPr>
          <w:rFonts w:cs="Arial"/>
          <w:color w:val="000000" w:themeColor="text1"/>
          <w:szCs w:val="24"/>
        </w:rPr>
      </w:pPr>
      <w:r>
        <w:rPr>
          <w:rFonts w:cs="Arial"/>
          <w:color w:val="000000" w:themeColor="text1"/>
          <w:szCs w:val="24"/>
        </w:rPr>
        <w:t>p</w:t>
      </w:r>
      <w:r w:rsidRPr="00EF0AA2">
        <w:rPr>
          <w:rFonts w:cs="Arial"/>
          <w:color w:val="000000" w:themeColor="text1"/>
          <w:szCs w:val="24"/>
        </w:rPr>
        <w:t>rima planimetria: corretta</w:t>
      </w:r>
      <w:r>
        <w:rPr>
          <w:rFonts w:cs="Arial"/>
          <w:color w:val="000000" w:themeColor="text1"/>
          <w:szCs w:val="24"/>
        </w:rPr>
        <w:t>;</w:t>
      </w:r>
    </w:p>
    <w:p w:rsidR="00F45EAC" w:rsidRPr="00EF0AA2" w:rsidRDefault="00F45EAC" w:rsidP="00B54866">
      <w:pPr>
        <w:pStyle w:val="Paragrafoelenco"/>
        <w:numPr>
          <w:ilvl w:val="0"/>
          <w:numId w:val="6"/>
        </w:numPr>
        <w:spacing w:before="80"/>
        <w:ind w:left="284" w:hanging="284"/>
        <w:rPr>
          <w:rFonts w:cs="Arial"/>
          <w:color w:val="000000" w:themeColor="text1"/>
          <w:szCs w:val="24"/>
        </w:rPr>
      </w:pPr>
      <w:r>
        <w:rPr>
          <w:rFonts w:cs="Arial"/>
          <w:color w:val="000000" w:themeColor="text1"/>
          <w:szCs w:val="24"/>
        </w:rPr>
        <w:t>s</w:t>
      </w:r>
      <w:r w:rsidRPr="00EF0AA2">
        <w:rPr>
          <w:rFonts w:cs="Arial"/>
          <w:color w:val="000000" w:themeColor="text1"/>
          <w:szCs w:val="24"/>
        </w:rPr>
        <w:t>econda planimetria: Pianta terzo piano Blocco A</w:t>
      </w:r>
      <w:r>
        <w:rPr>
          <w:rFonts w:cs="Arial"/>
          <w:color w:val="000000" w:themeColor="text1"/>
          <w:szCs w:val="24"/>
        </w:rPr>
        <w:t>;</w:t>
      </w:r>
    </w:p>
    <w:p w:rsidR="00F45EAC" w:rsidRDefault="00F45EAC" w:rsidP="00B54866">
      <w:pPr>
        <w:pStyle w:val="Paragrafoelenco"/>
        <w:numPr>
          <w:ilvl w:val="0"/>
          <w:numId w:val="6"/>
        </w:numPr>
        <w:spacing w:before="80"/>
        <w:ind w:left="284" w:hanging="284"/>
        <w:rPr>
          <w:rFonts w:cs="Arial"/>
          <w:color w:val="000000" w:themeColor="text1"/>
          <w:szCs w:val="24"/>
        </w:rPr>
      </w:pPr>
      <w:r>
        <w:rPr>
          <w:rFonts w:cs="Arial"/>
          <w:color w:val="000000" w:themeColor="text1"/>
          <w:szCs w:val="24"/>
        </w:rPr>
        <w:t>t</w:t>
      </w:r>
      <w:r w:rsidRPr="00EF0AA2">
        <w:rPr>
          <w:rFonts w:cs="Arial"/>
          <w:color w:val="000000" w:themeColor="text1"/>
          <w:szCs w:val="24"/>
        </w:rPr>
        <w:t>erza planimetria: Pianta quarto piano Blocco A</w:t>
      </w:r>
      <w:r>
        <w:rPr>
          <w:rFonts w:cs="Arial"/>
          <w:color w:val="000000" w:themeColor="text1"/>
          <w:szCs w:val="24"/>
        </w:rPr>
        <w:t>.</w:t>
      </w:r>
    </w:p>
    <w:p w:rsidR="00F45EAC" w:rsidRPr="00DA731E" w:rsidRDefault="00F45EAC" w:rsidP="00B54866">
      <w:pPr>
        <w:spacing w:before="80"/>
      </w:pPr>
      <w:r>
        <w:rPr>
          <w:rFonts w:cs="Arial"/>
          <w:color w:val="000000" w:themeColor="text1"/>
          <w:szCs w:val="24"/>
        </w:rPr>
        <w:t xml:space="preserve">Si tratta di un semplice errore di riporto </w:t>
      </w:r>
      <w:r w:rsidRPr="00EF0AA2">
        <w:rPr>
          <w:rFonts w:cs="Arial"/>
          <w:color w:val="000000" w:themeColor="text1"/>
          <w:szCs w:val="24"/>
        </w:rPr>
        <w:t>(nel Rapporto di programmazione i riferimenti sono corretti, vedi pag. 34 e 35).</w:t>
      </w:r>
    </w:p>
    <w:p w:rsidR="00F45EAC" w:rsidRDefault="00F45EAC" w:rsidP="00F45EAC"/>
    <w:p w:rsidR="00B54866" w:rsidRDefault="00B54866" w:rsidP="00F45EAC"/>
    <w:p w:rsidR="00B54866" w:rsidRPr="00F51AA5" w:rsidRDefault="00B54866" w:rsidP="00F45EAC"/>
    <w:p w:rsidR="00F45EAC" w:rsidRPr="007313CE" w:rsidRDefault="00F45EAC" w:rsidP="00F45EAC">
      <w:pPr>
        <w:pStyle w:val="Titolo1"/>
        <w:rPr>
          <w:rFonts w:cs="Arial"/>
        </w:rPr>
      </w:pPr>
      <w:r>
        <w:rPr>
          <w:rFonts w:cs="Arial"/>
        </w:rPr>
        <w:t>CONCLUSIONi</w:t>
      </w:r>
    </w:p>
    <w:p w:rsidR="00F45EAC" w:rsidRPr="00294E21" w:rsidRDefault="00F45EAC" w:rsidP="00F45EAC">
      <w:r>
        <w:t xml:space="preserve">La Commissione gestione e finanze, sulla base di quanto esposto, </w:t>
      </w:r>
      <w:r w:rsidRPr="00294E21">
        <w:t>invita il</w:t>
      </w:r>
      <w:r>
        <w:t xml:space="preserve"> Gran Consiglio ad accogliere i</w:t>
      </w:r>
      <w:r w:rsidR="00DA731E">
        <w:t>l decreto legislativo allegato</w:t>
      </w:r>
      <w:r>
        <w:t xml:space="preserve"> al M</w:t>
      </w:r>
      <w:r w:rsidRPr="00294E21">
        <w:t xml:space="preserve">essaggio governativo oggetto del presente rapporto. </w:t>
      </w:r>
    </w:p>
    <w:p w:rsidR="00F45EAC" w:rsidRDefault="00F45EAC" w:rsidP="00F45EAC"/>
    <w:p w:rsidR="00DA731E" w:rsidRDefault="00DA731E" w:rsidP="00F45EAC"/>
    <w:p w:rsidR="00DA731E" w:rsidRDefault="00DA731E" w:rsidP="00F45EAC"/>
    <w:p w:rsidR="00F45EAC" w:rsidRDefault="00F45EAC" w:rsidP="00DA731E">
      <w:pPr>
        <w:spacing w:after="120"/>
      </w:pPr>
      <w:r>
        <w:t>Per la Commissione gestione e finanze</w:t>
      </w:r>
      <w:r w:rsidR="00DA731E">
        <w:t>:</w:t>
      </w:r>
    </w:p>
    <w:p w:rsidR="00F45EAC" w:rsidRDefault="00F45EAC" w:rsidP="00F45EAC">
      <w:r>
        <w:t>Nicola Pini</w:t>
      </w:r>
      <w:r w:rsidR="00DA731E">
        <w:t>,</w:t>
      </w:r>
      <w:r>
        <w:t xml:space="preserve"> </w:t>
      </w:r>
      <w:r w:rsidR="00DA731E">
        <w:t>relatore</w:t>
      </w:r>
    </w:p>
    <w:p w:rsidR="00B54866" w:rsidRDefault="00B54866" w:rsidP="00B54866">
      <w:pPr>
        <w:rPr>
          <w:rFonts w:cs="Arial"/>
        </w:rPr>
      </w:pPr>
      <w:bookmarkStart w:id="2" w:name="OLE_LINK1"/>
      <w:bookmarkStart w:id="3" w:name="OLE_LINK2"/>
      <w:r w:rsidRPr="005E5056">
        <w:rPr>
          <w:rFonts w:cs="Arial"/>
        </w:rPr>
        <w:t xml:space="preserve">Bacchetta-Cattori - </w:t>
      </w:r>
      <w:r>
        <w:rPr>
          <w:rFonts w:cs="Arial"/>
        </w:rPr>
        <w:t xml:space="preserve">Badasci - Bang - Bignasca - </w:t>
      </w:r>
    </w:p>
    <w:p w:rsidR="00BE516B" w:rsidRDefault="00B54866" w:rsidP="00B54866">
      <w:pPr>
        <w:rPr>
          <w:rFonts w:cs="Arial"/>
        </w:rPr>
      </w:pPr>
      <w:r>
        <w:rPr>
          <w:rFonts w:cs="Arial"/>
        </w:rPr>
        <w:t xml:space="preserve">Caverzasio - Dadò - De Rosa - Denti - </w:t>
      </w:r>
      <w:r w:rsidR="00BE516B">
        <w:rPr>
          <w:rFonts w:cs="Arial"/>
        </w:rPr>
        <w:t xml:space="preserve">Durisch - </w:t>
      </w:r>
    </w:p>
    <w:p w:rsidR="00B54866" w:rsidRDefault="00DA731E" w:rsidP="00B54866">
      <w:pPr>
        <w:rPr>
          <w:rFonts w:cs="Arial"/>
        </w:rPr>
      </w:pPr>
      <w:r>
        <w:rPr>
          <w:rFonts w:cs="Arial"/>
        </w:rPr>
        <w:t>F</w:t>
      </w:r>
      <w:r w:rsidR="00B54866">
        <w:rPr>
          <w:rFonts w:cs="Arial"/>
        </w:rPr>
        <w:t>arinelli - Garobbio - Garzoli - Guerra - Quadranti</w:t>
      </w:r>
    </w:p>
    <w:bookmarkEnd w:id="2"/>
    <w:bookmarkEnd w:id="3"/>
    <w:p w:rsidR="00F45EAC" w:rsidRPr="005B3E0C" w:rsidRDefault="00F45EAC" w:rsidP="00F45EAC">
      <w:pPr>
        <w:rPr>
          <w:szCs w:val="24"/>
        </w:rPr>
      </w:pPr>
    </w:p>
    <w:sectPr w:rsidR="00F45EAC" w:rsidRPr="005B3E0C" w:rsidSect="00B54866">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93" w:rsidRDefault="005F1893" w:rsidP="008E77C6">
      <w:r>
        <w:separator/>
      </w:r>
    </w:p>
  </w:endnote>
  <w:endnote w:type="continuationSeparator" w:id="0">
    <w:p w:rsidR="005F1893" w:rsidRDefault="005F189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80447" w:rsidRPr="0078044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93" w:rsidRDefault="005F1893" w:rsidP="008E77C6">
      <w:r>
        <w:separator/>
      </w:r>
    </w:p>
  </w:footnote>
  <w:footnote w:type="continuationSeparator" w:id="0">
    <w:p w:rsidR="005F1893" w:rsidRDefault="005F189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6E12F42"/>
    <w:multiLevelType w:val="hybridMultilevel"/>
    <w:tmpl w:val="A16E7EEA"/>
    <w:lvl w:ilvl="0" w:tplc="04100019">
      <w:start w:val="1"/>
      <w:numFmt w:val="lowerLetter"/>
      <w:lvlText w:val="%1."/>
      <w:lvlJc w:val="left"/>
      <w:pPr>
        <w:ind w:left="720" w:hanging="360"/>
      </w:pPr>
    </w:lvl>
    <w:lvl w:ilvl="1" w:tplc="932695CC">
      <w:start w:val="1"/>
      <w:numFmt w:val="bullet"/>
      <w:lvlText w:val="-"/>
      <w:lvlJc w:val="left"/>
      <w:pPr>
        <w:ind w:left="1069" w:hanging="360"/>
      </w:pPr>
      <w:rPr>
        <w:rFonts w:ascii="Arial" w:hAnsi="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A21649"/>
    <w:multiLevelType w:val="hybridMultilevel"/>
    <w:tmpl w:val="4D1A2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5F1893"/>
    <w:rsid w:val="006D7A3B"/>
    <w:rsid w:val="007352D3"/>
    <w:rsid w:val="00780447"/>
    <w:rsid w:val="007B5462"/>
    <w:rsid w:val="008034BD"/>
    <w:rsid w:val="00876352"/>
    <w:rsid w:val="008B2655"/>
    <w:rsid w:val="008B4137"/>
    <w:rsid w:val="008C767A"/>
    <w:rsid w:val="008E77C6"/>
    <w:rsid w:val="009770BB"/>
    <w:rsid w:val="009E008D"/>
    <w:rsid w:val="00A5465F"/>
    <w:rsid w:val="00A77678"/>
    <w:rsid w:val="00B54866"/>
    <w:rsid w:val="00BC4C95"/>
    <w:rsid w:val="00BD5944"/>
    <w:rsid w:val="00BE516B"/>
    <w:rsid w:val="00CF6858"/>
    <w:rsid w:val="00D377B5"/>
    <w:rsid w:val="00D93B31"/>
    <w:rsid w:val="00DA731E"/>
    <w:rsid w:val="00E505DB"/>
    <w:rsid w:val="00E765A9"/>
    <w:rsid w:val="00F45EA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Didascalia">
    <w:name w:val="caption"/>
    <w:basedOn w:val="Normale"/>
    <w:next w:val="Normale"/>
    <w:uiPriority w:val="35"/>
    <w:qFormat/>
    <w:rsid w:val="00F45EAC"/>
    <w:pPr>
      <w:tabs>
        <w:tab w:val="left" w:pos="540"/>
      </w:tabs>
    </w:pPr>
    <w:rPr>
      <w:rFonts w:eastAsia="Times New Roman" w:cs="Times New Roman"/>
      <w:b/>
      <w:bCs/>
      <w:sz w:val="20"/>
      <w:szCs w:val="20"/>
      <w:lang w:val="it-IT" w:eastAsia="it-IT"/>
    </w:rPr>
  </w:style>
  <w:style w:type="character" w:customStyle="1" w:styleId="st1">
    <w:name w:val="st1"/>
    <w:rsid w:val="00F45EAC"/>
  </w:style>
  <w:style w:type="paragraph" w:styleId="Testofumetto">
    <w:name w:val="Balloon Text"/>
    <w:basedOn w:val="Normale"/>
    <w:link w:val="TestofumettoCarattere"/>
    <w:uiPriority w:val="99"/>
    <w:semiHidden/>
    <w:unhideWhenUsed/>
    <w:rsid w:val="00B548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Didascalia">
    <w:name w:val="caption"/>
    <w:basedOn w:val="Normale"/>
    <w:next w:val="Normale"/>
    <w:uiPriority w:val="35"/>
    <w:qFormat/>
    <w:rsid w:val="00F45EAC"/>
    <w:pPr>
      <w:tabs>
        <w:tab w:val="left" w:pos="540"/>
      </w:tabs>
    </w:pPr>
    <w:rPr>
      <w:rFonts w:eastAsia="Times New Roman" w:cs="Times New Roman"/>
      <w:b/>
      <w:bCs/>
      <w:sz w:val="20"/>
      <w:szCs w:val="20"/>
      <w:lang w:val="it-IT" w:eastAsia="it-IT"/>
    </w:rPr>
  </w:style>
  <w:style w:type="character" w:customStyle="1" w:styleId="st1">
    <w:name w:val="st1"/>
    <w:rsid w:val="00F45EAC"/>
  </w:style>
  <w:style w:type="paragraph" w:styleId="Testofumetto">
    <w:name w:val="Balloon Text"/>
    <w:basedOn w:val="Normale"/>
    <w:link w:val="TestofumettoCarattere"/>
    <w:uiPriority w:val="99"/>
    <w:semiHidden/>
    <w:unhideWhenUsed/>
    <w:rsid w:val="00B548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199E-6D78-4BC6-93D3-9559422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3568</Words>
  <Characters>20338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2019-02-22T17:23:00Z</cp:lastPrinted>
  <dcterms:created xsi:type="dcterms:W3CDTF">2019-02-22T09:30:00Z</dcterms:created>
  <dcterms:modified xsi:type="dcterms:W3CDTF">2019-02-27T08:59:00Z</dcterms:modified>
</cp:coreProperties>
</file>