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0C2" w:rsidRDefault="00CA32E0" w:rsidP="00B860C2">
      <w:r w:rsidRPr="001A32CA">
        <w:rPr>
          <w:rFonts w:ascii="Gill Sans MT" w:hAnsi="Gill Sans MT" w:cs="Arial"/>
          <w:b/>
          <w:sz w:val="52"/>
          <w:szCs w:val="52"/>
        </w:rPr>
        <w:t>Rapporto</w:t>
      </w:r>
      <w:bookmarkStart w:id="0" w:name="_GoBack"/>
      <w:bookmarkEnd w:id="0"/>
    </w:p>
    <w:p w:rsidR="00B860C2" w:rsidRDefault="00B860C2" w:rsidP="00B860C2">
      <w:pPr>
        <w:rPr>
          <w:rFonts w:cs="Arial"/>
          <w:szCs w:val="24"/>
        </w:rPr>
      </w:pPr>
    </w:p>
    <w:p w:rsidR="007D16B4" w:rsidRDefault="007D16B4" w:rsidP="00B860C2">
      <w:pPr>
        <w:rPr>
          <w:rFonts w:cs="Arial"/>
          <w:szCs w:val="24"/>
        </w:rPr>
      </w:pPr>
    </w:p>
    <w:p w:rsidR="00B860C2" w:rsidRDefault="00B860C2" w:rsidP="00B860C2">
      <w:pPr>
        <w:rPr>
          <w:rFonts w:cs="Arial"/>
          <w:szCs w:val="24"/>
        </w:rPr>
      </w:pPr>
    </w:p>
    <w:p w:rsidR="00B860C2" w:rsidRDefault="00B860C2" w:rsidP="00B860C2">
      <w:pPr>
        <w:tabs>
          <w:tab w:val="left" w:pos="2098"/>
          <w:tab w:val="left" w:pos="4933"/>
        </w:tabs>
        <w:rPr>
          <w:rFonts w:cs="Arial"/>
          <w:szCs w:val="24"/>
        </w:rPr>
      </w:pPr>
      <w:r w:rsidRPr="008B4137">
        <w:rPr>
          <w:rFonts w:cs="Arial"/>
          <w:sz w:val="28"/>
          <w:szCs w:val="28"/>
        </w:rPr>
        <w:tab/>
      </w:r>
      <w:r w:rsidR="00AB55C4">
        <w:rPr>
          <w:rFonts w:cs="Arial"/>
          <w:sz w:val="28"/>
          <w:szCs w:val="28"/>
        </w:rPr>
        <w:t>27 febbraio 2019</w:t>
      </w:r>
      <w:r w:rsidRPr="008B4137">
        <w:rPr>
          <w:rFonts w:cs="Arial"/>
          <w:sz w:val="28"/>
          <w:szCs w:val="28"/>
        </w:rPr>
        <w:tab/>
      </w:r>
      <w:r w:rsidR="00F82631">
        <w:rPr>
          <w:sz w:val="28"/>
        </w:rPr>
        <w:t>TERRITORIO</w:t>
      </w:r>
    </w:p>
    <w:p w:rsidR="00B860C2" w:rsidRDefault="00B860C2" w:rsidP="00B860C2">
      <w:pPr>
        <w:rPr>
          <w:rFonts w:cs="Arial"/>
          <w:szCs w:val="24"/>
        </w:rPr>
      </w:pPr>
    </w:p>
    <w:p w:rsidR="00B860C2" w:rsidRDefault="00B860C2" w:rsidP="00B860C2">
      <w:pPr>
        <w:rPr>
          <w:rFonts w:cs="Arial"/>
          <w:szCs w:val="24"/>
        </w:rPr>
      </w:pPr>
    </w:p>
    <w:p w:rsidR="00B860C2" w:rsidRDefault="00B860C2" w:rsidP="00B860C2">
      <w:pPr>
        <w:rPr>
          <w:rFonts w:cs="Arial"/>
          <w:szCs w:val="24"/>
        </w:rPr>
      </w:pPr>
    </w:p>
    <w:p w:rsidR="00B860C2" w:rsidRPr="008B4137" w:rsidRDefault="00B860C2" w:rsidP="00B860C2">
      <w:pPr>
        <w:rPr>
          <w:rFonts w:cs="Arial"/>
          <w:b/>
          <w:sz w:val="28"/>
          <w:szCs w:val="28"/>
        </w:rPr>
      </w:pPr>
      <w:r w:rsidRPr="008B4137">
        <w:rPr>
          <w:rFonts w:cs="Arial"/>
          <w:b/>
          <w:sz w:val="28"/>
          <w:szCs w:val="28"/>
        </w:rPr>
        <w:t xml:space="preserve">della Commissione della </w:t>
      </w:r>
      <w:r w:rsidR="00F82631">
        <w:rPr>
          <w:rFonts w:cs="Arial"/>
          <w:b/>
          <w:sz w:val="28"/>
          <w:szCs w:val="28"/>
        </w:rPr>
        <w:t>legislazione</w:t>
      </w:r>
    </w:p>
    <w:p w:rsidR="00B860C2" w:rsidRPr="008B2655" w:rsidRDefault="00B860C2" w:rsidP="00B860C2">
      <w:pPr>
        <w:rPr>
          <w:rFonts w:cs="Arial"/>
          <w:b/>
          <w:sz w:val="26"/>
          <w:szCs w:val="26"/>
        </w:rPr>
      </w:pPr>
      <w:r w:rsidRPr="000D6BD0">
        <w:rPr>
          <w:rFonts w:cs="Arial"/>
          <w:b/>
          <w:sz w:val="28"/>
          <w:szCs w:val="28"/>
        </w:rPr>
        <w:t>sul</w:t>
      </w:r>
      <w:r w:rsidR="00F82631">
        <w:rPr>
          <w:rFonts w:cs="Arial"/>
          <w:b/>
          <w:sz w:val="28"/>
          <w:szCs w:val="28"/>
        </w:rPr>
        <w:t>la mozione 18 giugno 2018 presentata da Matteo Quadranti e cofirmatari “Salviamo i reperti archeologici”</w:t>
      </w:r>
    </w:p>
    <w:p w:rsidR="00B860C2" w:rsidRDefault="00B860C2" w:rsidP="00B860C2">
      <w:pPr>
        <w:rPr>
          <w:rFonts w:cs="Arial"/>
          <w:szCs w:val="24"/>
        </w:rPr>
      </w:pPr>
    </w:p>
    <w:p w:rsidR="00B860C2" w:rsidRDefault="00B860C2" w:rsidP="00B860C2">
      <w:pPr>
        <w:rPr>
          <w:rFonts w:cs="Arial"/>
          <w:szCs w:val="24"/>
        </w:rPr>
      </w:pPr>
    </w:p>
    <w:p w:rsidR="00B860C2" w:rsidRDefault="00B860C2" w:rsidP="00B860C2">
      <w:pPr>
        <w:rPr>
          <w:rFonts w:cs="Arial"/>
          <w:szCs w:val="24"/>
        </w:rPr>
      </w:pPr>
    </w:p>
    <w:p w:rsidR="00F82631" w:rsidRDefault="00F82631" w:rsidP="00F82631">
      <w:pPr>
        <w:pStyle w:val="Titolo1"/>
        <w:rPr>
          <w:rFonts w:eastAsia="Verdana" w:cs="Verdana"/>
          <w:u w:color="000000"/>
        </w:rPr>
      </w:pPr>
      <w:bookmarkStart w:id="1" w:name="_Toc532286235"/>
      <w:r w:rsidRPr="00A21577">
        <w:rPr>
          <w:u w:color="000000"/>
        </w:rPr>
        <w:t>L</w:t>
      </w:r>
      <w:r>
        <w:rPr>
          <w:u w:color="000000"/>
        </w:rPr>
        <w:t>’</w:t>
      </w:r>
      <w:r w:rsidRPr="00A21577">
        <w:rPr>
          <w:u w:color="000000"/>
        </w:rPr>
        <w:t>INTERROGAZIONE</w:t>
      </w:r>
    </w:p>
    <w:p w:rsidR="00F82631" w:rsidRDefault="00F82631" w:rsidP="00F82631">
      <w:pPr>
        <w:rPr>
          <w:u w:color="000000"/>
        </w:rPr>
      </w:pPr>
      <w:r w:rsidRPr="00A21577">
        <w:rPr>
          <w:u w:color="000000"/>
        </w:rPr>
        <w:t>La mozione in esame, si rifà all</w:t>
      </w:r>
      <w:r>
        <w:rPr>
          <w:u w:color="000000"/>
        </w:rPr>
        <w:t>’</w:t>
      </w:r>
      <w:r w:rsidRPr="00A21577">
        <w:rPr>
          <w:u w:color="000000"/>
        </w:rPr>
        <w:t>interrogazione del 5</w:t>
      </w:r>
      <w:r w:rsidR="007D16B4">
        <w:rPr>
          <w:u w:color="000000"/>
        </w:rPr>
        <w:t xml:space="preserve"> febbraio </w:t>
      </w:r>
      <w:r w:rsidRPr="00A21577">
        <w:rPr>
          <w:u w:color="000000"/>
        </w:rPr>
        <w:t>2018</w:t>
      </w:r>
      <w:r w:rsidR="007D16B4">
        <w:rPr>
          <w:u w:color="000000"/>
        </w:rPr>
        <w:t xml:space="preserve"> n. 11.18</w:t>
      </w:r>
      <w:r w:rsidRPr="00A21577">
        <w:rPr>
          <w:u w:color="000000"/>
        </w:rPr>
        <w:t xml:space="preserve"> «</w:t>
      </w:r>
      <w:r>
        <w:rPr>
          <w:u w:color="000000"/>
          <w:lang w:val="it-IT"/>
        </w:rPr>
        <w:t>Anno del patrimonio culturale e (mala)gestione dei nostri reperti archeologici ticinesi?</w:t>
      </w:r>
      <w:r w:rsidRPr="00A21577">
        <w:rPr>
          <w:u w:color="000000"/>
        </w:rPr>
        <w:t>» presentata da Matteo Quadranti e cofirmatari.</w:t>
      </w:r>
    </w:p>
    <w:p w:rsidR="00F82631" w:rsidRDefault="00F82631" w:rsidP="00F82631">
      <w:pPr>
        <w:rPr>
          <w:rFonts w:eastAsia="Verdana" w:cs="Verdana"/>
          <w:u w:color="000000"/>
        </w:rPr>
      </w:pPr>
    </w:p>
    <w:p w:rsidR="00F82631" w:rsidRDefault="00F82631" w:rsidP="00F82631">
      <w:pPr>
        <w:rPr>
          <w:u w:color="000000"/>
        </w:rPr>
      </w:pPr>
      <w:r w:rsidRPr="00A21577">
        <w:rPr>
          <w:u w:color="000000"/>
        </w:rPr>
        <w:t>In essa si rileva come da</w:t>
      </w:r>
      <w:r>
        <w:rPr>
          <w:u w:color="000000"/>
          <w:lang w:val="it-IT"/>
        </w:rPr>
        <w:t xml:space="preserve"> documentazione fotografica </w:t>
      </w:r>
      <w:r w:rsidRPr="00A21577">
        <w:rPr>
          <w:u w:color="000000"/>
        </w:rPr>
        <w:t xml:space="preserve">(vedi alcuni esempi più sotto) </w:t>
      </w:r>
      <w:r>
        <w:rPr>
          <w:u w:color="000000"/>
          <w:lang w:val="it-IT"/>
        </w:rPr>
        <w:t xml:space="preserve">e segnalazioni, </w:t>
      </w:r>
      <w:proofErr w:type="spellStart"/>
      <w:r>
        <w:rPr>
          <w:u w:color="000000"/>
          <w:lang w:val="it-IT"/>
        </w:rPr>
        <w:t>risult</w:t>
      </w:r>
      <w:proofErr w:type="spellEnd"/>
      <w:r w:rsidRPr="00A21577">
        <w:rPr>
          <w:u w:color="000000"/>
        </w:rPr>
        <w:t>i</w:t>
      </w:r>
      <w:r>
        <w:rPr>
          <w:u w:color="000000"/>
          <w:lang w:val="it-IT"/>
        </w:rPr>
        <w:t xml:space="preserve"> che vi sia purtroppo un elevato numero di reperti che stanno andando distrutti per mancanza di cura e</w:t>
      </w:r>
      <w:r w:rsidRPr="00A21577">
        <w:rPr>
          <w:u w:color="000000"/>
        </w:rPr>
        <w:t xml:space="preserve"> </w:t>
      </w:r>
      <w:r>
        <w:rPr>
          <w:u w:color="000000"/>
          <w:lang w:val="it-IT"/>
        </w:rPr>
        <w:t xml:space="preserve">corretta manutenzione (ad esempio i reperti in ferro andrebbero almeno desalinizzati e consolidati nei primi mesi dal loro ritrovamento altrimenti possono essere soggetti a rotture e deformazioni che in molti casi portano alla disgregazione e alla perdita totale </w:t>
      </w:r>
      <w:proofErr w:type="spellStart"/>
      <w:r>
        <w:rPr>
          <w:u w:color="000000"/>
          <w:lang w:val="it-IT"/>
        </w:rPr>
        <w:t>dell</w:t>
      </w:r>
      <w:proofErr w:type="spellEnd"/>
      <w:r>
        <w:rPr>
          <w:u w:color="000000"/>
        </w:rPr>
        <w:t>’</w:t>
      </w:r>
      <w:r>
        <w:rPr>
          <w:u w:color="000000"/>
          <w:lang w:val="it-IT"/>
        </w:rPr>
        <w:t>oggetto)</w:t>
      </w:r>
      <w:r w:rsidRPr="00A21577">
        <w:rPr>
          <w:u w:color="000000"/>
        </w:rPr>
        <w:t>.</w:t>
      </w:r>
    </w:p>
    <w:p w:rsidR="00F82631" w:rsidRDefault="00F82631" w:rsidP="00F82631">
      <w:pPr>
        <w:rPr>
          <w:rFonts w:eastAsia="Verdana" w:cs="Verdana"/>
          <w:u w:color="000000"/>
        </w:rPr>
      </w:pPr>
    </w:p>
    <w:p w:rsidR="00AB55C4" w:rsidRDefault="00AB55C4" w:rsidP="00F82631">
      <w:pPr>
        <w:rPr>
          <w:rFonts w:eastAsia="Verdana" w:cs="Verdana"/>
          <w:u w:color="000000"/>
        </w:rPr>
      </w:pPr>
    </w:p>
    <w:p w:rsidR="00F82631" w:rsidRDefault="00F82631" w:rsidP="00F82631">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80" w:line="340" w:lineRule="atLeast"/>
        <w:rPr>
          <w:rFonts w:ascii="Verdana" w:eastAsia="Verdana" w:hAnsi="Verdana" w:cs="Verdana"/>
          <w:u w:color="000000"/>
        </w:rPr>
      </w:pPr>
      <w:r>
        <w:rPr>
          <w:rFonts w:ascii="Verdana" w:eastAsia="Verdana" w:hAnsi="Verdana" w:cs="Verdana"/>
          <w:noProof/>
          <w:u w:color="000000"/>
          <w:lang w:eastAsia="it-CH"/>
        </w:rPr>
        <w:drawing>
          <wp:anchor distT="152400" distB="152400" distL="152400" distR="152400" simplePos="0" relativeHeight="251659264" behindDoc="0" locked="0" layoutInCell="1" allowOverlap="1" wp14:anchorId="579031AA" wp14:editId="51CE36DA">
            <wp:simplePos x="0" y="0"/>
            <wp:positionH relativeFrom="margin">
              <wp:posOffset>828675</wp:posOffset>
            </wp:positionH>
            <wp:positionV relativeFrom="line">
              <wp:posOffset>163830</wp:posOffset>
            </wp:positionV>
            <wp:extent cx="4487545" cy="3392170"/>
            <wp:effectExtent l="0" t="0" r="0" b="0"/>
            <wp:wrapThrough wrapText="bothSides" distL="152400" distR="152400">
              <wp:wrapPolygon edited="1">
                <wp:start x="0" y="0"/>
                <wp:lineTo x="21621" y="0"/>
                <wp:lineTo x="21621" y="21614"/>
                <wp:lineTo x="0" y="21614"/>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Reperti in stato di decomposizione.png"/>
                    <pic:cNvPicPr>
                      <a:picLocks noChangeAspect="1"/>
                    </pic:cNvPicPr>
                  </pic:nvPicPr>
                  <pic:blipFill>
                    <a:blip r:embed="rId9">
                      <a:extLst/>
                    </a:blip>
                    <a:stretch>
                      <a:fillRect/>
                    </a:stretch>
                  </pic:blipFill>
                  <pic:spPr>
                    <a:xfrm>
                      <a:off x="0" y="0"/>
                      <a:ext cx="4487545" cy="339217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F82631" w:rsidRDefault="00F82631" w:rsidP="00F82631">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80" w:line="340" w:lineRule="atLeast"/>
        <w:rPr>
          <w:rFonts w:ascii="Verdana" w:eastAsia="Verdana" w:hAnsi="Verdana" w:cs="Verdana"/>
          <w:u w:color="000000"/>
        </w:rPr>
      </w:pPr>
    </w:p>
    <w:p w:rsidR="00F82631" w:rsidRDefault="00F82631" w:rsidP="00F82631">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80" w:line="340" w:lineRule="atLeast"/>
        <w:rPr>
          <w:rFonts w:ascii="Verdana" w:eastAsia="Verdana" w:hAnsi="Verdana" w:cs="Verdana"/>
          <w:u w:color="000000"/>
        </w:rPr>
      </w:pPr>
    </w:p>
    <w:p w:rsidR="00F82631" w:rsidRDefault="00F82631" w:rsidP="00F82631">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80" w:line="340" w:lineRule="atLeast"/>
        <w:rPr>
          <w:rFonts w:ascii="Verdana" w:eastAsia="Verdana" w:hAnsi="Verdana" w:cs="Verdana"/>
          <w:u w:color="000000"/>
        </w:rPr>
      </w:pPr>
    </w:p>
    <w:p w:rsidR="00F82631" w:rsidRDefault="00F82631" w:rsidP="00F82631">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80" w:line="340" w:lineRule="atLeast"/>
        <w:rPr>
          <w:rFonts w:ascii="Verdana" w:eastAsia="Verdana" w:hAnsi="Verdana" w:cs="Verdana"/>
          <w:u w:color="000000"/>
        </w:rPr>
      </w:pPr>
    </w:p>
    <w:p w:rsidR="00F82631" w:rsidRDefault="00F82631" w:rsidP="00F82631">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80" w:line="340" w:lineRule="atLeast"/>
        <w:rPr>
          <w:rFonts w:ascii="Verdana" w:eastAsia="Verdana" w:hAnsi="Verdana" w:cs="Verdana"/>
          <w:u w:color="000000"/>
        </w:rPr>
      </w:pPr>
    </w:p>
    <w:p w:rsidR="00F82631" w:rsidRDefault="00F82631" w:rsidP="00F82631">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80" w:line="340" w:lineRule="atLeast"/>
        <w:rPr>
          <w:rFonts w:ascii="Verdana" w:eastAsia="Verdana" w:hAnsi="Verdana" w:cs="Verdana"/>
          <w:u w:color="000000"/>
        </w:rPr>
      </w:pPr>
    </w:p>
    <w:p w:rsidR="00F82631" w:rsidRDefault="00F82631" w:rsidP="00F82631">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80" w:line="340" w:lineRule="atLeast"/>
        <w:rPr>
          <w:rFonts w:ascii="Verdana" w:eastAsia="Verdana" w:hAnsi="Verdana" w:cs="Verdana"/>
          <w:u w:color="000000"/>
        </w:rPr>
      </w:pPr>
    </w:p>
    <w:p w:rsidR="00F82631" w:rsidRDefault="00F82631" w:rsidP="00F82631">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80" w:line="340" w:lineRule="atLeast"/>
        <w:rPr>
          <w:rFonts w:ascii="Verdana" w:eastAsia="Verdana" w:hAnsi="Verdana" w:cs="Verdana"/>
          <w:u w:color="000000"/>
        </w:rPr>
      </w:pPr>
    </w:p>
    <w:p w:rsidR="00F82631" w:rsidRDefault="00F82631" w:rsidP="00F82631">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80" w:line="340" w:lineRule="atLeast"/>
        <w:rPr>
          <w:rFonts w:ascii="Verdana" w:eastAsia="Verdana" w:hAnsi="Verdana" w:cs="Verdana"/>
          <w:u w:color="000000"/>
        </w:rPr>
      </w:pPr>
    </w:p>
    <w:p w:rsidR="00F82631" w:rsidRDefault="00F82631" w:rsidP="00F82631">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80" w:line="340" w:lineRule="atLeast"/>
        <w:rPr>
          <w:rFonts w:ascii="Verdana" w:hAnsi="Verdana"/>
          <w:u w:color="000000"/>
        </w:rPr>
      </w:pPr>
    </w:p>
    <w:p w:rsidR="00F82631" w:rsidRDefault="00F82631" w:rsidP="00F82631">
      <w:pPr>
        <w:rPr>
          <w:u w:color="000000"/>
        </w:rPr>
      </w:pPr>
    </w:p>
    <w:p w:rsidR="007D16B4" w:rsidRDefault="007D16B4">
      <w:pPr>
        <w:rPr>
          <w:u w:color="000000"/>
        </w:rPr>
      </w:pPr>
      <w:r>
        <w:rPr>
          <w:u w:color="000000"/>
        </w:rPr>
        <w:br w:type="page"/>
      </w:r>
    </w:p>
    <w:p w:rsidR="00F82631" w:rsidRDefault="00F82631" w:rsidP="00F82631">
      <w:pPr>
        <w:rPr>
          <w:u w:color="000000"/>
        </w:rPr>
      </w:pPr>
      <w:r w:rsidRPr="00A21577">
        <w:rPr>
          <w:u w:color="000000"/>
        </w:rPr>
        <w:lastRenderedPageBreak/>
        <w:t>Per questo si chiedevano informazioni su</w:t>
      </w:r>
      <w:r>
        <w:rPr>
          <w:u w:color="000000"/>
          <w:lang w:val="it-IT"/>
        </w:rPr>
        <w:t>i tagli negli ultimi 10 anni in termini finanziari e di risorse di personale nel settore dei Servizio archeologico e dei Beni culturali</w:t>
      </w:r>
      <w:r w:rsidRPr="00A21577">
        <w:rPr>
          <w:u w:color="000000"/>
        </w:rPr>
        <w:t>;</w:t>
      </w:r>
      <w:r>
        <w:rPr>
          <w:u w:color="000000"/>
        </w:rPr>
        <w:t xml:space="preserve"> quale</w:t>
      </w:r>
      <w:r>
        <w:rPr>
          <w:u w:color="000000"/>
          <w:lang w:val="it-IT"/>
        </w:rPr>
        <w:t xml:space="preserve"> </w:t>
      </w:r>
      <w:r w:rsidRPr="00A21577">
        <w:rPr>
          <w:u w:color="000000"/>
        </w:rPr>
        <w:t>sia</w:t>
      </w:r>
      <w:r>
        <w:rPr>
          <w:u w:color="000000"/>
          <w:lang w:val="it-IT"/>
        </w:rPr>
        <w:t xml:space="preserve"> lo stato effettivo di conservazione di tutti i reperti</w:t>
      </w:r>
      <w:r w:rsidRPr="00A21577">
        <w:rPr>
          <w:u w:color="000000"/>
        </w:rPr>
        <w:t>; l</w:t>
      </w:r>
      <w:r>
        <w:rPr>
          <w:u w:color="000000"/>
        </w:rPr>
        <w:t>’</w:t>
      </w:r>
      <w:r>
        <w:rPr>
          <w:u w:color="000000"/>
          <w:lang w:val="it-IT"/>
        </w:rPr>
        <w:t>introduzione</w:t>
      </w:r>
      <w:r>
        <w:rPr>
          <w:u w:color="000000"/>
        </w:rPr>
        <w:t xml:space="preserve"> </w:t>
      </w:r>
      <w:r w:rsidRPr="00A21577">
        <w:rPr>
          <w:u w:color="000000"/>
        </w:rPr>
        <w:t>del</w:t>
      </w:r>
      <w:r>
        <w:rPr>
          <w:u w:color="000000"/>
          <w:lang w:val="it-IT"/>
        </w:rPr>
        <w:t xml:space="preserve">la funzione del </w:t>
      </w:r>
      <w:r w:rsidRPr="00A21577">
        <w:rPr>
          <w:u w:color="000000"/>
        </w:rPr>
        <w:t>«</w:t>
      </w:r>
      <w:r>
        <w:rPr>
          <w:u w:color="000000"/>
          <w:lang w:val="it-IT"/>
        </w:rPr>
        <w:t>Conservatore</w:t>
      </w:r>
      <w:r w:rsidRPr="00A21577">
        <w:rPr>
          <w:u w:color="000000"/>
        </w:rPr>
        <w:t xml:space="preserve">» e </w:t>
      </w:r>
      <w:r>
        <w:rPr>
          <w:u w:color="000000"/>
        </w:rPr>
        <w:t>quali</w:t>
      </w:r>
      <w:r>
        <w:rPr>
          <w:u w:color="000000"/>
          <w:lang w:val="it-IT"/>
        </w:rPr>
        <w:t xml:space="preserve"> </w:t>
      </w:r>
      <w:r w:rsidRPr="00A21577">
        <w:rPr>
          <w:u w:color="000000"/>
        </w:rPr>
        <w:t>siano</w:t>
      </w:r>
      <w:r>
        <w:rPr>
          <w:u w:color="000000"/>
          <w:lang w:val="it-IT"/>
        </w:rPr>
        <w:t xml:space="preserve"> le linee guida e le intenzioni reali del Governo circa la futura politica di conservazione e promozione del patrimonio archeologico ticinese</w:t>
      </w:r>
      <w:r w:rsidRPr="00A21577">
        <w:rPr>
          <w:u w:color="000000"/>
        </w:rPr>
        <w:t>.</w:t>
      </w:r>
    </w:p>
    <w:p w:rsidR="00F82631" w:rsidRPr="007D16B4" w:rsidRDefault="00F82631" w:rsidP="00F82631">
      <w:pPr>
        <w:rPr>
          <w:rFonts w:eastAsia="Verdana" w:cs="Verdana"/>
          <w:sz w:val="16"/>
          <w:szCs w:val="16"/>
          <w:u w:color="000000"/>
        </w:rPr>
      </w:pPr>
    </w:p>
    <w:p w:rsidR="00F82631" w:rsidRDefault="00F82631" w:rsidP="00F82631">
      <w:pPr>
        <w:rPr>
          <w:u w:color="000000"/>
        </w:rPr>
      </w:pPr>
      <w:r w:rsidRPr="00A21577">
        <w:rPr>
          <w:u w:color="000000"/>
        </w:rPr>
        <w:t>La risposta del Consiglio di Stato del 25.04.2018 è molto scarna e deludente.</w:t>
      </w:r>
    </w:p>
    <w:p w:rsidR="00F82631" w:rsidRPr="007D16B4" w:rsidRDefault="00F82631" w:rsidP="00F82631">
      <w:pPr>
        <w:rPr>
          <w:rFonts w:eastAsia="Verdana" w:cs="Verdana"/>
          <w:sz w:val="16"/>
          <w:szCs w:val="16"/>
          <w:u w:color="000000"/>
        </w:rPr>
      </w:pPr>
    </w:p>
    <w:p w:rsidR="00F82631" w:rsidRDefault="00F82631" w:rsidP="00F82631">
      <w:pPr>
        <w:rPr>
          <w:u w:color="000000"/>
        </w:rPr>
      </w:pPr>
      <w:r w:rsidRPr="00A21577">
        <w:rPr>
          <w:u w:color="000000"/>
        </w:rPr>
        <w:t>L</w:t>
      </w:r>
      <w:r>
        <w:rPr>
          <w:u w:color="000000"/>
        </w:rPr>
        <w:t>’</w:t>
      </w:r>
      <w:r w:rsidRPr="00A21577">
        <w:rPr>
          <w:u w:color="000000"/>
        </w:rPr>
        <w:t>unico taglio riguarderebbe una riduzione del personale</w:t>
      </w:r>
      <w:r>
        <w:rPr>
          <w:u w:color="000000"/>
        </w:rPr>
        <w:t xml:space="preserve"> </w:t>
      </w:r>
      <w:r w:rsidRPr="00A21577">
        <w:rPr>
          <w:u w:color="000000"/>
        </w:rPr>
        <w:t xml:space="preserve">di 0.8 unità (tecnico di scavo). Il </w:t>
      </w:r>
      <w:r w:rsidRPr="00A21577">
        <w:rPr>
          <w:i/>
          <w:iCs/>
          <w:u w:color="000000"/>
        </w:rPr>
        <w:t>preoccupante stato di conservazione</w:t>
      </w:r>
      <w:r w:rsidRPr="00A21577">
        <w:rPr>
          <w:u w:color="000000"/>
        </w:rPr>
        <w:t xml:space="preserve"> (corsivo del Consiglio di Stato) sarebbe limitato a 2</w:t>
      </w:r>
      <w:r>
        <w:rPr>
          <w:u w:color="000000"/>
        </w:rPr>
        <w:t>’</w:t>
      </w:r>
      <w:r w:rsidRPr="00A21577">
        <w:rPr>
          <w:u w:color="000000"/>
        </w:rPr>
        <w:t>000 oggetti in ferro che rappresentano il 30% dei reperti ferrosi. La proposta di introdurre un Conservatore è respinta per la politica di contenimento dei costi, segnatamente in materia di personale. Sulla politica di conservazione, si limita ad osservare che «i mezzi sono proporzionati».</w:t>
      </w:r>
    </w:p>
    <w:p w:rsidR="00F82631" w:rsidRDefault="00F82631" w:rsidP="00F82631">
      <w:pPr>
        <w:rPr>
          <w:rFonts w:eastAsia="Verdana" w:cs="Verdana"/>
          <w:u w:color="000000"/>
        </w:rPr>
      </w:pPr>
    </w:p>
    <w:p w:rsidR="00F82631" w:rsidRDefault="00F82631" w:rsidP="00F82631">
      <w:pPr>
        <w:rPr>
          <w:rFonts w:eastAsia="Verdana" w:cs="Verdana"/>
          <w:u w:color="000000"/>
        </w:rPr>
      </w:pPr>
    </w:p>
    <w:p w:rsidR="00F82631" w:rsidRDefault="00F82631" w:rsidP="00F82631">
      <w:pPr>
        <w:pStyle w:val="Titolo1"/>
        <w:rPr>
          <w:rFonts w:eastAsia="Verdana" w:cs="Verdana"/>
          <w:u w:color="000000"/>
        </w:rPr>
      </w:pPr>
      <w:r w:rsidRPr="00A21577">
        <w:rPr>
          <w:u w:color="000000"/>
        </w:rPr>
        <w:t>LA MOZIONE</w:t>
      </w:r>
    </w:p>
    <w:p w:rsidR="00F82631" w:rsidRDefault="00F82631" w:rsidP="00F82631">
      <w:pPr>
        <w:rPr>
          <w:u w:color="000000"/>
        </w:rPr>
      </w:pPr>
      <w:r w:rsidRPr="00A21577">
        <w:rPr>
          <w:u w:color="000000"/>
        </w:rPr>
        <w:t>Ritenuta la risposta insoddisfacente, gli stessi interroganti inoltrano la mozione in esame. Essi sottolineano «l</w:t>
      </w:r>
      <w:r>
        <w:rPr>
          <w:u w:color="000000"/>
          <w:lang w:val="it-IT"/>
        </w:rPr>
        <w:t>a superficialità</w:t>
      </w:r>
      <w:r w:rsidRPr="00A21577">
        <w:rPr>
          <w:u w:color="000000"/>
        </w:rPr>
        <w:t xml:space="preserve"> e l</w:t>
      </w:r>
      <w:r>
        <w:rPr>
          <w:u w:color="000000"/>
        </w:rPr>
        <w:t>’</w:t>
      </w:r>
      <w:r>
        <w:rPr>
          <w:u w:color="000000"/>
          <w:lang w:val="it-IT"/>
        </w:rPr>
        <w:t>incompletezza della risposta che nemmeno coincide con i segnali di senso opposto che paiono in realtà</w:t>
      </w:r>
      <w:r w:rsidRPr="00A21577">
        <w:rPr>
          <w:u w:color="000000"/>
        </w:rPr>
        <w:t xml:space="preserve"> </w:t>
      </w:r>
      <w:r>
        <w:rPr>
          <w:u w:color="000000"/>
          <w:lang w:val="it-IT"/>
        </w:rPr>
        <w:t>venire da documenti, pubblicati dallo stesso Servizio archeologico e dei Beni culturali</w:t>
      </w:r>
      <w:r w:rsidRPr="00A21577">
        <w:rPr>
          <w:u w:color="000000"/>
        </w:rPr>
        <w:t>». E che «</w:t>
      </w:r>
      <w:r>
        <w:rPr>
          <w:u w:color="000000"/>
          <w:lang w:val="it-IT"/>
        </w:rPr>
        <w:t>secondo il Consiglio di Stato, il fatto che il 30% (come se fosse una percentuale risibile) dei reperti in ferro (circa 2000) vada irrimediabilmente perso per sempre pare non porre nessun problema di coscienza e responsabilità</w:t>
      </w:r>
      <w:r w:rsidRPr="00A21577">
        <w:rPr>
          <w:u w:color="000000"/>
        </w:rPr>
        <w:t xml:space="preserve">». </w:t>
      </w:r>
    </w:p>
    <w:p w:rsidR="00F82631" w:rsidRPr="007D16B4" w:rsidRDefault="00F82631" w:rsidP="00F82631">
      <w:pPr>
        <w:rPr>
          <w:rFonts w:eastAsia="Verdana" w:cs="Verdana"/>
          <w:sz w:val="16"/>
          <w:szCs w:val="16"/>
          <w:u w:color="000000"/>
        </w:rPr>
      </w:pPr>
    </w:p>
    <w:p w:rsidR="00F82631" w:rsidRDefault="00F82631" w:rsidP="00F82631">
      <w:pPr>
        <w:rPr>
          <w:rFonts w:eastAsia="Verdana" w:cs="Verdana"/>
          <w:u w:color="000000"/>
        </w:rPr>
      </w:pPr>
      <w:r w:rsidRPr="00A21577">
        <w:rPr>
          <w:u w:color="000000"/>
        </w:rPr>
        <w:t>Costatato poi che i costi per interventi minimi di conservazione non supererebbe poche decine di migliaia di franchi</w:t>
      </w:r>
      <w:r>
        <w:rPr>
          <w:u w:color="000000"/>
        </w:rPr>
        <w:t xml:space="preserve"> </w:t>
      </w:r>
      <w:r w:rsidRPr="00A21577">
        <w:rPr>
          <w:u w:color="000000"/>
        </w:rPr>
        <w:t>e che per quanto riguarda la dotazione finanziaria del settore, «</w:t>
      </w:r>
      <w:r>
        <w:rPr>
          <w:u w:color="000000"/>
          <w:lang w:val="it-IT"/>
        </w:rPr>
        <w:t>gli stessi responsabili del Servizio archeologico ripetono da tempo altro, ovvero che vi è una cronica penuria di personale specializzato, la mancanza di una istituzione museale cantonale</w:t>
      </w:r>
      <w:r w:rsidRPr="00A21577">
        <w:rPr>
          <w:u w:color="000000"/>
        </w:rPr>
        <w:t>».</w:t>
      </w:r>
    </w:p>
    <w:p w:rsidR="00F82631" w:rsidRDefault="00F82631" w:rsidP="00F82631">
      <w:pPr>
        <w:rPr>
          <w:u w:color="000000"/>
        </w:rPr>
      </w:pPr>
      <w:r w:rsidRPr="00A21577">
        <w:rPr>
          <w:u w:color="000000"/>
        </w:rPr>
        <w:t>Nel corso dell</w:t>
      </w:r>
      <w:r>
        <w:rPr>
          <w:u w:color="000000"/>
        </w:rPr>
        <w:t>’</w:t>
      </w:r>
      <w:r w:rsidRPr="00A21577">
        <w:rPr>
          <w:u w:color="000000"/>
        </w:rPr>
        <w:t xml:space="preserve">audizione del 10.10.2018 il </w:t>
      </w:r>
      <w:proofErr w:type="spellStart"/>
      <w:r w:rsidRPr="00A21577">
        <w:rPr>
          <w:u w:color="000000"/>
        </w:rPr>
        <w:t>mozionante</w:t>
      </w:r>
      <w:proofErr w:type="spellEnd"/>
      <w:r w:rsidRPr="00A21577">
        <w:rPr>
          <w:u w:color="000000"/>
        </w:rPr>
        <w:t xml:space="preserve"> ha dichiarato: «</w:t>
      </w:r>
      <w:r>
        <w:rPr>
          <w:u w:color="000000"/>
          <w:lang w:val="it-IT"/>
        </w:rPr>
        <w:t xml:space="preserve">La situazione è seria: lo stesso servizio preposto alla conservazione ha affermato che per salvare dal degrado alcuni reperti è stato costretto a venderli a musei della Svizzera interna o stranieri. Si consideri poi che quella dei reperti in ferro non è che la punta </w:t>
      </w:r>
      <w:proofErr w:type="spellStart"/>
      <w:r>
        <w:rPr>
          <w:u w:color="000000"/>
          <w:lang w:val="it-IT"/>
        </w:rPr>
        <w:t>dell</w:t>
      </w:r>
      <w:proofErr w:type="spellEnd"/>
      <w:r>
        <w:rPr>
          <w:u w:color="000000"/>
        </w:rPr>
        <w:t>’</w:t>
      </w:r>
      <w:r w:rsidRPr="00320CD0">
        <w:rPr>
          <w:i/>
          <w:iCs/>
          <w:u w:color="000000"/>
          <w:lang w:val="it-IT"/>
        </w:rPr>
        <w:t>iceberg</w:t>
      </w:r>
      <w:r>
        <w:rPr>
          <w:u w:color="000000"/>
          <w:lang w:val="it-IT"/>
        </w:rPr>
        <w:t xml:space="preserve">, e per quanto concerne i costi la Commissione potrebbe approfondire il tema esaminando i costi per restauri in </w:t>
      </w:r>
      <w:r w:rsidRPr="00A36123">
        <w:rPr>
          <w:i/>
          <w:iCs/>
          <w:u w:color="000000"/>
          <w:lang w:val="it-IT"/>
        </w:rPr>
        <w:t>outsourcing</w:t>
      </w:r>
      <w:r>
        <w:rPr>
          <w:u w:color="000000"/>
          <w:lang w:val="it-IT"/>
        </w:rPr>
        <w:t xml:space="preserve"> e i costi per i blocchi dei cantieri quando si rinviene un</w:t>
      </w:r>
      <w:r>
        <w:rPr>
          <w:u w:color="000000"/>
        </w:rPr>
        <w:t>’area d’</w:t>
      </w:r>
      <w:r>
        <w:rPr>
          <w:u w:color="000000"/>
          <w:lang w:val="it-IT"/>
        </w:rPr>
        <w:t>interesse archeologico: se queste spese sono vanificate da una conservazione impropria, in sostanza si gettano soldi al vento</w:t>
      </w:r>
      <w:r w:rsidRPr="00A21577">
        <w:rPr>
          <w:u w:color="000000"/>
        </w:rPr>
        <w:t>»</w:t>
      </w:r>
      <w:r>
        <w:rPr>
          <w:u w:color="000000"/>
        </w:rPr>
        <w:t>.</w:t>
      </w:r>
    </w:p>
    <w:p w:rsidR="00F82631" w:rsidRPr="007D16B4" w:rsidRDefault="00F82631" w:rsidP="00F82631">
      <w:pPr>
        <w:rPr>
          <w:rFonts w:eastAsia="Verdana" w:cs="Verdana"/>
          <w:sz w:val="20"/>
          <w:szCs w:val="20"/>
          <w:u w:color="000000"/>
        </w:rPr>
      </w:pPr>
    </w:p>
    <w:p w:rsidR="00F82631" w:rsidRDefault="00F82631" w:rsidP="00F82631">
      <w:pPr>
        <w:rPr>
          <w:u w:color="000000"/>
        </w:rPr>
      </w:pPr>
      <w:r w:rsidRPr="00A21577">
        <w:rPr>
          <w:u w:color="000000"/>
        </w:rPr>
        <w:t xml:space="preserve">La mozione chiede che il Governo </w:t>
      </w:r>
    </w:p>
    <w:p w:rsidR="00F82631" w:rsidRPr="00861F53" w:rsidRDefault="00F82631" w:rsidP="007D16B4">
      <w:pPr>
        <w:pStyle w:val="Corpo"/>
        <w:tabs>
          <w:tab w:val="left" w:pos="9638"/>
        </w:tabs>
        <w:spacing w:before="120"/>
        <w:ind w:left="567" w:right="567"/>
        <w:jc w:val="both"/>
        <w:rPr>
          <w:rFonts w:ascii="Arial" w:eastAsia="Verdana" w:hAnsi="Arial" w:cs="Arial"/>
          <w:u w:color="000000"/>
        </w:rPr>
      </w:pPr>
      <w:r w:rsidRPr="00861F53">
        <w:rPr>
          <w:rFonts w:ascii="Arial" w:hAnsi="Arial" w:cs="Arial"/>
          <w:u w:color="000000"/>
        </w:rPr>
        <w:t>«</w:t>
      </w:r>
      <w:r w:rsidRPr="00861F53">
        <w:rPr>
          <w:rFonts w:ascii="Arial" w:hAnsi="Arial" w:cs="Arial"/>
          <w:u w:color="000000"/>
          <w:lang w:val="it-IT"/>
        </w:rPr>
        <w:t>abbia al più presto ad adottare e finanziare quanto necessario per risolvere da subito il problema della perdita definitiva del 30% dei reperti archeologici in ferro ed indichi chiaramente quali sono i mezzi finanziari e le risorse umane necessarie per assolvere ai compiti legali in materia archeologica secondo le linee guida e le intenzioni reali del Governo circa la futura politica di conservazione e promozione del patrimonio archeologico ticinese. Ciò tenuto conto anche che i costi (che il Governo si auspica indicherà) per i restauri fatti fare fuori Cantone potrebbero essere meglio spesi in Ticino. Al Governo si chieder</w:t>
      </w:r>
      <w:r w:rsidRPr="00861F53">
        <w:rPr>
          <w:rFonts w:ascii="Arial" w:hAnsi="Arial" w:cs="Arial"/>
          <w:u w:color="000000"/>
        </w:rPr>
        <w:t xml:space="preserve">à </w:t>
      </w:r>
      <w:r w:rsidRPr="00861F53">
        <w:rPr>
          <w:rFonts w:ascii="Arial" w:hAnsi="Arial" w:cs="Arial"/>
          <w:u w:color="000000"/>
          <w:lang w:val="it-IT"/>
        </w:rPr>
        <w:t>anche che spieghi a quanto ammontano i costi che il Cantone si assume quando per mancanza di sufficiente dotazione di personale presso il Servizio archeologico cantonale deve rivolgersi a terzi esterni</w:t>
      </w:r>
      <w:r w:rsidRPr="00861F53">
        <w:rPr>
          <w:rFonts w:ascii="Arial" w:hAnsi="Arial" w:cs="Arial"/>
          <w:u w:color="000000"/>
        </w:rPr>
        <w:t>».</w:t>
      </w:r>
    </w:p>
    <w:p w:rsidR="00F82631" w:rsidRPr="007D16B4" w:rsidRDefault="00F82631" w:rsidP="00F82631">
      <w:pPr>
        <w:rPr>
          <w:sz w:val="20"/>
          <w:szCs w:val="20"/>
          <w:u w:color="000000"/>
        </w:rPr>
      </w:pPr>
    </w:p>
    <w:p w:rsidR="00F82631" w:rsidRDefault="00861F53" w:rsidP="00F82631">
      <w:pPr>
        <w:rPr>
          <w:rFonts w:eastAsia="Verdana" w:cs="Verdana"/>
          <w:u w:color="000000"/>
        </w:rPr>
      </w:pPr>
      <w:r>
        <w:rPr>
          <w:u w:color="000000"/>
        </w:rPr>
        <w:t>Con l</w:t>
      </w:r>
      <w:r w:rsidR="00F82631" w:rsidRPr="00A21577">
        <w:rPr>
          <w:u w:color="000000"/>
        </w:rPr>
        <w:t>ettera del 29 agosto 2018 il Consiglio di Stato informava la Commissione di rinunciare a pronunciarsi con un messaggio sulla mozione in oggetto.</w:t>
      </w:r>
      <w:r w:rsidR="00F82631">
        <w:rPr>
          <w:u w:color="000000"/>
        </w:rPr>
        <w:t xml:space="preserve"> </w:t>
      </w:r>
    </w:p>
    <w:p w:rsidR="00F82631" w:rsidRDefault="00F82631" w:rsidP="00F82631">
      <w:pPr>
        <w:rPr>
          <w:rFonts w:eastAsia="Verdana" w:cs="Verdana"/>
          <w:u w:color="000000"/>
        </w:rPr>
      </w:pPr>
    </w:p>
    <w:p w:rsidR="00F82631" w:rsidRDefault="00F82631" w:rsidP="00F82631">
      <w:pPr>
        <w:pStyle w:val="Titolo1"/>
        <w:rPr>
          <w:rFonts w:eastAsia="Verdana" w:cs="Verdana"/>
          <w:u w:color="000000"/>
        </w:rPr>
      </w:pPr>
      <w:r w:rsidRPr="00A21577">
        <w:rPr>
          <w:u w:color="000000"/>
        </w:rPr>
        <w:lastRenderedPageBreak/>
        <w:t>ConsiderAzioni della COMMISSIONE</w:t>
      </w:r>
    </w:p>
    <w:p w:rsidR="00F82631" w:rsidRDefault="00F82631" w:rsidP="00F82631">
      <w:pPr>
        <w:rPr>
          <w:u w:color="000000"/>
        </w:rPr>
      </w:pPr>
      <w:r w:rsidRPr="00A21577">
        <w:rPr>
          <w:u w:color="000000"/>
        </w:rPr>
        <w:t>A seguito dell</w:t>
      </w:r>
      <w:r>
        <w:rPr>
          <w:u w:color="000000"/>
        </w:rPr>
        <w:t>’</w:t>
      </w:r>
      <w:r w:rsidRPr="00A21577">
        <w:rPr>
          <w:u w:color="000000"/>
        </w:rPr>
        <w:t xml:space="preserve">audizione del </w:t>
      </w:r>
      <w:proofErr w:type="spellStart"/>
      <w:r w:rsidRPr="00A21577">
        <w:rPr>
          <w:u w:color="000000"/>
        </w:rPr>
        <w:t>mozionante</w:t>
      </w:r>
      <w:proofErr w:type="spellEnd"/>
      <w:r w:rsidRPr="00A21577">
        <w:rPr>
          <w:u w:color="000000"/>
        </w:rPr>
        <w:t>, la Commissione ha incaricato il relatore di approfondire alcuni aspetti già segnalati dall</w:t>
      </w:r>
      <w:r>
        <w:rPr>
          <w:u w:color="000000"/>
        </w:rPr>
        <w:t>’</w:t>
      </w:r>
      <w:r w:rsidRPr="00A21577">
        <w:rPr>
          <w:u w:color="000000"/>
        </w:rPr>
        <w:t>interrogazione e dalla mozione e ribaditi in audizione.</w:t>
      </w:r>
    </w:p>
    <w:p w:rsidR="00F82631" w:rsidRDefault="00F82631" w:rsidP="00F82631">
      <w:pPr>
        <w:rPr>
          <w:u w:color="000000"/>
        </w:rPr>
      </w:pPr>
    </w:p>
    <w:p w:rsidR="00F82631" w:rsidRDefault="00F82631" w:rsidP="00F82631">
      <w:pPr>
        <w:rPr>
          <w:u w:color="000000"/>
        </w:rPr>
      </w:pPr>
      <w:r w:rsidRPr="00A21577">
        <w:rPr>
          <w:u w:color="000000"/>
        </w:rPr>
        <w:t>Il Consiglio di Stato ha risposto esaurientemente con una</w:t>
      </w:r>
      <w:r>
        <w:rPr>
          <w:u w:color="000000"/>
        </w:rPr>
        <w:t xml:space="preserve"> lettera alla Commissione del </w:t>
      </w:r>
      <w:r>
        <w:rPr>
          <w:u w:color="000000"/>
        </w:rPr>
        <w:br/>
        <w:t xml:space="preserve">2 </w:t>
      </w:r>
      <w:r w:rsidRPr="00A21577">
        <w:rPr>
          <w:u w:color="000000"/>
        </w:rPr>
        <w:t>febbraio 2019 (</w:t>
      </w:r>
      <w:r w:rsidRPr="006A4EF4">
        <w:rPr>
          <w:i/>
          <w:iCs/>
          <w:u w:color="000000"/>
        </w:rPr>
        <w:t>corsivi del relatore</w:t>
      </w:r>
      <w:r w:rsidRPr="00A21577">
        <w:rPr>
          <w:u w:color="000000"/>
        </w:rPr>
        <w:t>)</w:t>
      </w:r>
    </w:p>
    <w:p w:rsidR="00F82631" w:rsidRDefault="00F82631" w:rsidP="00F82631">
      <w:pPr>
        <w:rPr>
          <w:u w:color="000000"/>
        </w:rPr>
      </w:pPr>
    </w:p>
    <w:p w:rsidR="00F82631" w:rsidRDefault="00F82631" w:rsidP="00F82631">
      <w:pPr>
        <w:rPr>
          <w:rFonts w:eastAsia="Verdana" w:cs="Verdana"/>
          <w:u w:color="000000"/>
        </w:rPr>
      </w:pPr>
      <w:r w:rsidRPr="00A21577">
        <w:rPr>
          <w:u w:color="000000"/>
        </w:rPr>
        <w:t xml:space="preserve">Sulla possibilità di meglio gestire il problema dei reperti, il Consiglio di Stato risponde: </w:t>
      </w:r>
    </w:p>
    <w:p w:rsidR="00F82631" w:rsidRPr="00F82631" w:rsidRDefault="00F82631" w:rsidP="00F82631">
      <w:pPr>
        <w:spacing w:before="120"/>
        <w:ind w:left="567"/>
        <w:rPr>
          <w:rFonts w:eastAsia="Verdana" w:cs="Verdana"/>
          <w:i/>
          <w:sz w:val="22"/>
          <w:u w:color="000000"/>
        </w:rPr>
      </w:pPr>
      <w:r w:rsidRPr="00F82631">
        <w:rPr>
          <w:i/>
          <w:sz w:val="22"/>
          <w:u w:color="000000"/>
        </w:rPr>
        <w:t>«</w:t>
      </w:r>
      <w:r w:rsidRPr="00F82631">
        <w:rPr>
          <w:i/>
          <w:sz w:val="22"/>
          <w:u w:color="000000"/>
          <w:lang w:val="it-IT"/>
        </w:rPr>
        <w:t>Nell</w:t>
      </w:r>
      <w:r w:rsidRPr="00F82631">
        <w:rPr>
          <w:i/>
          <w:sz w:val="22"/>
          <w:u w:color="000000"/>
        </w:rPr>
        <w:t>’</w:t>
      </w:r>
      <w:r w:rsidRPr="00F82631">
        <w:rPr>
          <w:i/>
          <w:sz w:val="22"/>
          <w:u w:color="000000"/>
          <w:lang w:val="it-IT"/>
        </w:rPr>
        <w:t>organico del Servizio archeologia ed in quello dei tre musei che espongono stabilmente le collezioni archeologiche (Musei di Castelgrande e Montebello a Bellinzona, Museo civico del Castello Visconteo a Locarno) non esiste la funzione del</w:t>
      </w:r>
      <w:r w:rsidRPr="00F82631">
        <w:rPr>
          <w:i/>
          <w:sz w:val="22"/>
          <w:u w:color="000000"/>
        </w:rPr>
        <w:t xml:space="preserve"> </w:t>
      </w:r>
      <w:r w:rsidRPr="00F82631">
        <w:rPr>
          <w:i/>
          <w:sz w:val="22"/>
          <w:u w:color="000000"/>
          <w:lang w:val="it-IT"/>
        </w:rPr>
        <w:t>conservatore-restauratore di reperti archeologici con diploma riconosciuto. In assenza di tale figura i vari tipi di intervento necessari alla conservazione dei reperti devono essere realizzati tramite mandati esterni, il cui conferimento deve confrontarsi con i limiti dati dalle disponibilità</w:t>
      </w:r>
      <w:r w:rsidRPr="00F82631">
        <w:rPr>
          <w:i/>
          <w:sz w:val="22"/>
          <w:u w:color="000000"/>
        </w:rPr>
        <w:t xml:space="preserve"> </w:t>
      </w:r>
      <w:r w:rsidRPr="00F82631">
        <w:rPr>
          <w:i/>
          <w:sz w:val="22"/>
          <w:u w:color="000000"/>
          <w:lang w:val="it-IT"/>
        </w:rPr>
        <w:t xml:space="preserve">finanziare dell’Ufficio. In passato si è pure fatto capo a collaboratori scientifici che, parzialmente, hanno supplito la funzione di una figura specializzata. </w:t>
      </w:r>
    </w:p>
    <w:p w:rsidR="00F82631" w:rsidRPr="00F82631" w:rsidRDefault="00F82631" w:rsidP="00F82631">
      <w:pPr>
        <w:spacing w:before="120"/>
        <w:ind w:left="567"/>
        <w:rPr>
          <w:rFonts w:eastAsia="Verdana" w:cs="Verdana"/>
          <w:i/>
          <w:iCs/>
          <w:sz w:val="22"/>
          <w:u w:color="000000"/>
        </w:rPr>
      </w:pPr>
      <w:r w:rsidRPr="00F82631">
        <w:rPr>
          <w:i/>
          <w:iCs/>
          <w:sz w:val="22"/>
          <w:u w:color="000000"/>
          <w:lang w:val="it-IT"/>
        </w:rPr>
        <w:t>A mente dell’Ufficio dei beni culturali, l</w:t>
      </w:r>
      <w:r w:rsidRPr="00F82631">
        <w:rPr>
          <w:i/>
          <w:iCs/>
          <w:sz w:val="22"/>
          <w:u w:color="000000"/>
        </w:rPr>
        <w:t>’</w:t>
      </w:r>
      <w:r w:rsidRPr="00F82631">
        <w:rPr>
          <w:i/>
          <w:iCs/>
          <w:sz w:val="22"/>
          <w:u w:color="000000"/>
          <w:lang w:val="it-IT"/>
        </w:rPr>
        <w:t>integrazione nel proprio organico di un conservatore/</w:t>
      </w:r>
      <w:proofErr w:type="spellStart"/>
      <w:r w:rsidRPr="00F82631">
        <w:rPr>
          <w:i/>
          <w:iCs/>
          <w:sz w:val="22"/>
          <w:u w:color="000000"/>
          <w:lang w:val="it-IT"/>
        </w:rPr>
        <w:t>trice</w:t>
      </w:r>
      <w:proofErr w:type="spellEnd"/>
      <w:r w:rsidRPr="00F82631">
        <w:rPr>
          <w:i/>
          <w:iCs/>
          <w:sz w:val="22"/>
          <w:u w:color="000000"/>
          <w:lang w:val="it-IT"/>
        </w:rPr>
        <w:t xml:space="preserve"> </w:t>
      </w:r>
      <w:r>
        <w:rPr>
          <w:i/>
          <w:iCs/>
          <w:sz w:val="22"/>
          <w:u w:color="000000"/>
          <w:lang w:val="it-IT"/>
        </w:rPr>
        <w:t>-</w:t>
      </w:r>
      <w:r w:rsidRPr="00F82631">
        <w:rPr>
          <w:i/>
          <w:iCs/>
          <w:sz w:val="22"/>
          <w:u w:color="000000"/>
        </w:rPr>
        <w:t xml:space="preserve"> </w:t>
      </w:r>
      <w:r w:rsidRPr="00F82631">
        <w:rPr>
          <w:i/>
          <w:iCs/>
          <w:sz w:val="22"/>
          <w:u w:color="000000"/>
          <w:lang w:val="it-IT"/>
        </w:rPr>
        <w:t>restauratore/</w:t>
      </w:r>
      <w:proofErr w:type="spellStart"/>
      <w:r w:rsidRPr="00F82631">
        <w:rPr>
          <w:i/>
          <w:iCs/>
          <w:sz w:val="22"/>
          <w:u w:color="000000"/>
          <w:lang w:val="it-IT"/>
        </w:rPr>
        <w:t>trice</w:t>
      </w:r>
      <w:proofErr w:type="spellEnd"/>
      <w:r w:rsidRPr="00F82631">
        <w:rPr>
          <w:i/>
          <w:iCs/>
          <w:sz w:val="22"/>
          <w:u w:color="000000"/>
          <w:lang w:val="it-IT"/>
        </w:rPr>
        <w:t>, anche a tempo parziale, garantirebbe in futuro una maggiore regolarità</w:t>
      </w:r>
      <w:r w:rsidRPr="00F82631">
        <w:rPr>
          <w:i/>
          <w:iCs/>
          <w:sz w:val="22"/>
          <w:u w:color="000000"/>
        </w:rPr>
        <w:t xml:space="preserve"> e continuità </w:t>
      </w:r>
      <w:r w:rsidRPr="00F82631">
        <w:rPr>
          <w:i/>
          <w:iCs/>
          <w:sz w:val="22"/>
          <w:u w:color="000000"/>
          <w:lang w:val="it-IT"/>
        </w:rPr>
        <w:t>nel restauro dei reperti.</w:t>
      </w:r>
      <w:r w:rsidRPr="00F82631">
        <w:rPr>
          <w:i/>
          <w:iCs/>
          <w:sz w:val="22"/>
          <w:u w:color="000000"/>
        </w:rPr>
        <w:t xml:space="preserve">» </w:t>
      </w:r>
    </w:p>
    <w:p w:rsidR="00F82631" w:rsidRDefault="00F82631" w:rsidP="00F82631">
      <w:pPr>
        <w:rPr>
          <w:u w:color="000000"/>
        </w:rPr>
      </w:pPr>
    </w:p>
    <w:p w:rsidR="00F82631" w:rsidRDefault="00F82631" w:rsidP="00F82631">
      <w:pPr>
        <w:rPr>
          <w:u w:color="000000"/>
        </w:rPr>
      </w:pPr>
      <w:r w:rsidRPr="00A21577">
        <w:rPr>
          <w:u w:color="000000"/>
        </w:rPr>
        <w:t xml:space="preserve">Sullo </w:t>
      </w:r>
      <w:r>
        <w:rPr>
          <w:u w:color="000000"/>
          <w:lang w:val="it-IT"/>
        </w:rPr>
        <w:t>stato dei reperti affidato allo Stato e di quelli ferrosi in particolare</w:t>
      </w:r>
      <w:r w:rsidRPr="00A21577">
        <w:rPr>
          <w:u w:color="000000"/>
        </w:rPr>
        <w:t>, il Consiglio di Stato ribadisce quanto già affermato nella risposta all</w:t>
      </w:r>
      <w:r>
        <w:rPr>
          <w:u w:color="000000"/>
        </w:rPr>
        <w:t>’</w:t>
      </w:r>
      <w:r w:rsidRPr="00A21577">
        <w:rPr>
          <w:u w:color="000000"/>
        </w:rPr>
        <w:t>interrogazione citata.</w:t>
      </w:r>
    </w:p>
    <w:p w:rsidR="00F82631" w:rsidRDefault="00F82631" w:rsidP="00F82631">
      <w:pPr>
        <w:rPr>
          <w:rFonts w:eastAsia="Verdana" w:cs="Verdana"/>
          <w:u w:color="000000"/>
        </w:rPr>
      </w:pPr>
    </w:p>
    <w:p w:rsidR="00F82631" w:rsidRDefault="00F82631" w:rsidP="00F82631">
      <w:pPr>
        <w:rPr>
          <w:rFonts w:eastAsia="Verdana" w:cs="Verdana"/>
          <w:u w:color="000000"/>
        </w:rPr>
      </w:pPr>
      <w:r w:rsidRPr="00A21577">
        <w:rPr>
          <w:u w:color="000000"/>
        </w:rPr>
        <w:t xml:space="preserve">Sulla voce che alcuni reperti siano statti venduti, il Consiglio di Stato risponde: </w:t>
      </w:r>
    </w:p>
    <w:p w:rsidR="00F82631" w:rsidRPr="00F82631" w:rsidRDefault="00F82631" w:rsidP="00F82631">
      <w:pPr>
        <w:spacing w:before="120"/>
        <w:ind w:left="567"/>
        <w:rPr>
          <w:rFonts w:eastAsia="Verdana" w:cs="Verdana"/>
          <w:i/>
          <w:sz w:val="22"/>
          <w:u w:color="000000"/>
        </w:rPr>
      </w:pPr>
      <w:r w:rsidRPr="00F82631">
        <w:rPr>
          <w:i/>
          <w:sz w:val="22"/>
          <w:u w:color="000000"/>
        </w:rPr>
        <w:t>«</w:t>
      </w:r>
      <w:r w:rsidRPr="00F82631">
        <w:rPr>
          <w:i/>
          <w:sz w:val="22"/>
          <w:u w:color="000000"/>
          <w:lang w:val="it-IT"/>
        </w:rPr>
        <w:t>Dopo l</w:t>
      </w:r>
      <w:r w:rsidRPr="00F82631">
        <w:rPr>
          <w:i/>
          <w:sz w:val="22"/>
          <w:u w:color="000000"/>
        </w:rPr>
        <w:t>’</w:t>
      </w:r>
      <w:r w:rsidRPr="00F82631">
        <w:rPr>
          <w:i/>
          <w:sz w:val="22"/>
          <w:u w:color="000000"/>
          <w:lang w:val="it-IT"/>
        </w:rPr>
        <w:t>entrata in vigore della prima legge a tutela del Patrimonio archeologico nel 1909 nessun reperto è stato venduto a Musei svizzeri ed esteri.</w:t>
      </w:r>
      <w:r w:rsidRPr="00F82631">
        <w:rPr>
          <w:i/>
          <w:sz w:val="22"/>
          <w:u w:color="000000"/>
        </w:rPr>
        <w:t xml:space="preserve">» </w:t>
      </w:r>
    </w:p>
    <w:p w:rsidR="00F82631" w:rsidRDefault="00F82631" w:rsidP="00F82631">
      <w:pPr>
        <w:rPr>
          <w:u w:color="000000"/>
        </w:rPr>
      </w:pPr>
    </w:p>
    <w:p w:rsidR="00F82631" w:rsidRDefault="00F82631" w:rsidP="00F82631">
      <w:pPr>
        <w:rPr>
          <w:rFonts w:eastAsia="Verdana" w:cs="Verdana"/>
          <w:u w:color="000000"/>
        </w:rPr>
      </w:pPr>
      <w:r w:rsidRPr="00A21577">
        <w:rPr>
          <w:u w:color="000000"/>
        </w:rPr>
        <w:t>Sull</w:t>
      </w:r>
      <w:r>
        <w:rPr>
          <w:u w:color="000000"/>
        </w:rPr>
        <w:t>’</w:t>
      </w:r>
      <w:r w:rsidRPr="00A21577">
        <w:rPr>
          <w:i/>
          <w:iCs/>
          <w:u w:color="000000"/>
        </w:rPr>
        <w:t>outsourcing</w:t>
      </w:r>
      <w:r w:rsidRPr="00A21577">
        <w:rPr>
          <w:u w:color="000000"/>
        </w:rPr>
        <w:t xml:space="preserve"> di lavori di restauro, il Consiglio di Stato precisa che:</w:t>
      </w:r>
    </w:p>
    <w:p w:rsidR="00F82631" w:rsidRPr="00F82631" w:rsidRDefault="007D16B4" w:rsidP="00F82631">
      <w:pPr>
        <w:spacing w:before="120"/>
        <w:ind w:left="567"/>
        <w:rPr>
          <w:rFonts w:eastAsia="Verdana" w:cs="Verdana"/>
          <w:i/>
          <w:sz w:val="22"/>
          <w:u w:color="000000"/>
        </w:rPr>
      </w:pPr>
      <w:r>
        <w:rPr>
          <w:i/>
          <w:sz w:val="22"/>
          <w:u w:color="000000"/>
        </w:rPr>
        <w:t>«I</w:t>
      </w:r>
      <w:r w:rsidR="00F82631" w:rsidRPr="00F82631">
        <w:rPr>
          <w:i/>
          <w:sz w:val="22"/>
          <w:u w:color="000000"/>
        </w:rPr>
        <w:t xml:space="preserve">n assenza della figura di un </w:t>
      </w:r>
      <w:r w:rsidR="00F82631" w:rsidRPr="00F82631">
        <w:rPr>
          <w:i/>
          <w:sz w:val="22"/>
          <w:u w:color="000000"/>
          <w:lang w:val="it-IT"/>
        </w:rPr>
        <w:t>conservatore/</w:t>
      </w:r>
      <w:proofErr w:type="spellStart"/>
      <w:r w:rsidR="00F82631" w:rsidRPr="00F82631">
        <w:rPr>
          <w:i/>
          <w:sz w:val="22"/>
          <w:u w:color="000000"/>
          <w:lang w:val="it-IT"/>
        </w:rPr>
        <w:t>trice</w:t>
      </w:r>
      <w:proofErr w:type="spellEnd"/>
      <w:r w:rsidR="00F82631" w:rsidRPr="00F82631">
        <w:rPr>
          <w:i/>
          <w:sz w:val="22"/>
          <w:u w:color="000000"/>
          <w:lang w:val="it-IT"/>
        </w:rPr>
        <w:t xml:space="preserve"> </w:t>
      </w:r>
      <w:r w:rsidR="00F82631" w:rsidRPr="00F82631">
        <w:rPr>
          <w:i/>
          <w:sz w:val="22"/>
          <w:u w:color="000000"/>
        </w:rPr>
        <w:t xml:space="preserve">— </w:t>
      </w:r>
      <w:r w:rsidR="00F82631" w:rsidRPr="00F82631">
        <w:rPr>
          <w:i/>
          <w:sz w:val="22"/>
          <w:u w:color="000000"/>
          <w:lang w:val="it-IT"/>
        </w:rPr>
        <w:t>restauratore/</w:t>
      </w:r>
      <w:proofErr w:type="spellStart"/>
      <w:r w:rsidR="00F82631" w:rsidRPr="00F82631">
        <w:rPr>
          <w:i/>
          <w:sz w:val="22"/>
          <w:u w:color="000000"/>
          <w:lang w:val="it-IT"/>
        </w:rPr>
        <w:t>trice</w:t>
      </w:r>
      <w:proofErr w:type="spellEnd"/>
      <w:r w:rsidR="00F82631" w:rsidRPr="00F82631">
        <w:rPr>
          <w:i/>
          <w:sz w:val="22"/>
          <w:u w:color="000000"/>
          <w:lang w:val="it-IT"/>
        </w:rPr>
        <w:t xml:space="preserve"> </w:t>
      </w:r>
      <w:r w:rsidR="00F82631" w:rsidRPr="00F82631">
        <w:rPr>
          <w:i/>
          <w:sz w:val="22"/>
          <w:u w:color="000000"/>
        </w:rPr>
        <w:t>nell’organico, l</w:t>
      </w:r>
      <w:r w:rsidR="00F82631" w:rsidRPr="00F82631">
        <w:rPr>
          <w:i/>
          <w:sz w:val="22"/>
          <w:u w:color="000000"/>
          <w:lang w:val="it-IT"/>
        </w:rPr>
        <w:t>a prima fase di pulizia e conservazione di base post scavo dei reperti, come pure il loro monitoraggio, sono stati gestiti fino al 2013 da una collaboratrice scientifica del Servizio (</w:t>
      </w:r>
      <w:r w:rsidR="00F82631" w:rsidRPr="00F82631">
        <w:rPr>
          <w:i/>
          <w:sz w:val="22"/>
          <w:u w:color="000000"/>
        </w:rPr>
        <w:t xml:space="preserve">al </w:t>
      </w:r>
      <w:r w:rsidR="00F82631" w:rsidRPr="00F82631">
        <w:rPr>
          <w:i/>
          <w:sz w:val="22"/>
          <w:u w:color="000000"/>
          <w:lang w:val="it-IT"/>
        </w:rPr>
        <w:t>50% per questo compito)</w:t>
      </w:r>
      <w:r w:rsidR="00F82631" w:rsidRPr="00F82631">
        <w:rPr>
          <w:i/>
          <w:sz w:val="22"/>
          <w:u w:color="000000"/>
        </w:rPr>
        <w:t xml:space="preserve">. </w:t>
      </w:r>
    </w:p>
    <w:p w:rsidR="00F82631" w:rsidRPr="00F82631" w:rsidRDefault="00F82631" w:rsidP="00F82631">
      <w:pPr>
        <w:spacing w:before="120"/>
        <w:ind w:left="567"/>
        <w:rPr>
          <w:rFonts w:eastAsia="Verdana" w:cs="Verdana"/>
          <w:i/>
          <w:sz w:val="22"/>
          <w:u w:color="000000"/>
        </w:rPr>
      </w:pPr>
      <w:r w:rsidRPr="00F82631">
        <w:rPr>
          <w:i/>
          <w:sz w:val="22"/>
          <w:u w:color="000000"/>
        </w:rPr>
        <w:t xml:space="preserve">Dal 2017 fino al giugno 2019 </w:t>
      </w:r>
      <w:r w:rsidRPr="00F82631">
        <w:rPr>
          <w:i/>
          <w:sz w:val="22"/>
          <w:u w:color="000000"/>
          <w:lang w:val="it-IT"/>
        </w:rPr>
        <w:t>la pulizia dei reperti è affidata temporaneamente a una collaboratrice al 60% grazie a un programma AU</w:t>
      </w:r>
      <w:r w:rsidRPr="00F82631">
        <w:rPr>
          <w:i/>
          <w:sz w:val="22"/>
          <w:u w:color="000000"/>
        </w:rPr>
        <w:t xml:space="preserve">P. </w:t>
      </w:r>
    </w:p>
    <w:p w:rsidR="00F82631" w:rsidRPr="00F82631" w:rsidRDefault="00F82631" w:rsidP="00F82631">
      <w:pPr>
        <w:spacing w:before="120"/>
        <w:ind w:left="567"/>
        <w:rPr>
          <w:rFonts w:eastAsia="Verdana" w:cs="Verdana"/>
          <w:i/>
          <w:sz w:val="22"/>
          <w:u w:color="000000"/>
        </w:rPr>
      </w:pPr>
      <w:r w:rsidRPr="00F82631">
        <w:rPr>
          <w:i/>
          <w:sz w:val="22"/>
          <w:u w:color="000000"/>
        </w:rPr>
        <w:t>Nella</w:t>
      </w:r>
      <w:r w:rsidRPr="00F82631">
        <w:rPr>
          <w:i/>
          <w:sz w:val="22"/>
          <w:u w:color="000000"/>
          <w:lang w:val="it-IT"/>
        </w:rPr>
        <w:t xml:space="preserve"> situazione attuale gli aspetti legati al monitoraggio degli oggetti sono sospesi, mentre il restauro è esternalizzato a laboratori specializzati della Svizzera tedesca</w:t>
      </w:r>
      <w:r w:rsidRPr="00F82631">
        <w:rPr>
          <w:i/>
          <w:sz w:val="22"/>
          <w:u w:color="000000"/>
        </w:rPr>
        <w:t xml:space="preserve"> (per esempio il </w:t>
      </w:r>
      <w:r w:rsidRPr="00F82631">
        <w:rPr>
          <w:i/>
          <w:sz w:val="22"/>
          <w:u w:color="000000"/>
          <w:lang w:val="it-IT"/>
        </w:rPr>
        <w:t xml:space="preserve">Museo nazionale svizzero di Zurigo e </w:t>
      </w:r>
      <w:r w:rsidRPr="00F82631">
        <w:rPr>
          <w:i/>
          <w:sz w:val="22"/>
          <w:u w:color="000000"/>
        </w:rPr>
        <w:t>il</w:t>
      </w:r>
      <w:r w:rsidRPr="00F82631">
        <w:rPr>
          <w:i/>
          <w:sz w:val="22"/>
          <w:u w:color="000000"/>
          <w:lang w:val="it-IT"/>
        </w:rPr>
        <w:t xml:space="preserve"> Museo archeologico del Canton Zugo</w:t>
      </w:r>
      <w:r w:rsidRPr="00F82631">
        <w:rPr>
          <w:i/>
          <w:sz w:val="22"/>
          <w:u w:color="000000"/>
        </w:rPr>
        <w:t>).»</w:t>
      </w:r>
    </w:p>
    <w:p w:rsidR="00F82631" w:rsidRDefault="00F82631" w:rsidP="00F82631">
      <w:pPr>
        <w:rPr>
          <w:u w:color="000000"/>
        </w:rPr>
      </w:pPr>
    </w:p>
    <w:p w:rsidR="00F82631" w:rsidRDefault="00F82631" w:rsidP="00F82631">
      <w:pPr>
        <w:rPr>
          <w:rFonts w:eastAsia="Verdana" w:cs="Verdana"/>
          <w:u w:color="000000"/>
        </w:rPr>
      </w:pPr>
      <w:r w:rsidRPr="00A21577">
        <w:rPr>
          <w:u w:color="000000"/>
        </w:rPr>
        <w:t>Alla domanda sulla possibilità e sui costi di un intervento immediato sui reperti (ferrosi), il Consiglio di Stato risponde:</w:t>
      </w:r>
    </w:p>
    <w:p w:rsidR="00F82631" w:rsidRPr="00F82631" w:rsidRDefault="00F82631" w:rsidP="00F82631">
      <w:pPr>
        <w:spacing w:before="120"/>
        <w:ind w:left="567"/>
        <w:rPr>
          <w:rFonts w:eastAsia="Verdana" w:cs="Verdana"/>
          <w:i/>
          <w:sz w:val="22"/>
          <w:u w:color="000000"/>
        </w:rPr>
      </w:pPr>
      <w:r w:rsidRPr="00F82631">
        <w:rPr>
          <w:i/>
          <w:sz w:val="22"/>
          <w:u w:color="000000"/>
        </w:rPr>
        <w:t>«</w:t>
      </w:r>
      <w:r w:rsidRPr="00F82631">
        <w:rPr>
          <w:i/>
          <w:sz w:val="22"/>
          <w:u w:color="000000"/>
          <w:lang w:val="it-IT"/>
        </w:rPr>
        <w:t>Possiamo confermare che interventi minimi di conservazione, eseguiti al momento del ritrovamento, potrebbero risolvere il problema del degrado dei reperti, di quelli ferrosi in particolare. Per quanto riguarda l</w:t>
      </w:r>
      <w:r w:rsidRPr="00F82631">
        <w:rPr>
          <w:i/>
          <w:sz w:val="22"/>
          <w:u w:color="000000"/>
        </w:rPr>
        <w:t>’</w:t>
      </w:r>
      <w:r w:rsidRPr="00F82631">
        <w:rPr>
          <w:i/>
          <w:sz w:val="22"/>
          <w:u w:color="000000"/>
          <w:lang w:val="it-IT"/>
        </w:rPr>
        <w:t xml:space="preserve">investimento necessario sono da tenere in conto le considerazioni, che seguono. </w:t>
      </w:r>
    </w:p>
    <w:p w:rsidR="00861F53" w:rsidRDefault="00F82631" w:rsidP="00F82631">
      <w:pPr>
        <w:spacing w:before="120"/>
        <w:ind w:left="567"/>
        <w:rPr>
          <w:i/>
          <w:sz w:val="22"/>
          <w:u w:color="000000"/>
          <w:lang w:val="it-IT"/>
        </w:rPr>
      </w:pPr>
      <w:r w:rsidRPr="00F82631">
        <w:rPr>
          <w:i/>
          <w:sz w:val="22"/>
          <w:u w:color="000000"/>
          <w:lang w:val="it-IT"/>
        </w:rPr>
        <w:t>Nel periodo 2013-2018, facendo capo a strutture esterne ubicate in Svizzera tedesca, si è intervenuti su 235 reperti in metallo generando un costo complessivo di CHF 238</w:t>
      </w:r>
      <w:r w:rsidRPr="00F82631">
        <w:rPr>
          <w:i/>
          <w:sz w:val="22"/>
          <w:u w:color="000000"/>
        </w:rPr>
        <w:t>’</w:t>
      </w:r>
      <w:r w:rsidRPr="00F82631">
        <w:rPr>
          <w:i/>
          <w:sz w:val="22"/>
          <w:u w:color="000000"/>
          <w:lang w:val="it-IT"/>
        </w:rPr>
        <w:t>318.25, ovvero in media CHF 1</w:t>
      </w:r>
      <w:r w:rsidRPr="00F82631">
        <w:rPr>
          <w:i/>
          <w:sz w:val="22"/>
          <w:u w:color="000000"/>
        </w:rPr>
        <w:t>’</w:t>
      </w:r>
      <w:r w:rsidRPr="00F82631">
        <w:rPr>
          <w:i/>
          <w:sz w:val="22"/>
          <w:u w:color="000000"/>
          <w:lang w:val="it-IT"/>
        </w:rPr>
        <w:t>014.- a reperto.</w:t>
      </w:r>
    </w:p>
    <w:p w:rsidR="00F82631" w:rsidRPr="00F82631" w:rsidRDefault="00F82631" w:rsidP="00861F53">
      <w:pPr>
        <w:ind w:left="567"/>
        <w:rPr>
          <w:rFonts w:eastAsia="Verdana" w:cs="Verdana"/>
          <w:i/>
          <w:sz w:val="22"/>
          <w:u w:color="000000"/>
        </w:rPr>
      </w:pPr>
      <w:r w:rsidRPr="00F82631">
        <w:rPr>
          <w:i/>
          <w:sz w:val="22"/>
          <w:u w:color="000000"/>
          <w:lang w:val="it-IT"/>
        </w:rPr>
        <w:t>Disponendo di una risorsa interna il costo per un intervento di conservazione scende a CHF 250.- a reperto. Con l</w:t>
      </w:r>
      <w:r w:rsidRPr="00F82631">
        <w:rPr>
          <w:i/>
          <w:sz w:val="22"/>
          <w:u w:color="000000"/>
        </w:rPr>
        <w:t>’</w:t>
      </w:r>
      <w:r w:rsidRPr="00F82631">
        <w:rPr>
          <w:i/>
          <w:sz w:val="22"/>
          <w:u w:color="000000"/>
          <w:lang w:val="it-IT"/>
        </w:rPr>
        <w:t>importo annuo indicato di CHF 20</w:t>
      </w:r>
      <w:r w:rsidRPr="00F82631">
        <w:rPr>
          <w:i/>
          <w:sz w:val="22"/>
          <w:u w:color="000000"/>
        </w:rPr>
        <w:t>’</w:t>
      </w:r>
      <w:r w:rsidRPr="00F82631">
        <w:rPr>
          <w:i/>
          <w:sz w:val="22"/>
          <w:u w:color="000000"/>
          <w:lang w:val="it-IT"/>
        </w:rPr>
        <w:t>000.-, una risorsa interna occupata al 30% potrebbe intervenire in media su 80 reperti (già</w:t>
      </w:r>
      <w:r w:rsidRPr="00F82631">
        <w:rPr>
          <w:i/>
          <w:sz w:val="22"/>
          <w:u w:color="000000"/>
        </w:rPr>
        <w:t xml:space="preserve"> </w:t>
      </w:r>
      <w:r w:rsidRPr="00F82631">
        <w:rPr>
          <w:i/>
          <w:sz w:val="22"/>
          <w:u w:color="000000"/>
          <w:lang w:val="it-IT"/>
        </w:rPr>
        <w:t xml:space="preserve">dal momento del ritrovamento), </w:t>
      </w:r>
      <w:r w:rsidRPr="00F82631">
        <w:rPr>
          <w:i/>
          <w:sz w:val="22"/>
          <w:u w:color="000000"/>
          <w:lang w:val="it-IT"/>
        </w:rPr>
        <w:lastRenderedPageBreak/>
        <w:t>assicurando in parallelo un monitoraggio regolare sul resto del patrimonio archeologico di proprietà</w:t>
      </w:r>
      <w:r w:rsidRPr="00F82631">
        <w:rPr>
          <w:i/>
          <w:sz w:val="22"/>
          <w:u w:color="000000"/>
        </w:rPr>
        <w:t xml:space="preserve"> </w:t>
      </w:r>
      <w:r w:rsidRPr="00F82631">
        <w:rPr>
          <w:i/>
          <w:sz w:val="22"/>
          <w:u w:color="000000"/>
          <w:lang w:val="it-IT"/>
        </w:rPr>
        <w:t>dello Stato; il monitoraggio oggi è pure demandato all’esterno</w:t>
      </w:r>
      <w:r w:rsidRPr="00F82631">
        <w:rPr>
          <w:i/>
          <w:sz w:val="22"/>
          <w:u w:color="000000"/>
        </w:rPr>
        <w:t>.</w:t>
      </w:r>
    </w:p>
    <w:p w:rsidR="00F82631" w:rsidRPr="00F82631" w:rsidRDefault="00F82631" w:rsidP="00F82631">
      <w:pPr>
        <w:spacing w:before="120"/>
        <w:ind w:left="567"/>
        <w:rPr>
          <w:rFonts w:eastAsia="Verdana" w:cs="Verdana"/>
          <w:i/>
          <w:sz w:val="22"/>
          <w:u w:color="000000"/>
        </w:rPr>
      </w:pPr>
      <w:r w:rsidRPr="00F82631">
        <w:rPr>
          <w:i/>
          <w:sz w:val="22"/>
          <w:u w:color="000000"/>
          <w:lang w:val="it-IT"/>
        </w:rPr>
        <w:t>La media annuale di un primo intervento regolare su 80 reperti in metallo permetterebbe quindi di conservare al meglio i nuovi ritrovamenti e nel contempo di assorbire gradualmente il pregresso.</w:t>
      </w:r>
      <w:r w:rsidRPr="00F82631">
        <w:rPr>
          <w:i/>
          <w:sz w:val="22"/>
          <w:u w:color="000000"/>
        </w:rPr>
        <w:t xml:space="preserve">» </w:t>
      </w:r>
    </w:p>
    <w:p w:rsidR="00F82631" w:rsidRDefault="00F82631" w:rsidP="00F82631">
      <w:pPr>
        <w:rPr>
          <w:u w:color="000000"/>
        </w:rPr>
      </w:pPr>
    </w:p>
    <w:p w:rsidR="00F82631" w:rsidRDefault="00F82631" w:rsidP="00F82631">
      <w:pPr>
        <w:rPr>
          <w:rFonts w:eastAsia="Verdana" w:cs="Verdana"/>
          <w:u w:color="000000"/>
        </w:rPr>
      </w:pPr>
      <w:r w:rsidRPr="00A21577">
        <w:rPr>
          <w:u w:color="000000"/>
        </w:rPr>
        <w:t>Per quanto riguarda i reperti già danneggiati, il Consiglio di Stato risponde:</w:t>
      </w:r>
    </w:p>
    <w:p w:rsidR="00F82631" w:rsidRPr="00F82631" w:rsidRDefault="00F82631" w:rsidP="00F82631">
      <w:pPr>
        <w:spacing w:before="120"/>
        <w:ind w:left="567"/>
        <w:rPr>
          <w:rFonts w:eastAsia="Verdana" w:cs="Verdana"/>
          <w:i/>
          <w:sz w:val="22"/>
          <w:u w:color="000000"/>
        </w:rPr>
      </w:pPr>
      <w:r w:rsidRPr="00F82631">
        <w:rPr>
          <w:i/>
          <w:sz w:val="22"/>
          <w:u w:color="000000"/>
        </w:rPr>
        <w:t>«</w:t>
      </w:r>
      <w:r w:rsidRPr="00F82631">
        <w:rPr>
          <w:i/>
          <w:sz w:val="22"/>
          <w:u w:color="000000"/>
          <w:lang w:val="it-IT"/>
        </w:rPr>
        <w:t xml:space="preserve">A inizio 2019 è stato affidato al restauratore Giacomo </w:t>
      </w:r>
      <w:proofErr w:type="spellStart"/>
      <w:r w:rsidRPr="00F82631">
        <w:rPr>
          <w:i/>
          <w:sz w:val="22"/>
          <w:u w:color="000000"/>
          <w:lang w:val="it-IT"/>
        </w:rPr>
        <w:t>Pegurri</w:t>
      </w:r>
      <w:proofErr w:type="spellEnd"/>
      <w:r w:rsidRPr="00F82631">
        <w:rPr>
          <w:i/>
          <w:sz w:val="22"/>
          <w:u w:color="000000"/>
          <w:lang w:val="it-IT"/>
        </w:rPr>
        <w:t xml:space="preserve"> di Vico Morcote un mandato di CHF 11</w:t>
      </w:r>
      <w:r w:rsidRPr="00F82631">
        <w:rPr>
          <w:i/>
          <w:sz w:val="22"/>
          <w:u w:color="000000"/>
        </w:rPr>
        <w:t>’</w:t>
      </w:r>
      <w:r w:rsidRPr="00F82631">
        <w:rPr>
          <w:i/>
          <w:sz w:val="22"/>
          <w:u w:color="000000"/>
          <w:lang w:val="it-IT"/>
        </w:rPr>
        <w:t>858.- inteso a monitorare tutti i reperti archeologici in metallo, di proprietà</w:t>
      </w:r>
      <w:r w:rsidRPr="00F82631">
        <w:rPr>
          <w:i/>
          <w:sz w:val="22"/>
          <w:u w:color="000000"/>
        </w:rPr>
        <w:t xml:space="preserve"> </w:t>
      </w:r>
      <w:r w:rsidRPr="00F82631">
        <w:rPr>
          <w:i/>
          <w:sz w:val="22"/>
          <w:u w:color="000000"/>
          <w:lang w:val="it-IT"/>
        </w:rPr>
        <w:t>dello Stato del Cantone Ticino, conservati presso i depositi interni ed esterni dell’Ufficio dei</w:t>
      </w:r>
      <w:r w:rsidRPr="00F82631">
        <w:rPr>
          <w:i/>
          <w:sz w:val="22"/>
          <w:u w:color="000000"/>
        </w:rPr>
        <w:t xml:space="preserve"> </w:t>
      </w:r>
      <w:r w:rsidRPr="00F82631">
        <w:rPr>
          <w:i/>
          <w:sz w:val="22"/>
          <w:u w:color="000000"/>
          <w:lang w:val="it-IT"/>
        </w:rPr>
        <w:t>beni culturali. Al</w:t>
      </w:r>
      <w:r w:rsidRPr="00F82631">
        <w:rPr>
          <w:i/>
          <w:sz w:val="22"/>
          <w:u w:color="000000"/>
        </w:rPr>
        <w:t xml:space="preserve"> </w:t>
      </w:r>
      <w:r w:rsidRPr="00F82631">
        <w:rPr>
          <w:i/>
          <w:sz w:val="22"/>
          <w:u w:color="000000"/>
          <w:lang w:val="it-IT"/>
        </w:rPr>
        <w:t>termine di</w:t>
      </w:r>
      <w:r w:rsidRPr="00F82631">
        <w:rPr>
          <w:i/>
          <w:sz w:val="22"/>
          <w:u w:color="000000"/>
        </w:rPr>
        <w:t xml:space="preserve"> </w:t>
      </w:r>
      <w:r w:rsidRPr="00F82631">
        <w:rPr>
          <w:i/>
          <w:sz w:val="22"/>
          <w:u w:color="000000"/>
          <w:lang w:val="it-IT"/>
        </w:rPr>
        <w:t>questo esame sarà</w:t>
      </w:r>
      <w:r w:rsidRPr="00F82631">
        <w:rPr>
          <w:i/>
          <w:sz w:val="22"/>
          <w:u w:color="000000"/>
        </w:rPr>
        <w:t xml:space="preserve"> </w:t>
      </w:r>
      <w:r w:rsidRPr="00F82631">
        <w:rPr>
          <w:i/>
          <w:sz w:val="22"/>
          <w:u w:color="000000"/>
          <w:lang w:val="it-IT"/>
        </w:rPr>
        <w:t>possibile valutare l</w:t>
      </w:r>
      <w:r w:rsidRPr="00F82631">
        <w:rPr>
          <w:i/>
          <w:sz w:val="22"/>
          <w:u w:color="000000"/>
        </w:rPr>
        <w:t>’</w:t>
      </w:r>
      <w:r w:rsidRPr="00F82631">
        <w:rPr>
          <w:i/>
          <w:sz w:val="22"/>
          <w:u w:color="000000"/>
          <w:lang w:val="it-IT"/>
        </w:rPr>
        <w:t>impegno finanziario e di personale necessari per restaurare i reperti in metallo in uno stato di conservazione precario.</w:t>
      </w:r>
      <w:r w:rsidRPr="00F82631">
        <w:rPr>
          <w:i/>
          <w:sz w:val="22"/>
          <w:u w:color="000000"/>
        </w:rPr>
        <w:t>»</w:t>
      </w:r>
    </w:p>
    <w:p w:rsidR="00F82631" w:rsidRDefault="00F82631" w:rsidP="00F82631">
      <w:pPr>
        <w:rPr>
          <w:u w:color="000000"/>
        </w:rPr>
      </w:pPr>
    </w:p>
    <w:p w:rsidR="00F82631" w:rsidRDefault="00F82631" w:rsidP="00F82631">
      <w:pPr>
        <w:rPr>
          <w:u w:color="000000"/>
        </w:rPr>
      </w:pPr>
    </w:p>
    <w:p w:rsidR="00F82631" w:rsidRDefault="00F82631" w:rsidP="00F82631">
      <w:pPr>
        <w:pStyle w:val="Titolo1"/>
        <w:rPr>
          <w:rFonts w:eastAsia="Verdana" w:cs="Verdana"/>
          <w:u w:color="000000"/>
        </w:rPr>
      </w:pPr>
      <w:r w:rsidRPr="00A21577">
        <w:rPr>
          <w:u w:color="000000"/>
        </w:rPr>
        <w:t>Conclusioni</w:t>
      </w:r>
    </w:p>
    <w:p w:rsidR="00F82631" w:rsidRDefault="00F82631" w:rsidP="00F82631">
      <w:pPr>
        <w:rPr>
          <w:rFonts w:eastAsia="Verdana" w:cs="Verdana"/>
          <w:u w:color="000000"/>
        </w:rPr>
      </w:pPr>
      <w:r>
        <w:rPr>
          <w:u w:color="000000"/>
        </w:rPr>
        <w:t>La Commissione della l</w:t>
      </w:r>
      <w:r w:rsidRPr="00A21577">
        <w:rPr>
          <w:u w:color="000000"/>
        </w:rPr>
        <w:t>egislazione, propone quindi al Gran Consiglio di dar seguito alla mozione in esame e in particolare:</w:t>
      </w:r>
    </w:p>
    <w:p w:rsidR="00F82631" w:rsidRPr="00F82631" w:rsidRDefault="00F82631" w:rsidP="00F82631">
      <w:pPr>
        <w:pStyle w:val="Paragrafoelenco"/>
        <w:numPr>
          <w:ilvl w:val="0"/>
          <w:numId w:val="15"/>
        </w:numPr>
        <w:spacing w:before="120"/>
        <w:ind w:left="425" w:hanging="425"/>
        <w:rPr>
          <w:u w:color="000000"/>
        </w:rPr>
      </w:pPr>
      <w:r w:rsidRPr="00F82631">
        <w:rPr>
          <w:u w:color="000000"/>
        </w:rPr>
        <w:t xml:space="preserve">di integrare </w:t>
      </w:r>
      <w:r w:rsidRPr="00F82631">
        <w:rPr>
          <w:u w:color="000000"/>
          <w:lang w:val="it-IT"/>
        </w:rPr>
        <w:t>nel</w:t>
      </w:r>
      <w:r w:rsidRPr="00F82631">
        <w:rPr>
          <w:u w:color="000000"/>
        </w:rPr>
        <w:t>l’</w:t>
      </w:r>
      <w:r w:rsidRPr="00F82631">
        <w:rPr>
          <w:u w:color="000000"/>
          <w:lang w:val="it-IT"/>
        </w:rPr>
        <w:t xml:space="preserve">organico dell’Ufficio dei beni culturali, </w:t>
      </w:r>
      <w:r w:rsidRPr="00F82631">
        <w:rPr>
          <w:u w:color="000000"/>
        </w:rPr>
        <w:t xml:space="preserve">un </w:t>
      </w:r>
      <w:r w:rsidRPr="00F82631">
        <w:rPr>
          <w:u w:color="000000"/>
          <w:lang w:val="it-IT"/>
        </w:rPr>
        <w:t>conservatore/</w:t>
      </w:r>
      <w:proofErr w:type="spellStart"/>
      <w:r w:rsidRPr="00F82631">
        <w:rPr>
          <w:u w:color="000000"/>
          <w:lang w:val="it-IT"/>
        </w:rPr>
        <w:t>trice</w:t>
      </w:r>
      <w:proofErr w:type="spellEnd"/>
      <w:r w:rsidRPr="00F82631">
        <w:rPr>
          <w:u w:color="000000"/>
          <w:lang w:val="it-IT"/>
        </w:rPr>
        <w:t xml:space="preserve"> </w:t>
      </w:r>
      <w:r>
        <w:rPr>
          <w:u w:color="000000"/>
          <w:lang w:val="it-IT"/>
        </w:rPr>
        <w:t xml:space="preserve">- </w:t>
      </w:r>
      <w:r w:rsidRPr="00F82631">
        <w:rPr>
          <w:u w:color="000000"/>
          <w:lang w:val="it-IT"/>
        </w:rPr>
        <w:t>restauratore/</w:t>
      </w:r>
      <w:proofErr w:type="spellStart"/>
      <w:r w:rsidRPr="00F82631">
        <w:rPr>
          <w:u w:color="000000"/>
          <w:lang w:val="it-IT"/>
        </w:rPr>
        <w:t>trice</w:t>
      </w:r>
      <w:proofErr w:type="spellEnd"/>
      <w:r w:rsidRPr="00F82631">
        <w:rPr>
          <w:u w:color="000000"/>
          <w:lang w:val="it-IT"/>
        </w:rPr>
        <w:t xml:space="preserve">, anche a tempo parziale, </w:t>
      </w:r>
      <w:r w:rsidRPr="00F82631">
        <w:rPr>
          <w:u w:color="000000"/>
        </w:rPr>
        <w:t>per garantire</w:t>
      </w:r>
      <w:r w:rsidRPr="00F82631">
        <w:rPr>
          <w:u w:color="000000"/>
          <w:lang w:val="it-IT"/>
        </w:rPr>
        <w:t xml:space="preserve"> in futuro una maggiore regolarità</w:t>
      </w:r>
      <w:r w:rsidRPr="00F82631">
        <w:rPr>
          <w:u w:color="000000"/>
        </w:rPr>
        <w:t xml:space="preserve"> e continuità </w:t>
      </w:r>
      <w:r w:rsidRPr="00F82631">
        <w:rPr>
          <w:u w:color="000000"/>
          <w:lang w:val="it-IT"/>
        </w:rPr>
        <w:t>nel restauro dei reperti</w:t>
      </w:r>
      <w:r w:rsidRPr="00F82631">
        <w:rPr>
          <w:u w:color="000000"/>
        </w:rPr>
        <w:t xml:space="preserve"> e nel loro monitoraggio;</w:t>
      </w:r>
    </w:p>
    <w:p w:rsidR="00F82631" w:rsidRPr="00F82631" w:rsidRDefault="00F82631" w:rsidP="00F82631">
      <w:pPr>
        <w:pStyle w:val="Paragrafoelenco"/>
        <w:numPr>
          <w:ilvl w:val="0"/>
          <w:numId w:val="15"/>
        </w:numPr>
        <w:spacing w:before="120"/>
        <w:ind w:left="425" w:hanging="425"/>
        <w:rPr>
          <w:u w:color="000000"/>
        </w:rPr>
      </w:pPr>
      <w:r w:rsidRPr="00F82631">
        <w:rPr>
          <w:u w:color="000000"/>
        </w:rPr>
        <w:t>di garantire una</w:t>
      </w:r>
      <w:r w:rsidRPr="00F82631">
        <w:rPr>
          <w:u w:color="000000"/>
          <w:lang w:val="it-IT"/>
        </w:rPr>
        <w:t xml:space="preserve"> media annuale di un primo intervento regolare su 80 reperti in metallo </w:t>
      </w:r>
      <w:r w:rsidRPr="00F82631">
        <w:rPr>
          <w:u w:color="000000"/>
        </w:rPr>
        <w:t>per permettere</w:t>
      </w:r>
      <w:r w:rsidRPr="00F82631">
        <w:rPr>
          <w:u w:color="000000"/>
          <w:lang w:val="it-IT"/>
        </w:rPr>
        <w:t xml:space="preserve"> quindi di conservare al meglio i nuovi ritrovamenti e nel contempo di assorbire gradualmente il pregresso</w:t>
      </w:r>
      <w:r w:rsidRPr="00F82631">
        <w:rPr>
          <w:u w:color="000000"/>
        </w:rPr>
        <w:t xml:space="preserve"> (per un costo annuo di circa CHF</w:t>
      </w:r>
      <w:r w:rsidR="00861F53">
        <w:rPr>
          <w:u w:color="000000"/>
        </w:rPr>
        <w:t xml:space="preserve"> </w:t>
      </w:r>
      <w:r w:rsidRPr="00F82631">
        <w:rPr>
          <w:u w:color="000000"/>
        </w:rPr>
        <w:t>20’000.</w:t>
      </w:r>
      <w:r>
        <w:rPr>
          <w:u w:color="000000"/>
        </w:rPr>
        <w:t>--</w:t>
      </w:r>
      <w:r w:rsidRPr="00F82631">
        <w:rPr>
          <w:u w:color="000000"/>
        </w:rPr>
        <w:t>);</w:t>
      </w:r>
    </w:p>
    <w:p w:rsidR="00F82631" w:rsidRPr="00F82631" w:rsidRDefault="00F82631" w:rsidP="00F82631">
      <w:pPr>
        <w:pStyle w:val="Paragrafoelenco"/>
        <w:numPr>
          <w:ilvl w:val="0"/>
          <w:numId w:val="15"/>
        </w:numPr>
        <w:spacing w:before="120"/>
        <w:ind w:left="425" w:hanging="425"/>
        <w:rPr>
          <w:u w:color="000000"/>
        </w:rPr>
      </w:pPr>
      <w:r w:rsidRPr="00F82631">
        <w:rPr>
          <w:u w:color="000000"/>
        </w:rPr>
        <w:t xml:space="preserve">di informare sull’esito del mandato, affidato al restauratore </w:t>
      </w:r>
      <w:r w:rsidR="00AB55C4">
        <w:rPr>
          <w:u w:color="000000"/>
          <w:lang w:val="it-IT"/>
        </w:rPr>
        <w:t>indicato</w:t>
      </w:r>
      <w:r w:rsidRPr="00F82631">
        <w:rPr>
          <w:u w:color="000000"/>
        </w:rPr>
        <w:t xml:space="preserve">, e in particolare dei costi previsti </w:t>
      </w:r>
      <w:r w:rsidRPr="00F82631">
        <w:rPr>
          <w:u w:color="000000"/>
          <w:lang w:val="it-IT"/>
        </w:rPr>
        <w:t>per restaurare i reperti in metallo in uno stato di conservazione precario.</w:t>
      </w:r>
    </w:p>
    <w:p w:rsidR="00B860C2" w:rsidRDefault="00B860C2" w:rsidP="00B860C2"/>
    <w:p w:rsidR="00B860C2" w:rsidRDefault="00B860C2" w:rsidP="00B860C2"/>
    <w:bookmarkEnd w:id="1"/>
    <w:p w:rsidR="00B860C2" w:rsidRPr="00076E70" w:rsidRDefault="00B860C2" w:rsidP="00B860C2">
      <w:pPr>
        <w:rPr>
          <w:rFonts w:cs="Arial"/>
          <w:szCs w:val="24"/>
        </w:rPr>
      </w:pPr>
    </w:p>
    <w:p w:rsidR="00B860C2" w:rsidRPr="00076E70" w:rsidRDefault="00B860C2" w:rsidP="00B860C2">
      <w:pPr>
        <w:spacing w:after="120"/>
        <w:rPr>
          <w:rFonts w:cs="Arial"/>
          <w:szCs w:val="24"/>
        </w:rPr>
      </w:pPr>
      <w:r w:rsidRPr="00076E70">
        <w:rPr>
          <w:rFonts w:cs="Arial"/>
          <w:szCs w:val="24"/>
        </w:rPr>
        <w:t xml:space="preserve">Per </w:t>
      </w:r>
      <w:smartTag w:uri="urn:schemas-microsoft-com:office:smarttags" w:element="PersonName">
        <w:smartTagPr>
          <w:attr w:name="ProductID" w:val="la Commissione"/>
        </w:smartTagPr>
        <w:r w:rsidRPr="00076E70">
          <w:rPr>
            <w:rFonts w:cs="Arial"/>
            <w:szCs w:val="24"/>
          </w:rPr>
          <w:t>la Commissione</w:t>
        </w:r>
      </w:smartTag>
      <w:r w:rsidRPr="00076E70">
        <w:rPr>
          <w:rFonts w:cs="Arial"/>
          <w:szCs w:val="24"/>
        </w:rPr>
        <w:t xml:space="preserve"> </w:t>
      </w:r>
      <w:r w:rsidR="00F82631">
        <w:rPr>
          <w:rFonts w:cs="Arial"/>
          <w:szCs w:val="24"/>
        </w:rPr>
        <w:t>della legislazione</w:t>
      </w:r>
      <w:r w:rsidRPr="00076E70">
        <w:rPr>
          <w:rFonts w:cs="Arial"/>
          <w:szCs w:val="24"/>
        </w:rPr>
        <w:t>:</w:t>
      </w:r>
    </w:p>
    <w:p w:rsidR="00B860C2" w:rsidRPr="00076E70" w:rsidRDefault="00F82631" w:rsidP="00B860C2">
      <w:pPr>
        <w:rPr>
          <w:rFonts w:cs="Arial"/>
          <w:szCs w:val="24"/>
        </w:rPr>
      </w:pPr>
      <w:r>
        <w:rPr>
          <w:rFonts w:cs="Arial"/>
          <w:szCs w:val="24"/>
        </w:rPr>
        <w:t>Carlo Lepori</w:t>
      </w:r>
      <w:r w:rsidR="00B860C2" w:rsidRPr="00076E70">
        <w:rPr>
          <w:rFonts w:cs="Arial"/>
          <w:szCs w:val="24"/>
        </w:rPr>
        <w:t>, relatore</w:t>
      </w:r>
    </w:p>
    <w:p w:rsidR="00AB55C4" w:rsidRPr="00AB55C4" w:rsidRDefault="007D16B4" w:rsidP="007D16B4">
      <w:pPr>
        <w:rPr>
          <w:rFonts w:cs="Arial"/>
        </w:rPr>
      </w:pPr>
      <w:r w:rsidRPr="00AB55C4">
        <w:rPr>
          <w:rFonts w:cs="Arial"/>
        </w:rPr>
        <w:t xml:space="preserve">Agustoni - Celio - Corti - Delcò Petralli - </w:t>
      </w:r>
    </w:p>
    <w:p w:rsidR="00AB55C4" w:rsidRPr="00AB55C4" w:rsidRDefault="007D16B4" w:rsidP="007D16B4">
      <w:pPr>
        <w:rPr>
          <w:rFonts w:cs="Arial"/>
        </w:rPr>
      </w:pPr>
      <w:r w:rsidRPr="00AB55C4">
        <w:rPr>
          <w:rFonts w:cs="Arial"/>
        </w:rPr>
        <w:t xml:space="preserve">Ducry - Ferrara - Filippini - Galusero - </w:t>
      </w:r>
    </w:p>
    <w:p w:rsidR="007D16B4" w:rsidRPr="00AB55C4" w:rsidRDefault="007D16B4" w:rsidP="007D16B4">
      <w:pPr>
        <w:rPr>
          <w:rFonts w:cs="Arial"/>
        </w:rPr>
      </w:pPr>
      <w:r w:rsidRPr="00AB55C4">
        <w:rPr>
          <w:rFonts w:cs="Arial"/>
        </w:rPr>
        <w:t xml:space="preserve">Gendotti - Ghisolfi - Giudici - Minotti - </w:t>
      </w:r>
    </w:p>
    <w:p w:rsidR="007D16B4" w:rsidRPr="00AB55C4" w:rsidRDefault="007D16B4" w:rsidP="007D16B4">
      <w:pPr>
        <w:rPr>
          <w:rFonts w:cs="Arial"/>
        </w:rPr>
      </w:pPr>
      <w:r w:rsidRPr="00AB55C4">
        <w:rPr>
          <w:rFonts w:cs="Arial"/>
        </w:rPr>
        <w:t xml:space="preserve">Petrini - Rückert - </w:t>
      </w:r>
    </w:p>
    <w:p w:rsidR="00B860C2" w:rsidRDefault="00B860C2" w:rsidP="00B860C2">
      <w:pPr>
        <w:tabs>
          <w:tab w:val="left" w:pos="284"/>
        </w:tabs>
      </w:pPr>
    </w:p>
    <w:p w:rsidR="00C248E2" w:rsidRDefault="00C248E2">
      <w:r>
        <w:br w:type="page"/>
      </w:r>
    </w:p>
    <w:p w:rsidR="00C248E2" w:rsidRPr="00C248E2" w:rsidRDefault="00C248E2" w:rsidP="00C248E2">
      <w:pPr>
        <w:tabs>
          <w:tab w:val="left" w:pos="405"/>
          <w:tab w:val="left" w:pos="7926"/>
        </w:tabs>
        <w:spacing w:after="120"/>
        <w:rPr>
          <w:rFonts w:cs="Arial"/>
          <w:b/>
          <w:sz w:val="22"/>
        </w:rPr>
      </w:pPr>
      <w:r w:rsidRPr="00C248E2">
        <w:rPr>
          <w:rFonts w:cs="Arial"/>
          <w:b/>
          <w:sz w:val="22"/>
        </w:rPr>
        <w:lastRenderedPageBreak/>
        <w:t>MOZIONE</w:t>
      </w:r>
    </w:p>
    <w:p w:rsidR="00C248E2" w:rsidRPr="00C248E2" w:rsidRDefault="00C248E2" w:rsidP="00C248E2">
      <w:pPr>
        <w:tabs>
          <w:tab w:val="left" w:pos="405"/>
          <w:tab w:val="left" w:pos="7926"/>
        </w:tabs>
        <w:rPr>
          <w:rFonts w:cs="Arial"/>
          <w:b/>
          <w:sz w:val="22"/>
        </w:rPr>
      </w:pPr>
    </w:p>
    <w:p w:rsidR="00C248E2" w:rsidRPr="00C248E2" w:rsidRDefault="00C248E2" w:rsidP="00C248E2">
      <w:pPr>
        <w:tabs>
          <w:tab w:val="left" w:pos="405"/>
          <w:tab w:val="left" w:pos="7926"/>
        </w:tabs>
        <w:spacing w:after="120"/>
        <w:rPr>
          <w:rFonts w:cs="Arial"/>
          <w:b/>
          <w:sz w:val="22"/>
          <w:u w:val="single"/>
        </w:rPr>
      </w:pPr>
      <w:r w:rsidRPr="00C248E2">
        <w:rPr>
          <w:rFonts w:cs="Arial"/>
          <w:b/>
          <w:sz w:val="22"/>
          <w:u w:val="single"/>
        </w:rPr>
        <w:t>Salviamo i reperti archeologici prima che sia troppo tardi</w:t>
      </w:r>
    </w:p>
    <w:p w:rsidR="00C248E2" w:rsidRPr="00C248E2" w:rsidRDefault="00C248E2" w:rsidP="00C248E2">
      <w:pPr>
        <w:tabs>
          <w:tab w:val="left" w:pos="405"/>
          <w:tab w:val="left" w:pos="7926"/>
        </w:tabs>
        <w:rPr>
          <w:rFonts w:cs="Arial"/>
          <w:sz w:val="22"/>
        </w:rPr>
      </w:pPr>
    </w:p>
    <w:p w:rsidR="00C248E2" w:rsidRPr="00C248E2" w:rsidRDefault="00C248E2" w:rsidP="00C248E2">
      <w:pPr>
        <w:tabs>
          <w:tab w:val="left" w:pos="405"/>
          <w:tab w:val="left" w:pos="7926"/>
        </w:tabs>
        <w:rPr>
          <w:rFonts w:cs="Arial"/>
          <w:sz w:val="22"/>
        </w:rPr>
      </w:pPr>
      <w:r w:rsidRPr="00C248E2">
        <w:rPr>
          <w:rFonts w:cs="Arial"/>
          <w:sz w:val="22"/>
        </w:rPr>
        <w:t>del 18 giugno 2018</w:t>
      </w:r>
    </w:p>
    <w:p w:rsidR="00C248E2" w:rsidRPr="00C248E2" w:rsidRDefault="00C248E2" w:rsidP="00C248E2">
      <w:pPr>
        <w:rPr>
          <w:rFonts w:cs="Arial"/>
          <w:sz w:val="22"/>
        </w:rPr>
      </w:pPr>
    </w:p>
    <w:p w:rsidR="00C248E2" w:rsidRPr="00C248E2" w:rsidRDefault="00C248E2" w:rsidP="00C248E2">
      <w:pPr>
        <w:rPr>
          <w:rFonts w:cs="Arial"/>
          <w:sz w:val="22"/>
        </w:rPr>
      </w:pPr>
    </w:p>
    <w:p w:rsidR="00C248E2" w:rsidRPr="00C248E2" w:rsidRDefault="00C248E2" w:rsidP="00C248E2">
      <w:pPr>
        <w:rPr>
          <w:rFonts w:cs="Arial"/>
          <w:sz w:val="22"/>
        </w:rPr>
      </w:pPr>
      <w:r w:rsidRPr="00C248E2">
        <w:rPr>
          <w:rFonts w:cs="Arial"/>
          <w:sz w:val="22"/>
        </w:rPr>
        <w:t xml:space="preserve">Il 5 febbraio 2018 veniva presentata, sottoscritta da vari deputati, l'interrogazione </w:t>
      </w:r>
      <w:hyperlink r:id="rId10" w:history="1">
        <w:r w:rsidRPr="00C248E2">
          <w:rPr>
            <w:rStyle w:val="Collegamentoipertestuale"/>
            <w:rFonts w:cs="Arial"/>
            <w:sz w:val="22"/>
          </w:rPr>
          <w:t>n. 11.18</w:t>
        </w:r>
      </w:hyperlink>
      <w:r w:rsidRPr="00C248E2">
        <w:rPr>
          <w:rFonts w:cs="Arial"/>
          <w:sz w:val="22"/>
        </w:rPr>
        <w:t xml:space="preserve"> (a cui si rinvia) dal titolo: "Anno del patrimonio culturale e (mala)gestione dei nostri reperti archeologici ticinesi?". Il Governo vi ha risposto il 25 aprile 2018 (1833/mm/1). La risposta non è ritenuta soddisfacente da parte dei sottoscritti, i quali inoltrano la seguente mozione puntuale.</w:t>
      </w:r>
    </w:p>
    <w:p w:rsidR="00C248E2" w:rsidRPr="00C248E2" w:rsidRDefault="00C248E2" w:rsidP="00C248E2">
      <w:pPr>
        <w:rPr>
          <w:rFonts w:cs="Arial"/>
          <w:sz w:val="22"/>
        </w:rPr>
      </w:pPr>
      <w:r w:rsidRPr="00C248E2">
        <w:rPr>
          <w:rFonts w:cs="Arial"/>
          <w:sz w:val="22"/>
        </w:rPr>
        <w:t xml:space="preserve">Con la precedente interrogazione si chiedevano alcune informazioni circa lo stato di conservazione (che è diverso da "avere in deposito" o dal "dover restaurare") dei reperti archeologici in Ticino. Infatti, per conservare dei reperti basta poco, come vedremo, se si interviene subito e con minimi interventi. Per restaurare dei reperti compromessi i costi aumentano sempre che non siano irrimediabilmente compromessi. Per tenere in deposito bastano adeguate "cassettiere". </w:t>
      </w:r>
    </w:p>
    <w:p w:rsidR="00C248E2" w:rsidRPr="00C248E2" w:rsidRDefault="00C248E2" w:rsidP="00C248E2">
      <w:pPr>
        <w:rPr>
          <w:rFonts w:cs="Arial"/>
          <w:sz w:val="22"/>
        </w:rPr>
      </w:pPr>
      <w:r w:rsidRPr="00C248E2">
        <w:rPr>
          <w:rFonts w:cs="Arial"/>
          <w:sz w:val="22"/>
        </w:rPr>
        <w:t xml:space="preserve">La preoccupazione non è rientrata con la risposta governativa, anzi! </w:t>
      </w:r>
    </w:p>
    <w:p w:rsidR="00C248E2" w:rsidRPr="00C248E2" w:rsidRDefault="00C248E2" w:rsidP="00C248E2">
      <w:pPr>
        <w:rPr>
          <w:rFonts w:cs="Arial"/>
          <w:sz w:val="22"/>
        </w:rPr>
      </w:pPr>
      <w:r w:rsidRPr="00C248E2">
        <w:rPr>
          <w:rFonts w:cs="Arial"/>
          <w:sz w:val="22"/>
        </w:rPr>
        <w:t xml:space="preserve">La superficialità e l'incompletezza della risposta che nemmeno coincide con i segnali di senso opposto che paiono in realtà venire da documenti, pubblicati dallo stesso Servizio archeologico e dei Beni culturali (cfr. </w:t>
      </w:r>
      <w:hyperlink r:id="rId11" w:history="1">
        <w:r w:rsidRPr="00C248E2">
          <w:rPr>
            <w:rStyle w:val="Collegamentoipertestuale"/>
            <w:rFonts w:cs="Arial"/>
            <w:sz w:val="22"/>
          </w:rPr>
          <w:t>www3.ti.ch/DFE/DR/USTAT/allegati/articolo/ 1281dss_2006-1_5.pdf</w:t>
        </w:r>
      </w:hyperlink>
      <w:r w:rsidRPr="00C248E2">
        <w:rPr>
          <w:rFonts w:cs="Arial"/>
          <w:sz w:val="22"/>
        </w:rPr>
        <w:t xml:space="preserve">; </w:t>
      </w:r>
      <w:r w:rsidRPr="00C248E2">
        <w:rPr>
          <w:rFonts w:cs="Arial"/>
          <w:i/>
          <w:sz w:val="22"/>
        </w:rPr>
        <w:t>Arte e Storia</w:t>
      </w:r>
      <w:r w:rsidRPr="00C248E2">
        <w:rPr>
          <w:rFonts w:cs="Arial"/>
          <w:sz w:val="22"/>
        </w:rPr>
        <w:t>, Edizioni Ticino Management, marzo 2018, contributi vari su "Archeologia nel cantone Ticino. Visibilità futura per il passato nascosto"; messaggio n. 7520 Consuntivo 2017, Rendiconto DT 2017 (pag. 215-216).</w:t>
      </w:r>
    </w:p>
    <w:p w:rsidR="00C248E2" w:rsidRPr="00C248E2" w:rsidRDefault="00C248E2" w:rsidP="00C248E2">
      <w:pPr>
        <w:rPr>
          <w:rFonts w:cs="Arial"/>
          <w:sz w:val="22"/>
        </w:rPr>
      </w:pPr>
      <w:r w:rsidRPr="00C248E2">
        <w:rPr>
          <w:rFonts w:cs="Arial"/>
          <w:sz w:val="22"/>
        </w:rPr>
        <w:t>Negli ultimi 12 anni di scavi in Ticino, i reperti archeologici sono sempre aumentati in modo lineare per rapporto all'evoluzione degli anni precedenti (</w:t>
      </w:r>
      <w:hyperlink r:id="rId12" w:history="1">
        <w:r w:rsidRPr="00C248E2">
          <w:rPr>
            <w:rStyle w:val="Collegamentoipertestuale"/>
            <w:rFonts w:cs="Arial"/>
            <w:sz w:val="22"/>
          </w:rPr>
          <w:t>www3.ti.ch/DFE/DR/USTAT/allegati/ articolo/1281dss_2006-1_5.pdf</w:t>
        </w:r>
      </w:hyperlink>
      <w:r w:rsidRPr="00C248E2">
        <w:rPr>
          <w:rFonts w:cs="Arial"/>
          <w:sz w:val="22"/>
        </w:rPr>
        <w:t xml:space="preserve">). </w:t>
      </w:r>
    </w:p>
    <w:p w:rsidR="00C248E2" w:rsidRPr="00C248E2" w:rsidRDefault="00C248E2" w:rsidP="00C248E2">
      <w:pPr>
        <w:rPr>
          <w:rFonts w:cs="Arial"/>
          <w:sz w:val="22"/>
        </w:rPr>
      </w:pPr>
      <w:r w:rsidRPr="00C248E2">
        <w:rPr>
          <w:rFonts w:cs="Arial"/>
          <w:sz w:val="22"/>
        </w:rPr>
        <w:t>Oggi sono circa 30'000.</w:t>
      </w:r>
    </w:p>
    <w:p w:rsidR="00C248E2" w:rsidRPr="00C248E2" w:rsidRDefault="00C248E2" w:rsidP="00C248E2">
      <w:pPr>
        <w:rPr>
          <w:rFonts w:cs="Arial"/>
          <w:sz w:val="22"/>
        </w:rPr>
      </w:pPr>
      <w:r w:rsidRPr="00C248E2">
        <w:rPr>
          <w:rFonts w:cs="Arial"/>
          <w:sz w:val="22"/>
        </w:rPr>
        <w:t>I Cantieri interessati sono pure stati diversi con anche riflessi economici per i fermi tecnici.</w:t>
      </w:r>
    </w:p>
    <w:p w:rsidR="00C248E2" w:rsidRPr="00C248E2" w:rsidRDefault="00C248E2" w:rsidP="00C248E2">
      <w:pPr>
        <w:rPr>
          <w:rFonts w:cs="Arial"/>
          <w:sz w:val="22"/>
        </w:rPr>
      </w:pPr>
      <w:r w:rsidRPr="00C248E2">
        <w:rPr>
          <w:rFonts w:cs="Arial"/>
          <w:sz w:val="22"/>
        </w:rPr>
        <w:t xml:space="preserve">Secondo il Consiglio di Stato, il fatto che il 30% (come se fosse una percentuale risibile) dei reperti in ferro (circa 2000) vada irrimediabilmente perso per sempre pare non porre nessun problema di coscienza e responsabilità. Ciò non può essere condiviso tanto più che nemmeno il DT si confronta col tema del costo risibile che avrebbe un adeguato e tempestivo trattamento di questi reperti a dipendenza del loro stato di conservazione al momento del ritrovamento. Ovviamente i diversi tipi di intervento hanno costi differenti, e risulta evidente l'economicità di trattamenti tempestivi in fase di rinvenimento e in condizioni di media conservazione. </w:t>
      </w:r>
    </w:p>
    <w:p w:rsidR="00C248E2" w:rsidRDefault="00C248E2" w:rsidP="00C248E2">
      <w:pPr>
        <w:rPr>
          <w:rFonts w:cs="Arial"/>
          <w:sz w:val="22"/>
        </w:rPr>
      </w:pPr>
      <w:r w:rsidRPr="00C248E2">
        <w:rPr>
          <w:rFonts w:cs="Arial"/>
          <w:sz w:val="22"/>
        </w:rPr>
        <w:t xml:space="preserve">Secondo esperti del mestiere - ed è difficile ritenere che il Dipartimento del territorio non si sia debitamente informato presso i propri addetti che sicuramente conoscono la tabellina riassuntiva che segue e sapranno fornire anche pubblicamente il preventivo dei costi per il giusto e tempestivo trattamento (stimabile in 10/20'000 franchi annui trattandosi di procedure semplici) - con un minimo intervento infatti si riesce a garantire il mantenimento dell'oggetto e la fruibilità in futuro, il riconoscimento dello stesso, che altrimenti andrebbe totalmente distrutto procedendo nel degrado. Nel minimo intervento non occorre provvedere alla ricerca di attacchi e alla ricomposizione del manufatto, operazioni complesse che rappresentano un impegno di tempo considerevole e che comprende ovviamente anche le fasi di incollaggio, infiltrazione, consolidamento, oltre alle protezioni finali della superficie. </w:t>
      </w:r>
    </w:p>
    <w:p w:rsidR="00C248E2" w:rsidRDefault="00C248E2" w:rsidP="00C248E2">
      <w:pPr>
        <w:rPr>
          <w:rFonts w:cs="Arial"/>
          <w:sz w:val="22"/>
        </w:rPr>
      </w:pPr>
    </w:p>
    <w:p w:rsidR="00C248E2" w:rsidRDefault="00C248E2">
      <w:pPr>
        <w:rPr>
          <w:rFonts w:cs="Arial"/>
          <w:sz w:val="22"/>
        </w:rPr>
      </w:pPr>
      <w:r>
        <w:rPr>
          <w:rFonts w:cs="Arial"/>
          <w:sz w:val="22"/>
        </w:rPr>
        <w:br w:type="page"/>
      </w:r>
    </w:p>
    <w:p w:rsidR="00C248E2" w:rsidRPr="00C248E2" w:rsidRDefault="00C248E2" w:rsidP="00C248E2">
      <w:pPr>
        <w:rPr>
          <w:rFonts w:cs="Arial"/>
          <w:sz w:val="22"/>
        </w:rPr>
      </w:pPr>
    </w:p>
    <w:tbl>
      <w:tblPr>
        <w:tblStyle w:val="TableGrid"/>
        <w:tblW w:w="10146" w:type="dxa"/>
        <w:tblInd w:w="-110" w:type="dxa"/>
        <w:tblCellMar>
          <w:top w:w="48" w:type="dxa"/>
          <w:left w:w="110" w:type="dxa"/>
          <w:right w:w="12" w:type="dxa"/>
        </w:tblCellMar>
        <w:tblLook w:val="04A0" w:firstRow="1" w:lastRow="0" w:firstColumn="1" w:lastColumn="0" w:noHBand="0" w:noVBand="1"/>
      </w:tblPr>
      <w:tblGrid>
        <w:gridCol w:w="362"/>
        <w:gridCol w:w="1781"/>
        <w:gridCol w:w="2514"/>
        <w:gridCol w:w="3233"/>
        <w:gridCol w:w="2256"/>
      </w:tblGrid>
      <w:tr w:rsidR="00C248E2" w:rsidRPr="00C248E2" w:rsidTr="0011124C">
        <w:trPr>
          <w:trHeight w:val="773"/>
        </w:trPr>
        <w:tc>
          <w:tcPr>
            <w:tcW w:w="362" w:type="dxa"/>
            <w:tcBorders>
              <w:top w:val="single" w:sz="4" w:space="0" w:color="000000"/>
              <w:left w:val="single" w:sz="4" w:space="0" w:color="000000"/>
              <w:bottom w:val="single" w:sz="4" w:space="0" w:color="000000"/>
              <w:right w:val="single" w:sz="4" w:space="0" w:color="000000"/>
            </w:tcBorders>
            <w:hideMark/>
          </w:tcPr>
          <w:p w:rsidR="00C248E2" w:rsidRPr="00C248E2" w:rsidRDefault="00C248E2" w:rsidP="0011124C">
            <w:pPr>
              <w:rPr>
                <w:rFonts w:cs="Arial"/>
                <w:sz w:val="21"/>
                <w:szCs w:val="21"/>
              </w:rPr>
            </w:pPr>
          </w:p>
        </w:tc>
        <w:tc>
          <w:tcPr>
            <w:tcW w:w="1781" w:type="dxa"/>
            <w:tcBorders>
              <w:top w:val="single" w:sz="4" w:space="0" w:color="000000"/>
              <w:left w:val="single" w:sz="4" w:space="0" w:color="000000"/>
              <w:bottom w:val="single" w:sz="4" w:space="0" w:color="000000"/>
              <w:right w:val="single" w:sz="4" w:space="0" w:color="000000"/>
            </w:tcBorders>
            <w:hideMark/>
          </w:tcPr>
          <w:p w:rsidR="00C248E2" w:rsidRPr="00C248E2" w:rsidRDefault="00C248E2" w:rsidP="0011124C">
            <w:pPr>
              <w:spacing w:before="120"/>
              <w:ind w:right="130"/>
              <w:rPr>
                <w:rFonts w:cs="Arial"/>
                <w:sz w:val="21"/>
                <w:szCs w:val="21"/>
              </w:rPr>
            </w:pPr>
            <w:r w:rsidRPr="00C248E2">
              <w:rPr>
                <w:rFonts w:cs="Arial"/>
                <w:b/>
                <w:sz w:val="21"/>
                <w:szCs w:val="21"/>
              </w:rPr>
              <w:t xml:space="preserve">Stato di conservazione </w:t>
            </w:r>
          </w:p>
        </w:tc>
        <w:tc>
          <w:tcPr>
            <w:tcW w:w="2514" w:type="dxa"/>
            <w:tcBorders>
              <w:top w:val="single" w:sz="4" w:space="0" w:color="000000"/>
              <w:left w:val="single" w:sz="4" w:space="0" w:color="000000"/>
              <w:bottom w:val="single" w:sz="4" w:space="0" w:color="000000"/>
              <w:right w:val="single" w:sz="4" w:space="0" w:color="000000"/>
            </w:tcBorders>
            <w:hideMark/>
          </w:tcPr>
          <w:p w:rsidR="00C248E2" w:rsidRPr="00C248E2" w:rsidRDefault="00C248E2" w:rsidP="0011124C">
            <w:pPr>
              <w:spacing w:before="120"/>
              <w:ind w:right="30"/>
              <w:rPr>
                <w:rFonts w:cs="Arial"/>
                <w:sz w:val="21"/>
                <w:szCs w:val="21"/>
              </w:rPr>
            </w:pPr>
            <w:r w:rsidRPr="00C248E2">
              <w:rPr>
                <w:rFonts w:cs="Arial"/>
                <w:b/>
                <w:sz w:val="21"/>
                <w:szCs w:val="21"/>
              </w:rPr>
              <w:t xml:space="preserve">Caratteristiche dello stato di conservazione </w:t>
            </w:r>
          </w:p>
        </w:tc>
        <w:tc>
          <w:tcPr>
            <w:tcW w:w="3233" w:type="dxa"/>
            <w:tcBorders>
              <w:top w:val="single" w:sz="4" w:space="0" w:color="000000"/>
              <w:left w:val="single" w:sz="4" w:space="0" w:color="000000"/>
              <w:bottom w:val="single" w:sz="4" w:space="0" w:color="000000"/>
              <w:right w:val="single" w:sz="4" w:space="0" w:color="000000"/>
            </w:tcBorders>
            <w:hideMark/>
          </w:tcPr>
          <w:p w:rsidR="00C248E2" w:rsidRPr="00C248E2" w:rsidRDefault="00C248E2" w:rsidP="0011124C">
            <w:pPr>
              <w:spacing w:before="120"/>
              <w:ind w:right="130"/>
              <w:rPr>
                <w:rFonts w:cs="Arial"/>
                <w:sz w:val="21"/>
                <w:szCs w:val="21"/>
              </w:rPr>
            </w:pPr>
            <w:r w:rsidRPr="00C248E2">
              <w:rPr>
                <w:rFonts w:cs="Arial"/>
                <w:b/>
                <w:sz w:val="21"/>
                <w:szCs w:val="21"/>
              </w:rPr>
              <w:t xml:space="preserve">Trattamenti possibili </w:t>
            </w:r>
          </w:p>
        </w:tc>
        <w:tc>
          <w:tcPr>
            <w:tcW w:w="2256" w:type="dxa"/>
            <w:tcBorders>
              <w:top w:val="single" w:sz="4" w:space="0" w:color="000000"/>
              <w:left w:val="single" w:sz="4" w:space="0" w:color="000000"/>
              <w:bottom w:val="single" w:sz="4" w:space="0" w:color="000000"/>
              <w:right w:val="single" w:sz="4" w:space="0" w:color="000000"/>
            </w:tcBorders>
            <w:hideMark/>
          </w:tcPr>
          <w:p w:rsidR="00C248E2" w:rsidRPr="00C248E2" w:rsidRDefault="00C248E2" w:rsidP="0011124C">
            <w:pPr>
              <w:spacing w:before="120"/>
              <w:ind w:right="130"/>
              <w:rPr>
                <w:rFonts w:cs="Arial"/>
                <w:sz w:val="21"/>
                <w:szCs w:val="21"/>
              </w:rPr>
            </w:pPr>
            <w:r w:rsidRPr="00C248E2">
              <w:rPr>
                <w:rFonts w:cs="Arial"/>
                <w:b/>
                <w:sz w:val="21"/>
                <w:szCs w:val="21"/>
              </w:rPr>
              <w:t xml:space="preserve">Tempestività del trattamento </w:t>
            </w:r>
          </w:p>
        </w:tc>
      </w:tr>
      <w:tr w:rsidR="00C248E2" w:rsidRPr="00C248E2" w:rsidTr="0011124C">
        <w:trPr>
          <w:trHeight w:val="4814"/>
        </w:trPr>
        <w:tc>
          <w:tcPr>
            <w:tcW w:w="362" w:type="dxa"/>
            <w:tcBorders>
              <w:top w:val="single" w:sz="4" w:space="0" w:color="000000"/>
              <w:left w:val="single" w:sz="4" w:space="0" w:color="000000"/>
              <w:bottom w:val="single" w:sz="4" w:space="0" w:color="000000"/>
              <w:right w:val="single" w:sz="4" w:space="0" w:color="000000"/>
            </w:tcBorders>
            <w:hideMark/>
          </w:tcPr>
          <w:p w:rsidR="00C248E2" w:rsidRPr="00C248E2" w:rsidRDefault="00C248E2" w:rsidP="0011124C">
            <w:pPr>
              <w:rPr>
                <w:rFonts w:cs="Arial"/>
                <w:sz w:val="21"/>
                <w:szCs w:val="21"/>
              </w:rPr>
            </w:pPr>
            <w:r w:rsidRPr="00C248E2">
              <w:rPr>
                <w:rFonts w:cs="Arial"/>
                <w:sz w:val="21"/>
                <w:szCs w:val="21"/>
              </w:rPr>
              <w:t xml:space="preserve">1 </w:t>
            </w:r>
          </w:p>
        </w:tc>
        <w:tc>
          <w:tcPr>
            <w:tcW w:w="1781" w:type="dxa"/>
            <w:tcBorders>
              <w:top w:val="single" w:sz="4" w:space="0" w:color="000000"/>
              <w:left w:val="single" w:sz="4" w:space="0" w:color="000000"/>
              <w:bottom w:val="single" w:sz="4" w:space="0" w:color="000000"/>
              <w:right w:val="single" w:sz="4" w:space="0" w:color="000000"/>
            </w:tcBorders>
            <w:hideMark/>
          </w:tcPr>
          <w:p w:rsidR="00C248E2" w:rsidRPr="00C248E2" w:rsidRDefault="00C248E2" w:rsidP="0011124C">
            <w:pPr>
              <w:ind w:right="130"/>
              <w:rPr>
                <w:rFonts w:cs="Arial"/>
                <w:sz w:val="21"/>
                <w:szCs w:val="21"/>
              </w:rPr>
            </w:pPr>
            <w:r w:rsidRPr="00C248E2">
              <w:rPr>
                <w:rFonts w:cs="Arial"/>
                <w:sz w:val="21"/>
                <w:szCs w:val="21"/>
              </w:rPr>
              <w:t xml:space="preserve">Buone condizioni </w:t>
            </w:r>
          </w:p>
        </w:tc>
        <w:tc>
          <w:tcPr>
            <w:tcW w:w="2514" w:type="dxa"/>
            <w:tcBorders>
              <w:top w:val="single" w:sz="4" w:space="0" w:color="000000"/>
              <w:left w:val="single" w:sz="4" w:space="0" w:color="000000"/>
              <w:bottom w:val="single" w:sz="4" w:space="0" w:color="000000"/>
              <w:right w:val="single" w:sz="4" w:space="0" w:color="000000"/>
            </w:tcBorders>
            <w:hideMark/>
          </w:tcPr>
          <w:p w:rsidR="00C248E2" w:rsidRPr="00C248E2" w:rsidRDefault="00C248E2" w:rsidP="0011124C">
            <w:pPr>
              <w:ind w:right="130"/>
              <w:rPr>
                <w:rFonts w:cs="Arial"/>
                <w:sz w:val="21"/>
                <w:szCs w:val="21"/>
              </w:rPr>
            </w:pPr>
            <w:r w:rsidRPr="00C248E2">
              <w:rPr>
                <w:rFonts w:cs="Arial"/>
                <w:sz w:val="21"/>
                <w:szCs w:val="21"/>
              </w:rPr>
              <w:t xml:space="preserve">Poca ossidazione superficiale, buona consistenza metallica, non sono presenti distacchi di parti ossidate. </w:t>
            </w:r>
          </w:p>
        </w:tc>
        <w:tc>
          <w:tcPr>
            <w:tcW w:w="3233" w:type="dxa"/>
            <w:tcBorders>
              <w:top w:val="single" w:sz="4" w:space="0" w:color="000000"/>
              <w:left w:val="single" w:sz="4" w:space="0" w:color="000000"/>
              <w:bottom w:val="single" w:sz="4" w:space="0" w:color="000000"/>
              <w:right w:val="single" w:sz="4" w:space="0" w:color="000000"/>
            </w:tcBorders>
            <w:hideMark/>
          </w:tcPr>
          <w:p w:rsidR="00C248E2" w:rsidRPr="00C248E2" w:rsidRDefault="00C248E2" w:rsidP="0011124C">
            <w:pPr>
              <w:spacing w:after="2"/>
              <w:ind w:right="130"/>
              <w:rPr>
                <w:rFonts w:cs="Arial"/>
                <w:sz w:val="21"/>
                <w:szCs w:val="21"/>
              </w:rPr>
            </w:pPr>
            <w:r w:rsidRPr="00C248E2">
              <w:rPr>
                <w:rFonts w:cs="Arial"/>
                <w:sz w:val="21"/>
                <w:szCs w:val="21"/>
              </w:rPr>
              <w:t xml:space="preserve">Trattamenti immediati dallo scavo (rimozione terriccio e materiale non pertinente, riconoscimento eventuali residui organici </w:t>
            </w:r>
          </w:p>
          <w:p w:rsidR="00C248E2" w:rsidRPr="00C248E2" w:rsidRDefault="00C248E2" w:rsidP="0011124C">
            <w:pPr>
              <w:ind w:right="130"/>
              <w:rPr>
                <w:rFonts w:cs="Arial"/>
                <w:sz w:val="21"/>
                <w:szCs w:val="21"/>
              </w:rPr>
            </w:pPr>
            <w:r w:rsidRPr="00C248E2">
              <w:rPr>
                <w:rFonts w:cs="Arial"/>
                <w:sz w:val="21"/>
                <w:szCs w:val="21"/>
              </w:rPr>
              <w:t>(tessuti/legni/cuoio/ecc.) e consolidamento degli stessi, dove mancanti eventuali</w:t>
            </w:r>
            <w:r w:rsidRPr="00C248E2">
              <w:rPr>
                <w:rFonts w:cs="Arial"/>
                <w:b/>
                <w:sz w:val="21"/>
                <w:szCs w:val="21"/>
              </w:rPr>
              <w:t xml:space="preserve"> procedimenti con lavaggi </w:t>
            </w:r>
            <w:r w:rsidRPr="00C248E2">
              <w:rPr>
                <w:rFonts w:cs="Arial"/>
                <w:sz w:val="21"/>
                <w:szCs w:val="21"/>
              </w:rPr>
              <w:t>controllati, (</w:t>
            </w:r>
            <w:r w:rsidRPr="00C248E2">
              <w:rPr>
                <w:rFonts w:cs="Arial"/>
                <w:b/>
                <w:sz w:val="21"/>
                <w:szCs w:val="21"/>
              </w:rPr>
              <w:t>desalinizzazione</w:t>
            </w:r>
            <w:r w:rsidRPr="00C248E2">
              <w:rPr>
                <w:rFonts w:cs="Arial"/>
                <w:sz w:val="21"/>
                <w:szCs w:val="21"/>
              </w:rPr>
              <w:t xml:space="preserve">), con eventuali soluzioni alcaline, disidratazione, verifica del trattamento, eventuali trattamenti con acido tannico o fenolico, secondo occorrenza e/o con modalità mirate. Protezione della superficie con resine acriliche e cere microcristalline. </w:t>
            </w:r>
          </w:p>
        </w:tc>
        <w:tc>
          <w:tcPr>
            <w:tcW w:w="2256" w:type="dxa"/>
            <w:tcBorders>
              <w:top w:val="single" w:sz="4" w:space="0" w:color="000000"/>
              <w:left w:val="single" w:sz="4" w:space="0" w:color="000000"/>
              <w:bottom w:val="single" w:sz="4" w:space="0" w:color="000000"/>
              <w:right w:val="single" w:sz="4" w:space="0" w:color="000000"/>
            </w:tcBorders>
            <w:hideMark/>
          </w:tcPr>
          <w:p w:rsidR="00C248E2" w:rsidRPr="00C248E2" w:rsidRDefault="00C248E2" w:rsidP="0011124C">
            <w:pPr>
              <w:ind w:right="130"/>
              <w:rPr>
                <w:rFonts w:cs="Arial"/>
                <w:sz w:val="21"/>
                <w:szCs w:val="21"/>
              </w:rPr>
            </w:pPr>
            <w:r w:rsidRPr="00C248E2">
              <w:rPr>
                <w:rFonts w:cs="Arial"/>
                <w:b/>
                <w:sz w:val="21"/>
                <w:szCs w:val="21"/>
              </w:rPr>
              <w:t xml:space="preserve">Immediati: post scavo </w:t>
            </w:r>
          </w:p>
          <w:p w:rsidR="00C248E2" w:rsidRPr="00C248E2" w:rsidRDefault="00C248E2" w:rsidP="0011124C">
            <w:pPr>
              <w:ind w:right="130"/>
              <w:rPr>
                <w:rFonts w:cs="Arial"/>
                <w:sz w:val="21"/>
                <w:szCs w:val="21"/>
              </w:rPr>
            </w:pPr>
            <w:r w:rsidRPr="00C248E2">
              <w:rPr>
                <w:rFonts w:cs="Arial"/>
                <w:sz w:val="21"/>
                <w:szCs w:val="21"/>
              </w:rPr>
              <w:t xml:space="preserve">(da considerarsi anche nelle situazioni di intervento su pani di terra sigillati e /o conservati in ambienti a bassissime temperature (es. congelatori). </w:t>
            </w:r>
          </w:p>
          <w:p w:rsidR="00C248E2" w:rsidRPr="00C248E2" w:rsidRDefault="00C248E2" w:rsidP="0011124C">
            <w:pPr>
              <w:ind w:right="130"/>
              <w:rPr>
                <w:rFonts w:cs="Arial"/>
                <w:sz w:val="21"/>
                <w:szCs w:val="21"/>
              </w:rPr>
            </w:pPr>
            <w:r w:rsidRPr="00C248E2">
              <w:rPr>
                <w:rFonts w:cs="Arial"/>
                <w:sz w:val="21"/>
                <w:szCs w:val="21"/>
              </w:rPr>
              <w:t xml:space="preserve">Oppure in ottime condizioni del materiale (situazione rara). </w:t>
            </w:r>
          </w:p>
        </w:tc>
      </w:tr>
      <w:tr w:rsidR="00C248E2" w:rsidRPr="00C248E2" w:rsidTr="0011124C">
        <w:trPr>
          <w:trHeight w:val="2885"/>
        </w:trPr>
        <w:tc>
          <w:tcPr>
            <w:tcW w:w="362" w:type="dxa"/>
            <w:tcBorders>
              <w:top w:val="single" w:sz="4" w:space="0" w:color="000000"/>
              <w:left w:val="single" w:sz="4" w:space="0" w:color="000000"/>
              <w:bottom w:val="single" w:sz="4" w:space="0" w:color="000000"/>
              <w:right w:val="single" w:sz="4" w:space="0" w:color="000000"/>
            </w:tcBorders>
            <w:hideMark/>
          </w:tcPr>
          <w:p w:rsidR="00C248E2" w:rsidRPr="00C248E2" w:rsidRDefault="00C248E2" w:rsidP="0011124C">
            <w:pPr>
              <w:rPr>
                <w:rFonts w:cs="Arial"/>
                <w:sz w:val="21"/>
                <w:szCs w:val="21"/>
              </w:rPr>
            </w:pPr>
            <w:r w:rsidRPr="00C248E2">
              <w:rPr>
                <w:rFonts w:cs="Arial"/>
                <w:sz w:val="21"/>
                <w:szCs w:val="21"/>
              </w:rPr>
              <w:t xml:space="preserve">2 </w:t>
            </w:r>
          </w:p>
        </w:tc>
        <w:tc>
          <w:tcPr>
            <w:tcW w:w="1781" w:type="dxa"/>
            <w:tcBorders>
              <w:top w:val="single" w:sz="4" w:space="0" w:color="000000"/>
              <w:left w:val="single" w:sz="4" w:space="0" w:color="000000"/>
              <w:bottom w:val="single" w:sz="4" w:space="0" w:color="000000"/>
              <w:right w:val="single" w:sz="4" w:space="0" w:color="000000"/>
            </w:tcBorders>
            <w:hideMark/>
          </w:tcPr>
          <w:p w:rsidR="00C248E2" w:rsidRPr="00C248E2" w:rsidRDefault="00C248E2" w:rsidP="0011124C">
            <w:pPr>
              <w:ind w:right="130"/>
              <w:rPr>
                <w:rFonts w:cs="Arial"/>
                <w:sz w:val="21"/>
                <w:szCs w:val="21"/>
              </w:rPr>
            </w:pPr>
            <w:r w:rsidRPr="00C248E2">
              <w:rPr>
                <w:rFonts w:cs="Arial"/>
                <w:sz w:val="21"/>
                <w:szCs w:val="21"/>
              </w:rPr>
              <w:t xml:space="preserve">Medie condizioni </w:t>
            </w:r>
          </w:p>
        </w:tc>
        <w:tc>
          <w:tcPr>
            <w:tcW w:w="2514" w:type="dxa"/>
            <w:tcBorders>
              <w:top w:val="single" w:sz="4" w:space="0" w:color="000000"/>
              <w:left w:val="single" w:sz="4" w:space="0" w:color="000000"/>
              <w:bottom w:val="single" w:sz="4" w:space="0" w:color="000000"/>
              <w:right w:val="single" w:sz="4" w:space="0" w:color="000000"/>
            </w:tcBorders>
            <w:hideMark/>
          </w:tcPr>
          <w:p w:rsidR="00C248E2" w:rsidRPr="00C248E2" w:rsidRDefault="00C248E2" w:rsidP="0011124C">
            <w:pPr>
              <w:ind w:right="130"/>
              <w:rPr>
                <w:rFonts w:cs="Arial"/>
                <w:sz w:val="21"/>
                <w:szCs w:val="21"/>
              </w:rPr>
            </w:pPr>
            <w:r w:rsidRPr="00C248E2">
              <w:rPr>
                <w:rFonts w:cs="Arial"/>
                <w:sz w:val="21"/>
                <w:szCs w:val="21"/>
              </w:rPr>
              <w:t xml:space="preserve">Ossidazione più profonda, mantiene consistenza metallica parziale, parti distaccate o in fase di distacco con evidenti cricche e </w:t>
            </w:r>
            <w:proofErr w:type="spellStart"/>
            <w:r w:rsidRPr="00C248E2">
              <w:rPr>
                <w:rFonts w:cs="Arial"/>
                <w:sz w:val="21"/>
                <w:szCs w:val="21"/>
              </w:rPr>
              <w:t>crettature</w:t>
            </w:r>
            <w:proofErr w:type="spellEnd"/>
            <w:r w:rsidRPr="00C248E2">
              <w:rPr>
                <w:rFonts w:cs="Arial"/>
                <w:sz w:val="21"/>
                <w:szCs w:val="21"/>
              </w:rPr>
              <w:t xml:space="preserve">. </w:t>
            </w:r>
          </w:p>
        </w:tc>
        <w:tc>
          <w:tcPr>
            <w:tcW w:w="3233" w:type="dxa"/>
            <w:tcBorders>
              <w:top w:val="single" w:sz="4" w:space="0" w:color="000000"/>
              <w:left w:val="single" w:sz="4" w:space="0" w:color="000000"/>
              <w:bottom w:val="single" w:sz="4" w:space="0" w:color="000000"/>
              <w:right w:val="single" w:sz="4" w:space="0" w:color="000000"/>
            </w:tcBorders>
            <w:hideMark/>
          </w:tcPr>
          <w:p w:rsidR="00C248E2" w:rsidRPr="00C248E2" w:rsidRDefault="00C248E2" w:rsidP="0011124C">
            <w:pPr>
              <w:ind w:right="130"/>
              <w:rPr>
                <w:rFonts w:cs="Arial"/>
                <w:sz w:val="21"/>
                <w:szCs w:val="21"/>
              </w:rPr>
            </w:pPr>
            <w:r w:rsidRPr="00C248E2">
              <w:rPr>
                <w:rFonts w:cs="Arial"/>
                <w:sz w:val="21"/>
                <w:szCs w:val="21"/>
              </w:rPr>
              <w:t xml:space="preserve">Consigliabile pulitura a secco, (bisturi-micro sabbiatrice, ecc.) trattamenti di </w:t>
            </w:r>
            <w:r w:rsidRPr="00C248E2">
              <w:rPr>
                <w:rFonts w:cs="Arial"/>
                <w:b/>
                <w:sz w:val="21"/>
                <w:szCs w:val="21"/>
              </w:rPr>
              <w:t>acido tannico</w:t>
            </w:r>
            <w:r w:rsidRPr="00C248E2">
              <w:rPr>
                <w:rFonts w:cs="Arial"/>
                <w:sz w:val="21"/>
                <w:szCs w:val="21"/>
              </w:rPr>
              <w:t xml:space="preserve">, evitare lavaggi che possono provocare ulteriori distacchi, consolidamento resina acrilica protezione superficiale resina acrilica e cere microcristalline. </w:t>
            </w:r>
          </w:p>
        </w:tc>
        <w:tc>
          <w:tcPr>
            <w:tcW w:w="2256" w:type="dxa"/>
            <w:tcBorders>
              <w:top w:val="single" w:sz="4" w:space="0" w:color="000000"/>
              <w:left w:val="single" w:sz="4" w:space="0" w:color="000000"/>
              <w:bottom w:val="single" w:sz="4" w:space="0" w:color="000000"/>
              <w:right w:val="single" w:sz="4" w:space="0" w:color="000000"/>
            </w:tcBorders>
            <w:hideMark/>
          </w:tcPr>
          <w:p w:rsidR="00C248E2" w:rsidRPr="00C248E2" w:rsidRDefault="00C248E2" w:rsidP="0011124C">
            <w:pPr>
              <w:ind w:right="130"/>
              <w:rPr>
                <w:rFonts w:cs="Arial"/>
                <w:sz w:val="21"/>
                <w:szCs w:val="21"/>
              </w:rPr>
            </w:pPr>
            <w:r w:rsidRPr="00C248E2">
              <w:rPr>
                <w:rFonts w:cs="Arial"/>
                <w:sz w:val="21"/>
                <w:szCs w:val="21"/>
              </w:rPr>
              <w:t>Quando non eseguiti i trattamenti immediati, anche a distanza di</w:t>
            </w:r>
            <w:r w:rsidRPr="00C248E2">
              <w:rPr>
                <w:rFonts w:cs="Arial"/>
                <w:b/>
                <w:sz w:val="21"/>
                <w:szCs w:val="21"/>
              </w:rPr>
              <w:t xml:space="preserve"> meno di un anno </w:t>
            </w:r>
            <w:r w:rsidRPr="00C248E2">
              <w:rPr>
                <w:rFonts w:cs="Arial"/>
                <w:sz w:val="21"/>
                <w:szCs w:val="21"/>
              </w:rPr>
              <w:t>(dato variabile).</w:t>
            </w:r>
            <w:r w:rsidRPr="00C248E2">
              <w:rPr>
                <w:rFonts w:cs="Arial"/>
                <w:b/>
                <w:sz w:val="21"/>
                <w:szCs w:val="21"/>
              </w:rPr>
              <w:t xml:space="preserve"> </w:t>
            </w:r>
          </w:p>
          <w:p w:rsidR="00C248E2" w:rsidRPr="00C248E2" w:rsidRDefault="00C248E2" w:rsidP="0011124C">
            <w:pPr>
              <w:ind w:right="130"/>
              <w:rPr>
                <w:rFonts w:cs="Arial"/>
                <w:sz w:val="21"/>
                <w:szCs w:val="21"/>
              </w:rPr>
            </w:pPr>
            <w:r w:rsidRPr="00C248E2">
              <w:rPr>
                <w:rFonts w:cs="Arial"/>
                <w:sz w:val="21"/>
                <w:szCs w:val="21"/>
              </w:rPr>
              <w:t xml:space="preserve">Controllo, verifica e </w:t>
            </w:r>
          </w:p>
          <w:p w:rsidR="00C248E2" w:rsidRPr="00C248E2" w:rsidRDefault="00C248E2" w:rsidP="0011124C">
            <w:pPr>
              <w:ind w:right="130"/>
              <w:rPr>
                <w:rFonts w:cs="Arial"/>
                <w:sz w:val="21"/>
                <w:szCs w:val="21"/>
              </w:rPr>
            </w:pPr>
            <w:r w:rsidRPr="00C248E2">
              <w:rPr>
                <w:rFonts w:cs="Arial"/>
                <w:b/>
                <w:sz w:val="21"/>
                <w:szCs w:val="21"/>
              </w:rPr>
              <w:t>minimo intervento di conservazione.</w:t>
            </w:r>
            <w:r w:rsidRPr="00C248E2">
              <w:rPr>
                <w:rFonts w:cs="Arial"/>
                <w:sz w:val="21"/>
                <w:szCs w:val="21"/>
              </w:rPr>
              <w:t xml:space="preserve"> </w:t>
            </w:r>
          </w:p>
        </w:tc>
      </w:tr>
      <w:tr w:rsidR="00C248E2" w:rsidRPr="00C248E2" w:rsidTr="0011124C">
        <w:trPr>
          <w:trHeight w:val="3552"/>
        </w:trPr>
        <w:tc>
          <w:tcPr>
            <w:tcW w:w="362" w:type="dxa"/>
            <w:tcBorders>
              <w:top w:val="single" w:sz="4" w:space="0" w:color="000000"/>
              <w:left w:val="single" w:sz="4" w:space="0" w:color="000000"/>
              <w:bottom w:val="single" w:sz="4" w:space="0" w:color="000000"/>
              <w:right w:val="single" w:sz="4" w:space="0" w:color="000000"/>
            </w:tcBorders>
            <w:hideMark/>
          </w:tcPr>
          <w:p w:rsidR="00C248E2" w:rsidRPr="00C248E2" w:rsidRDefault="00C248E2" w:rsidP="0011124C">
            <w:pPr>
              <w:rPr>
                <w:rFonts w:cs="Arial"/>
                <w:sz w:val="21"/>
                <w:szCs w:val="21"/>
              </w:rPr>
            </w:pPr>
            <w:r w:rsidRPr="00C248E2">
              <w:rPr>
                <w:rFonts w:cs="Arial"/>
                <w:sz w:val="21"/>
                <w:szCs w:val="21"/>
              </w:rPr>
              <w:t xml:space="preserve">3 </w:t>
            </w:r>
          </w:p>
        </w:tc>
        <w:tc>
          <w:tcPr>
            <w:tcW w:w="1781" w:type="dxa"/>
            <w:tcBorders>
              <w:top w:val="single" w:sz="4" w:space="0" w:color="000000"/>
              <w:left w:val="single" w:sz="4" w:space="0" w:color="000000"/>
              <w:bottom w:val="single" w:sz="4" w:space="0" w:color="000000"/>
              <w:right w:val="single" w:sz="4" w:space="0" w:color="000000"/>
            </w:tcBorders>
            <w:hideMark/>
          </w:tcPr>
          <w:p w:rsidR="00C248E2" w:rsidRPr="00C248E2" w:rsidRDefault="00C248E2" w:rsidP="0011124C">
            <w:pPr>
              <w:ind w:right="130"/>
              <w:rPr>
                <w:rFonts w:cs="Arial"/>
                <w:sz w:val="21"/>
                <w:szCs w:val="21"/>
              </w:rPr>
            </w:pPr>
            <w:r w:rsidRPr="00C248E2">
              <w:rPr>
                <w:rFonts w:cs="Arial"/>
                <w:sz w:val="21"/>
                <w:szCs w:val="21"/>
              </w:rPr>
              <w:t xml:space="preserve">Pessime condizioni </w:t>
            </w:r>
          </w:p>
        </w:tc>
        <w:tc>
          <w:tcPr>
            <w:tcW w:w="2514" w:type="dxa"/>
            <w:tcBorders>
              <w:top w:val="single" w:sz="4" w:space="0" w:color="000000"/>
              <w:left w:val="single" w:sz="4" w:space="0" w:color="000000"/>
              <w:bottom w:val="single" w:sz="4" w:space="0" w:color="000000"/>
              <w:right w:val="single" w:sz="4" w:space="0" w:color="000000"/>
            </w:tcBorders>
            <w:hideMark/>
          </w:tcPr>
          <w:p w:rsidR="00C248E2" w:rsidRPr="00C248E2" w:rsidRDefault="00C248E2" w:rsidP="0011124C">
            <w:pPr>
              <w:ind w:right="130"/>
              <w:rPr>
                <w:rFonts w:cs="Arial"/>
                <w:sz w:val="21"/>
                <w:szCs w:val="21"/>
              </w:rPr>
            </w:pPr>
            <w:r w:rsidRPr="00C248E2">
              <w:rPr>
                <w:rFonts w:cs="Arial"/>
                <w:sz w:val="21"/>
                <w:szCs w:val="21"/>
              </w:rPr>
              <w:t xml:space="preserve">Oggetto quasi totalmente mineralizzato, spesso con deformazione e perdita della superficie, frequentemente con scaglie distaccate in quantità considerevole. Se ne conserva la riconoscibilità della forma originale solo parzialmente. </w:t>
            </w:r>
          </w:p>
        </w:tc>
        <w:tc>
          <w:tcPr>
            <w:tcW w:w="3233" w:type="dxa"/>
            <w:tcBorders>
              <w:top w:val="single" w:sz="4" w:space="0" w:color="000000"/>
              <w:left w:val="single" w:sz="4" w:space="0" w:color="000000"/>
              <w:bottom w:val="single" w:sz="4" w:space="0" w:color="000000"/>
              <w:right w:val="single" w:sz="4" w:space="0" w:color="000000"/>
            </w:tcBorders>
            <w:hideMark/>
          </w:tcPr>
          <w:p w:rsidR="00C248E2" w:rsidRPr="00C248E2" w:rsidRDefault="00C248E2" w:rsidP="0011124C">
            <w:pPr>
              <w:ind w:right="130"/>
              <w:rPr>
                <w:rFonts w:cs="Arial"/>
                <w:sz w:val="21"/>
                <w:szCs w:val="21"/>
              </w:rPr>
            </w:pPr>
            <w:r w:rsidRPr="00C248E2">
              <w:rPr>
                <w:rFonts w:cs="Arial"/>
                <w:sz w:val="21"/>
                <w:szCs w:val="21"/>
              </w:rPr>
              <w:t xml:space="preserve">Oltre ai trattamenti precedenti occorre effettuare la ricerca di attacchi e la ricomposizione dell'oggetto. Diventa un intervento di restauro. </w:t>
            </w:r>
          </w:p>
        </w:tc>
        <w:tc>
          <w:tcPr>
            <w:tcW w:w="2256" w:type="dxa"/>
            <w:tcBorders>
              <w:top w:val="single" w:sz="4" w:space="0" w:color="000000"/>
              <w:left w:val="single" w:sz="4" w:space="0" w:color="000000"/>
              <w:bottom w:val="single" w:sz="4" w:space="0" w:color="000000"/>
              <w:right w:val="single" w:sz="4" w:space="0" w:color="000000"/>
            </w:tcBorders>
            <w:hideMark/>
          </w:tcPr>
          <w:p w:rsidR="00C248E2" w:rsidRPr="00C248E2" w:rsidRDefault="00C248E2" w:rsidP="0011124C">
            <w:pPr>
              <w:ind w:right="130"/>
              <w:rPr>
                <w:rFonts w:cs="Arial"/>
                <w:b/>
                <w:sz w:val="21"/>
                <w:szCs w:val="21"/>
              </w:rPr>
            </w:pPr>
            <w:r w:rsidRPr="00C248E2">
              <w:rPr>
                <w:rFonts w:cs="Arial"/>
                <w:sz w:val="21"/>
                <w:szCs w:val="21"/>
              </w:rPr>
              <w:t>Quando non eseguiti i trattamenti immediati.</w:t>
            </w:r>
          </w:p>
          <w:p w:rsidR="00C248E2" w:rsidRPr="00C248E2" w:rsidRDefault="00C248E2" w:rsidP="0011124C">
            <w:pPr>
              <w:ind w:right="130"/>
              <w:rPr>
                <w:rFonts w:cs="Arial"/>
                <w:sz w:val="21"/>
                <w:szCs w:val="21"/>
              </w:rPr>
            </w:pPr>
            <w:r w:rsidRPr="00C248E2">
              <w:rPr>
                <w:rFonts w:cs="Arial"/>
                <w:b/>
                <w:sz w:val="21"/>
                <w:szCs w:val="21"/>
              </w:rPr>
              <w:t xml:space="preserve">Oggetti rinvenuti da più di un anno. </w:t>
            </w:r>
          </w:p>
          <w:p w:rsidR="00C248E2" w:rsidRPr="00C248E2" w:rsidRDefault="00C248E2" w:rsidP="0011124C">
            <w:pPr>
              <w:ind w:right="130"/>
              <w:rPr>
                <w:rFonts w:cs="Arial"/>
                <w:sz w:val="21"/>
                <w:szCs w:val="21"/>
              </w:rPr>
            </w:pPr>
            <w:r w:rsidRPr="00C248E2">
              <w:rPr>
                <w:rFonts w:cs="Arial"/>
                <w:b/>
                <w:sz w:val="21"/>
                <w:szCs w:val="21"/>
              </w:rPr>
              <w:t xml:space="preserve">Intervento di restauro. </w:t>
            </w:r>
          </w:p>
        </w:tc>
      </w:tr>
      <w:tr w:rsidR="00C248E2" w:rsidRPr="00C248E2" w:rsidTr="0011124C">
        <w:trPr>
          <w:trHeight w:val="840"/>
        </w:trPr>
        <w:tc>
          <w:tcPr>
            <w:tcW w:w="362" w:type="dxa"/>
            <w:tcBorders>
              <w:top w:val="single" w:sz="4" w:space="0" w:color="000000"/>
              <w:left w:val="single" w:sz="4" w:space="0" w:color="000000"/>
              <w:bottom w:val="single" w:sz="4" w:space="0" w:color="000000"/>
              <w:right w:val="single" w:sz="4" w:space="0" w:color="000000"/>
            </w:tcBorders>
            <w:hideMark/>
          </w:tcPr>
          <w:p w:rsidR="00C248E2" w:rsidRPr="00C248E2" w:rsidRDefault="00C248E2" w:rsidP="0011124C">
            <w:pPr>
              <w:spacing w:before="120"/>
              <w:rPr>
                <w:rFonts w:cs="Arial"/>
                <w:sz w:val="21"/>
                <w:szCs w:val="21"/>
              </w:rPr>
            </w:pPr>
            <w:r w:rsidRPr="00C248E2">
              <w:rPr>
                <w:rFonts w:cs="Arial"/>
                <w:b/>
                <w:sz w:val="21"/>
                <w:szCs w:val="21"/>
              </w:rPr>
              <w:t xml:space="preserve">4 </w:t>
            </w:r>
          </w:p>
        </w:tc>
        <w:tc>
          <w:tcPr>
            <w:tcW w:w="9784" w:type="dxa"/>
            <w:gridSpan w:val="4"/>
            <w:tcBorders>
              <w:top w:val="single" w:sz="4" w:space="0" w:color="000000"/>
              <w:left w:val="single" w:sz="4" w:space="0" w:color="000000"/>
              <w:bottom w:val="single" w:sz="4" w:space="0" w:color="000000"/>
              <w:right w:val="single" w:sz="4" w:space="0" w:color="000000"/>
            </w:tcBorders>
            <w:hideMark/>
          </w:tcPr>
          <w:p w:rsidR="00C248E2" w:rsidRPr="00C248E2" w:rsidRDefault="00C248E2" w:rsidP="0011124C">
            <w:pPr>
              <w:spacing w:before="120"/>
              <w:ind w:right="130"/>
              <w:jc w:val="both"/>
              <w:rPr>
                <w:rFonts w:cs="Arial"/>
                <w:sz w:val="21"/>
                <w:szCs w:val="21"/>
              </w:rPr>
            </w:pPr>
            <w:r w:rsidRPr="00C248E2">
              <w:rPr>
                <w:rFonts w:cs="Arial"/>
                <w:b/>
                <w:sz w:val="21"/>
                <w:szCs w:val="21"/>
              </w:rPr>
              <w:t xml:space="preserve">Perdita dell'oggetto per impossibilità di ricomposizione degli elementi distaccati dovuti all'evoluzione dei processi corrosivi attivi. </w:t>
            </w:r>
          </w:p>
        </w:tc>
      </w:tr>
    </w:tbl>
    <w:p w:rsidR="00C248E2" w:rsidRPr="00C248E2" w:rsidRDefault="00C248E2" w:rsidP="00C248E2">
      <w:pPr>
        <w:rPr>
          <w:rFonts w:cs="Arial"/>
          <w:sz w:val="21"/>
          <w:szCs w:val="21"/>
        </w:rPr>
      </w:pPr>
    </w:p>
    <w:p w:rsidR="00C248E2" w:rsidRDefault="00C248E2">
      <w:pPr>
        <w:rPr>
          <w:rFonts w:cs="Arial"/>
          <w:sz w:val="22"/>
        </w:rPr>
      </w:pPr>
      <w:r>
        <w:rPr>
          <w:rFonts w:cs="Arial"/>
          <w:sz w:val="22"/>
        </w:rPr>
        <w:br w:type="page"/>
      </w:r>
    </w:p>
    <w:p w:rsidR="00C248E2" w:rsidRPr="00C248E2" w:rsidRDefault="00C248E2" w:rsidP="00C248E2">
      <w:pPr>
        <w:rPr>
          <w:rFonts w:cs="Arial"/>
          <w:sz w:val="22"/>
        </w:rPr>
      </w:pPr>
      <w:r w:rsidRPr="00C248E2">
        <w:rPr>
          <w:rFonts w:cs="Arial"/>
          <w:sz w:val="22"/>
        </w:rPr>
        <w:lastRenderedPageBreak/>
        <w:t xml:space="preserve">Il Consiglio di Stato cita circa 2.3 milioni netti (a consuntivo 2017) di investimenti nel settore del restauro senza però confrontarsi in modo trasparente ed esaustivo col tema dell'Interrogazione precedente. Infatti, tale cifra è quella spesa per l'insieme dei restauri (comprese quindi chiese, dipinti, …) senza indicare quale sia l'investimento preciso o in percentuale per il restauro archeologico (ritenuto a quanto pare marginale). Quindi si chiede che il Governo approfondisca e fornisca chiare e complete risposte quando dovrà trattare la presente mozione. </w:t>
      </w:r>
    </w:p>
    <w:p w:rsidR="00C248E2" w:rsidRPr="00C248E2" w:rsidRDefault="00C248E2" w:rsidP="00C248E2">
      <w:pPr>
        <w:rPr>
          <w:rFonts w:cs="Arial"/>
          <w:sz w:val="22"/>
        </w:rPr>
      </w:pPr>
      <w:r w:rsidRPr="00C248E2">
        <w:rPr>
          <w:rFonts w:cs="Arial"/>
          <w:sz w:val="22"/>
        </w:rPr>
        <w:t xml:space="preserve">Il Governo sostiene infine che il Servizio archeologico e dei Beni culturali abbia ricevuto sempre una dotazione (in risorse umane e finanziarie) per far fronte ai propri investimenti e, diremmo noi, ai propri doveri secondo le leggi in vigore. Si rammenta che per legge, ogni reperto rinvenuto è di proprietà del Cantone e deve venir documentato, catalogato, conservato e/o restaurato e infine depositato presso l'Ufficio dei beni culturali. Quindi si tratta di un obbligo legale e non di una opzione a discrezione del Dipartimento. </w:t>
      </w:r>
    </w:p>
    <w:p w:rsidR="00C248E2" w:rsidRPr="00C248E2" w:rsidRDefault="00C248E2" w:rsidP="00C248E2">
      <w:pPr>
        <w:rPr>
          <w:rFonts w:cs="Arial"/>
          <w:sz w:val="22"/>
        </w:rPr>
      </w:pPr>
      <w:r w:rsidRPr="00C248E2">
        <w:rPr>
          <w:rFonts w:cs="Arial"/>
          <w:sz w:val="22"/>
        </w:rPr>
        <w:t>Orbene secondo le pubblicazioni sopra richiamate, gli stessi responsabili del Servizio archeologico ripetono da tempo altro, ovvero che vi è una cronica penuria di personale specializzato, la mancanza di una istituzione museale cantonale. Fatti che fanno sì che alcuni restauri debbono essere demandati fuori Cantone a costi maggiori e lunghi tempi di attesa per rapporto a quelli che vi sarebbero se fatti in Ticino. La collezione archeologica del Cantone Ticino conta oggi circa 30'000 reperti. Di che riempire un Museo ticinese e invece si legge che alcuni di questi, e per le mancanze di risorse citate, hanno dovuto essere venduti a Musei svizzeri ed europei (sic!) per essere conservati ed esposti. Forse che “prima i nostri” vale solo per le persone e non anche per il “nostro” patrimonio storico culturale?</w:t>
      </w:r>
    </w:p>
    <w:p w:rsidR="00C248E2" w:rsidRPr="00C248E2" w:rsidRDefault="00C248E2" w:rsidP="00C248E2">
      <w:pPr>
        <w:rPr>
          <w:rFonts w:cs="Arial"/>
          <w:b/>
          <w:sz w:val="22"/>
        </w:rPr>
      </w:pPr>
      <w:r w:rsidRPr="00C248E2">
        <w:rPr>
          <w:rFonts w:cs="Arial"/>
          <w:sz w:val="22"/>
        </w:rPr>
        <w:t xml:space="preserve">Per le ragioni sopra esposte e quelle già indicate nell'interrogazione precedente, considerato che i motivi legati alla situazione finanziaria del Cantone non possono essere usate come pretesto o a geometria variabile per spendere solo dove si vuole, </w:t>
      </w:r>
      <w:r w:rsidRPr="00C248E2">
        <w:rPr>
          <w:rFonts w:cs="Arial"/>
          <w:b/>
          <w:sz w:val="22"/>
        </w:rPr>
        <w:t>si chiede al Governo</w:t>
      </w:r>
    </w:p>
    <w:p w:rsidR="00C248E2" w:rsidRPr="00C248E2" w:rsidRDefault="00C248E2" w:rsidP="00C248E2">
      <w:pPr>
        <w:rPr>
          <w:rFonts w:cs="Arial"/>
          <w:b/>
          <w:sz w:val="22"/>
        </w:rPr>
      </w:pPr>
    </w:p>
    <w:p w:rsidR="00C248E2" w:rsidRPr="00C248E2" w:rsidRDefault="00C248E2" w:rsidP="00C248E2">
      <w:pPr>
        <w:tabs>
          <w:tab w:val="left" w:pos="284"/>
        </w:tabs>
        <w:ind w:left="284" w:hanging="284"/>
        <w:rPr>
          <w:rFonts w:cs="Arial"/>
          <w:sz w:val="22"/>
        </w:rPr>
      </w:pPr>
      <w:r w:rsidRPr="00C248E2">
        <w:rPr>
          <w:rFonts w:cs="Arial"/>
          <w:sz w:val="22"/>
        </w:rPr>
        <w:t xml:space="preserve">- </w:t>
      </w:r>
      <w:r w:rsidRPr="00C248E2">
        <w:rPr>
          <w:rFonts w:cs="Arial"/>
          <w:sz w:val="22"/>
        </w:rPr>
        <w:tab/>
        <w:t>che abbia al più presto ad adottare e finanziare quanto necessario per risolvere da subito il problema della perdita definitiva del 30% dei reperti archeologici in ferro ed indichi chiaramente quali sono i mezzi finanziari e le risorse umane necessarie per assolvere ai compiti legali in materia archeologica secondo le linee guida e le intenzioni reali del Governo circa la futura politica di conservazione e promozione del patrimonio archeologico ticinese. Ciò tenuto conto anche che i costi (che il Governo si auspica indicherà) per i restauri fatti fare fuori Cantone potrebbero essere meglio spesi in Ticino. Al Governo si chiederà anche che spieghi a quanto ammontano i costi che il Cantone si assume quando per mancanza di sufficiente dotazione di personale presso il Servizio archeologico cantonale deve rivolgersi a terzi esterni.</w:t>
      </w:r>
    </w:p>
    <w:p w:rsidR="00C248E2" w:rsidRPr="00C248E2" w:rsidRDefault="00C248E2" w:rsidP="00C248E2">
      <w:pPr>
        <w:rPr>
          <w:rFonts w:cs="Arial"/>
          <w:b/>
          <w:sz w:val="22"/>
        </w:rPr>
      </w:pPr>
    </w:p>
    <w:p w:rsidR="00C248E2" w:rsidRPr="00C248E2" w:rsidRDefault="00C248E2" w:rsidP="00C248E2">
      <w:pPr>
        <w:rPr>
          <w:rFonts w:cs="Arial"/>
          <w:b/>
          <w:sz w:val="22"/>
        </w:rPr>
      </w:pPr>
    </w:p>
    <w:p w:rsidR="00C248E2" w:rsidRPr="00C248E2" w:rsidRDefault="00C248E2" w:rsidP="00C248E2">
      <w:pPr>
        <w:rPr>
          <w:rFonts w:cs="Arial"/>
          <w:b/>
          <w:sz w:val="22"/>
        </w:rPr>
      </w:pPr>
      <w:r w:rsidRPr="00C248E2">
        <w:rPr>
          <w:rFonts w:cs="Arial"/>
          <w:sz w:val="22"/>
        </w:rPr>
        <w:t>Matteo Quadranti</w:t>
      </w:r>
    </w:p>
    <w:p w:rsidR="00C248E2" w:rsidRPr="00C248E2" w:rsidRDefault="00C248E2" w:rsidP="00C248E2">
      <w:pPr>
        <w:rPr>
          <w:rFonts w:cs="Arial"/>
          <w:i/>
          <w:sz w:val="22"/>
        </w:rPr>
      </w:pPr>
      <w:r w:rsidRPr="00C248E2">
        <w:rPr>
          <w:rFonts w:cs="Arial"/>
          <w:sz w:val="22"/>
        </w:rPr>
        <w:t>Ay - Beretta Piccoli - Celio</w:t>
      </w:r>
      <w:r w:rsidRPr="00C248E2">
        <w:rPr>
          <w:rFonts w:cs="Arial"/>
          <w:i/>
          <w:sz w:val="22"/>
        </w:rPr>
        <w:t xml:space="preserve"> </w:t>
      </w:r>
    </w:p>
    <w:p w:rsidR="00C248E2" w:rsidRPr="00C248E2" w:rsidRDefault="00C248E2" w:rsidP="00C248E2">
      <w:pPr>
        <w:rPr>
          <w:rFonts w:cs="Arial"/>
          <w:sz w:val="22"/>
        </w:rPr>
      </w:pPr>
      <w:r w:rsidRPr="00C248E2">
        <w:rPr>
          <w:rFonts w:cs="Arial"/>
          <w:sz w:val="22"/>
        </w:rPr>
        <w:t>Mattei</w:t>
      </w:r>
      <w:r w:rsidRPr="00C248E2">
        <w:rPr>
          <w:rFonts w:cs="Arial"/>
          <w:i/>
          <w:sz w:val="22"/>
        </w:rPr>
        <w:t xml:space="preserve"> </w:t>
      </w:r>
      <w:r w:rsidRPr="00C248E2">
        <w:rPr>
          <w:rFonts w:cs="Arial"/>
          <w:sz w:val="22"/>
        </w:rPr>
        <w:t>- Pagnamenta</w:t>
      </w:r>
      <w:r w:rsidRPr="00C248E2">
        <w:rPr>
          <w:rFonts w:cs="Arial"/>
          <w:i/>
          <w:sz w:val="22"/>
        </w:rPr>
        <w:t xml:space="preserve"> </w:t>
      </w:r>
      <w:r w:rsidRPr="00C248E2">
        <w:rPr>
          <w:rFonts w:cs="Arial"/>
          <w:sz w:val="22"/>
        </w:rPr>
        <w:t xml:space="preserve">- Pini </w:t>
      </w:r>
    </w:p>
    <w:p w:rsidR="00C248E2" w:rsidRPr="00C248E2" w:rsidRDefault="00C248E2" w:rsidP="00C248E2">
      <w:pPr>
        <w:tabs>
          <w:tab w:val="left" w:pos="-4820"/>
          <w:tab w:val="left" w:pos="-3686"/>
          <w:tab w:val="left" w:pos="426"/>
        </w:tabs>
        <w:rPr>
          <w:rFonts w:cs="Arial"/>
          <w:sz w:val="22"/>
        </w:rPr>
      </w:pPr>
    </w:p>
    <w:p w:rsidR="00B860C2" w:rsidRPr="00C248E2" w:rsidRDefault="00B860C2" w:rsidP="00B860C2">
      <w:pPr>
        <w:rPr>
          <w:sz w:val="22"/>
        </w:rPr>
      </w:pPr>
    </w:p>
    <w:sectPr w:rsidR="00B860C2" w:rsidRPr="00C248E2" w:rsidSect="007D16B4">
      <w:footerReference w:type="default" r:id="rId13"/>
      <w:pgSz w:w="11906" w:h="16838"/>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2503" w:rsidRDefault="00C72503" w:rsidP="008E77C6">
      <w:r>
        <w:separator/>
      </w:r>
    </w:p>
  </w:endnote>
  <w:endnote w:type="continuationSeparator" w:id="0">
    <w:p w:rsidR="00C72503" w:rsidRDefault="00C72503" w:rsidP="008E7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auto"/>
    <w:pitch w:val="variable"/>
    <w:sig w:usb0="00000003" w:usb1="500079DB" w:usb2="0000001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719662"/>
      <w:docPartObj>
        <w:docPartGallery w:val="Page Numbers (Bottom of Page)"/>
        <w:docPartUnique/>
      </w:docPartObj>
    </w:sdtPr>
    <w:sdtEndPr>
      <w:rPr>
        <w:sz w:val="20"/>
        <w:szCs w:val="20"/>
      </w:rPr>
    </w:sdtEndPr>
    <w:sdtContent>
      <w:p w:rsidR="008E77C6" w:rsidRPr="008E77C6" w:rsidRDefault="008E77C6">
        <w:pPr>
          <w:pStyle w:val="Pidipagina"/>
          <w:jc w:val="center"/>
          <w:rPr>
            <w:sz w:val="20"/>
            <w:szCs w:val="20"/>
          </w:rPr>
        </w:pPr>
        <w:r w:rsidRPr="008E77C6">
          <w:rPr>
            <w:sz w:val="20"/>
            <w:szCs w:val="20"/>
          </w:rPr>
          <w:fldChar w:fldCharType="begin"/>
        </w:r>
        <w:r w:rsidRPr="008E77C6">
          <w:rPr>
            <w:sz w:val="20"/>
            <w:szCs w:val="20"/>
          </w:rPr>
          <w:instrText>PAGE   \* MERGEFORMAT</w:instrText>
        </w:r>
        <w:r w:rsidRPr="008E77C6">
          <w:rPr>
            <w:sz w:val="20"/>
            <w:szCs w:val="20"/>
          </w:rPr>
          <w:fldChar w:fldCharType="separate"/>
        </w:r>
        <w:r w:rsidR="00CA32E0" w:rsidRPr="00CA32E0">
          <w:rPr>
            <w:noProof/>
            <w:sz w:val="20"/>
            <w:szCs w:val="20"/>
            <w:lang w:val="it-IT"/>
          </w:rPr>
          <w:t>1</w:t>
        </w:r>
        <w:r w:rsidRPr="008E77C6">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2503" w:rsidRDefault="00C72503" w:rsidP="008E77C6">
      <w:r>
        <w:separator/>
      </w:r>
    </w:p>
  </w:footnote>
  <w:footnote w:type="continuationSeparator" w:id="0">
    <w:p w:rsidR="00C72503" w:rsidRDefault="00C72503" w:rsidP="008E77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2CA4290"/>
    <w:lvl w:ilvl="0">
      <w:start w:val="1"/>
      <w:numFmt w:val="bullet"/>
      <w:pStyle w:val="Puntoelenco"/>
      <w:lvlText w:val=""/>
      <w:lvlJc w:val="left"/>
      <w:pPr>
        <w:tabs>
          <w:tab w:val="num" w:pos="360"/>
        </w:tabs>
        <w:ind w:left="360" w:hanging="360"/>
      </w:pPr>
      <w:rPr>
        <w:rFonts w:ascii="Symbol" w:hAnsi="Symbol" w:hint="default"/>
      </w:rPr>
    </w:lvl>
  </w:abstractNum>
  <w:abstractNum w:abstractNumId="1">
    <w:nsid w:val="0D355C0C"/>
    <w:multiLevelType w:val="hybridMultilevel"/>
    <w:tmpl w:val="1F8A3B46"/>
    <w:lvl w:ilvl="0" w:tplc="3FBC9440">
      <w:start w:val="1"/>
      <w:numFmt w:val="decimal"/>
      <w:pStyle w:val="Titolo1"/>
      <w:lvlText w:val="%1."/>
      <w:lvlJc w:val="left"/>
      <w:pPr>
        <w:ind w:left="927" w:hanging="360"/>
      </w:pPr>
      <w:rPr>
        <w:rFonts w:hint="default"/>
      </w:rPr>
    </w:lvl>
    <w:lvl w:ilvl="1" w:tplc="08100019" w:tentative="1">
      <w:start w:val="1"/>
      <w:numFmt w:val="lowerLetter"/>
      <w:lvlText w:val="%2."/>
      <w:lvlJc w:val="left"/>
      <w:pPr>
        <w:ind w:left="1647" w:hanging="360"/>
      </w:pPr>
    </w:lvl>
    <w:lvl w:ilvl="2" w:tplc="0810001B" w:tentative="1">
      <w:start w:val="1"/>
      <w:numFmt w:val="lowerRoman"/>
      <w:lvlText w:val="%3."/>
      <w:lvlJc w:val="right"/>
      <w:pPr>
        <w:ind w:left="2367" w:hanging="180"/>
      </w:pPr>
    </w:lvl>
    <w:lvl w:ilvl="3" w:tplc="0810000F" w:tentative="1">
      <w:start w:val="1"/>
      <w:numFmt w:val="decimal"/>
      <w:lvlText w:val="%4."/>
      <w:lvlJc w:val="left"/>
      <w:pPr>
        <w:ind w:left="3087" w:hanging="360"/>
      </w:pPr>
    </w:lvl>
    <w:lvl w:ilvl="4" w:tplc="08100019" w:tentative="1">
      <w:start w:val="1"/>
      <w:numFmt w:val="lowerLetter"/>
      <w:lvlText w:val="%5."/>
      <w:lvlJc w:val="left"/>
      <w:pPr>
        <w:ind w:left="3807" w:hanging="360"/>
      </w:pPr>
    </w:lvl>
    <w:lvl w:ilvl="5" w:tplc="0810001B" w:tentative="1">
      <w:start w:val="1"/>
      <w:numFmt w:val="lowerRoman"/>
      <w:lvlText w:val="%6."/>
      <w:lvlJc w:val="right"/>
      <w:pPr>
        <w:ind w:left="4527" w:hanging="180"/>
      </w:pPr>
    </w:lvl>
    <w:lvl w:ilvl="6" w:tplc="0810000F" w:tentative="1">
      <w:start w:val="1"/>
      <w:numFmt w:val="decimal"/>
      <w:lvlText w:val="%7."/>
      <w:lvlJc w:val="left"/>
      <w:pPr>
        <w:ind w:left="5247" w:hanging="360"/>
      </w:pPr>
    </w:lvl>
    <w:lvl w:ilvl="7" w:tplc="08100019" w:tentative="1">
      <w:start w:val="1"/>
      <w:numFmt w:val="lowerLetter"/>
      <w:lvlText w:val="%8."/>
      <w:lvlJc w:val="left"/>
      <w:pPr>
        <w:ind w:left="5967" w:hanging="360"/>
      </w:pPr>
    </w:lvl>
    <w:lvl w:ilvl="8" w:tplc="0810001B" w:tentative="1">
      <w:start w:val="1"/>
      <w:numFmt w:val="lowerRoman"/>
      <w:lvlText w:val="%9."/>
      <w:lvlJc w:val="right"/>
      <w:pPr>
        <w:ind w:left="6687" w:hanging="180"/>
      </w:pPr>
    </w:lvl>
  </w:abstractNum>
  <w:abstractNum w:abstractNumId="2">
    <w:nsid w:val="15A916B4"/>
    <w:multiLevelType w:val="hybridMultilevel"/>
    <w:tmpl w:val="71241184"/>
    <w:lvl w:ilvl="0" w:tplc="3996A1A0">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
    <w:nsid w:val="1F2453EC"/>
    <w:multiLevelType w:val="hybridMultilevel"/>
    <w:tmpl w:val="BBE02A84"/>
    <w:lvl w:ilvl="0" w:tplc="8988A65E">
      <w:start w:val="1"/>
      <w:numFmt w:val="bullet"/>
      <w:lvlText w:val="-"/>
      <w:lvlJc w:val="left"/>
      <w:pPr>
        <w:ind w:left="720" w:hanging="360"/>
      </w:pPr>
      <w:rPr>
        <w:rFonts w:ascii="Arial" w:hAnsi="Arial" w:hint="default"/>
      </w:rPr>
    </w:lvl>
    <w:lvl w:ilvl="1" w:tplc="8988A65E">
      <w:start w:val="1"/>
      <w:numFmt w:val="bullet"/>
      <w:lvlText w:val="-"/>
      <w:lvlJc w:val="left"/>
      <w:pPr>
        <w:ind w:left="1440" w:hanging="360"/>
      </w:pPr>
      <w:rPr>
        <w:rFonts w:ascii="Arial" w:hAnsi="Arial"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4">
    <w:nsid w:val="21BF510B"/>
    <w:multiLevelType w:val="hybridMultilevel"/>
    <w:tmpl w:val="D0C808AE"/>
    <w:styleLink w:val="Puntoelenco1"/>
    <w:lvl w:ilvl="0" w:tplc="566E3F7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7E02770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2318A01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AF0E6016">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AA32D26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021C382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28EC3FB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9074417E">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03F06AB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5">
    <w:nsid w:val="3E810B79"/>
    <w:multiLevelType w:val="hybridMultilevel"/>
    <w:tmpl w:val="D0C808AE"/>
    <w:numStyleLink w:val="Puntoelenco1"/>
  </w:abstractNum>
  <w:abstractNum w:abstractNumId="6">
    <w:nsid w:val="41BC1DB7"/>
    <w:multiLevelType w:val="hybridMultilevel"/>
    <w:tmpl w:val="6CDE1212"/>
    <w:lvl w:ilvl="0" w:tplc="08100005">
      <w:start w:val="1"/>
      <w:numFmt w:val="bullet"/>
      <w:lvlText w:val=""/>
      <w:lvlJc w:val="left"/>
      <w:pPr>
        <w:ind w:left="720" w:hanging="360"/>
      </w:pPr>
      <w:rPr>
        <w:rFonts w:ascii="Wingdings" w:hAnsi="Wingdings"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7">
    <w:nsid w:val="44901A79"/>
    <w:multiLevelType w:val="hybridMultilevel"/>
    <w:tmpl w:val="9F786C86"/>
    <w:lvl w:ilvl="0" w:tplc="3996A1A0">
      <w:numFmt w:val="bullet"/>
      <w:lvlText w:val="-"/>
      <w:lvlJc w:val="left"/>
      <w:pPr>
        <w:ind w:left="720" w:hanging="360"/>
      </w:pPr>
      <w:rPr>
        <w:rFonts w:ascii="Arial" w:eastAsia="Times New Roman" w:hAnsi="Arial" w:cs="Arial" w:hint="default"/>
      </w:rPr>
    </w:lvl>
    <w:lvl w:ilvl="1" w:tplc="AAA05160">
      <w:numFmt w:val="bullet"/>
      <w:lvlText w:val="−"/>
      <w:lvlJc w:val="left"/>
      <w:pPr>
        <w:ind w:left="1440" w:hanging="360"/>
      </w:pPr>
      <w:rPr>
        <w:rFonts w:ascii="Arial" w:eastAsia="Times New Roman" w:hAnsi="Arial" w:cs="Arial"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8">
    <w:nsid w:val="554E66A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64E40F3"/>
    <w:multiLevelType w:val="hybridMultilevel"/>
    <w:tmpl w:val="7C3C8BD4"/>
    <w:lvl w:ilvl="0" w:tplc="23C6E590">
      <w:start w:val="1"/>
      <w:numFmt w:val="decimal"/>
      <w:lvlText w:val="%1."/>
      <w:lvlJc w:val="left"/>
      <w:pPr>
        <w:ind w:left="720" w:hanging="360"/>
      </w:pPr>
      <w:rPr>
        <w:rFonts w:eastAsia="Arial Unicode MS" w:cs="Arial Unicode M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0">
    <w:nsid w:val="6A1F66EE"/>
    <w:multiLevelType w:val="hybridMultilevel"/>
    <w:tmpl w:val="2556DA38"/>
    <w:lvl w:ilvl="0" w:tplc="3996A1A0">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1">
    <w:nsid w:val="6AC26B62"/>
    <w:multiLevelType w:val="multilevel"/>
    <w:tmpl w:val="0810001D"/>
    <w:styleLink w:val="Stile1"/>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360" w:hanging="360"/>
      </w:pPr>
    </w:lvl>
    <w:lvl w:ilvl="3">
      <w:start w:val="1"/>
      <w:numFmt w:val="decimal"/>
      <w:lvlText w:val="(%4)"/>
      <w:lvlJc w:val="left"/>
      <w:pPr>
        <w:ind w:left="36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72A623D6"/>
    <w:multiLevelType w:val="hybridMultilevel"/>
    <w:tmpl w:val="660A06E4"/>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3">
    <w:nsid w:val="77F718E1"/>
    <w:multiLevelType w:val="hybridMultilevel"/>
    <w:tmpl w:val="4F4203DC"/>
    <w:lvl w:ilvl="0" w:tplc="8D0A19FA">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num w:numId="1">
    <w:abstractNumId w:val="11"/>
  </w:num>
  <w:num w:numId="2">
    <w:abstractNumId w:val="11"/>
  </w:num>
  <w:num w:numId="3">
    <w:abstractNumId w:val="13"/>
  </w:num>
  <w:num w:numId="4">
    <w:abstractNumId w:val="1"/>
  </w:num>
  <w:num w:numId="5">
    <w:abstractNumId w:val="7"/>
  </w:num>
  <w:num w:numId="6">
    <w:abstractNumId w:val="0"/>
  </w:num>
  <w:num w:numId="7">
    <w:abstractNumId w:val="12"/>
  </w:num>
  <w:num w:numId="8">
    <w:abstractNumId w:val="2"/>
  </w:num>
  <w:num w:numId="9">
    <w:abstractNumId w:val="10"/>
  </w:num>
  <w:num w:numId="10">
    <w:abstractNumId w:val="8"/>
  </w:num>
  <w:num w:numId="11">
    <w:abstractNumId w:val="3"/>
  </w:num>
  <w:num w:numId="12">
    <w:abstractNumId w:val="4"/>
  </w:num>
  <w:num w:numId="13">
    <w:abstractNumId w:val="5"/>
  </w:num>
  <w:num w:numId="14">
    <w:abstractNumId w:val="9"/>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137"/>
    <w:rsid w:val="00076E70"/>
    <w:rsid w:val="001574D7"/>
    <w:rsid w:val="00260C8C"/>
    <w:rsid w:val="002E5E40"/>
    <w:rsid w:val="0052425A"/>
    <w:rsid w:val="00586A8D"/>
    <w:rsid w:val="006D7A3B"/>
    <w:rsid w:val="006E4AE2"/>
    <w:rsid w:val="007352D3"/>
    <w:rsid w:val="007B5462"/>
    <w:rsid w:val="007D16B4"/>
    <w:rsid w:val="008034BD"/>
    <w:rsid w:val="00861F53"/>
    <w:rsid w:val="00876352"/>
    <w:rsid w:val="008B2655"/>
    <w:rsid w:val="008B4137"/>
    <w:rsid w:val="008C767A"/>
    <w:rsid w:val="008E77C6"/>
    <w:rsid w:val="009770BB"/>
    <w:rsid w:val="009E008D"/>
    <w:rsid w:val="00A5465F"/>
    <w:rsid w:val="00A77678"/>
    <w:rsid w:val="00AB55C4"/>
    <w:rsid w:val="00B860C2"/>
    <w:rsid w:val="00BC4C95"/>
    <w:rsid w:val="00BD5944"/>
    <w:rsid w:val="00C248E2"/>
    <w:rsid w:val="00C72503"/>
    <w:rsid w:val="00CA32E0"/>
    <w:rsid w:val="00CF6858"/>
    <w:rsid w:val="00D377B5"/>
    <w:rsid w:val="00D93B31"/>
    <w:rsid w:val="00E505DB"/>
    <w:rsid w:val="00E765A9"/>
    <w:rsid w:val="00F82631"/>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qFormat/>
    <w:rsid w:val="00076E70"/>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6D7A3B"/>
    <w:pPr>
      <w:keepNext/>
      <w:tabs>
        <w:tab w:val="left" w:pos="567"/>
      </w:tabs>
      <w:spacing w:after="120"/>
      <w:outlineLvl w:val="1"/>
    </w:pPr>
    <w:rPr>
      <w:b/>
      <w:lang w:val="it-IT" w:eastAsia="it-IT"/>
    </w:rPr>
  </w:style>
  <w:style w:type="paragraph" w:styleId="Titolo3">
    <w:name w:val="heading 3"/>
    <w:basedOn w:val="Normale"/>
    <w:next w:val="Normale"/>
    <w:link w:val="Titolo3Carattere"/>
    <w:autoRedefine/>
    <w:qFormat/>
    <w:rsid w:val="006D7A3B"/>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rFonts w:eastAsia="Calibri" w:cs="Times New Roman"/>
      <w:caps/>
      <w:szCs w:val="24"/>
      <w:lang w:val="it-IT"/>
    </w:rPr>
  </w:style>
  <w:style w:type="character" w:customStyle="1" w:styleId="Titolo1Carattere">
    <w:name w:val="Titolo 1 Carattere"/>
    <w:basedOn w:val="Carpredefinitoparagrafo"/>
    <w:link w:val="Titolo1"/>
    <w:rsid w:val="00076E70"/>
    <w:rPr>
      <w:rFonts w:ascii="Arial" w:hAnsi="Arial"/>
      <w:b/>
      <w:caps/>
      <w:sz w:val="24"/>
      <w:szCs w:val="24"/>
      <w:lang w:val="it-IT" w:eastAsia="it-IT"/>
    </w:rPr>
  </w:style>
  <w:style w:type="character" w:customStyle="1" w:styleId="Titolo2Carattere">
    <w:name w:val="Titolo 2 Carattere"/>
    <w:basedOn w:val="Carpredefinitoparagrafo"/>
    <w:link w:val="Titolo2"/>
    <w:rsid w:val="006D7A3B"/>
    <w:rPr>
      <w:rFonts w:ascii="Arial" w:hAnsi="Arial"/>
      <w:b/>
      <w:sz w:val="24"/>
      <w:lang w:val="it-IT" w:eastAsia="it-IT"/>
    </w:rPr>
  </w:style>
  <w:style w:type="character" w:customStyle="1" w:styleId="Titolo3Carattere">
    <w:name w:val="Titolo 3 Carattere"/>
    <w:basedOn w:val="Carpredefinitoparagrafo"/>
    <w:link w:val="Titolo3"/>
    <w:rsid w:val="006D7A3B"/>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rsid w:val="0052425A"/>
    <w:rPr>
      <w:rFonts w:eastAsia="Calibri" w:cs="Times New Roman"/>
      <w:szCs w:val="24"/>
      <w:lang w:val="it-IT"/>
    </w:rPr>
  </w:style>
  <w:style w:type="paragraph" w:styleId="Paragrafoelenco">
    <w:name w:val="List Paragraph"/>
    <w:basedOn w:val="Normale"/>
    <w:uiPriority w:val="99"/>
    <w:qFormat/>
    <w:rsid w:val="0052425A"/>
  </w:style>
  <w:style w:type="character" w:customStyle="1" w:styleId="Titolo4Carattere">
    <w:name w:val="Titolo 4 Carattere"/>
    <w:basedOn w:val="Carpredefinitoparagrafo"/>
    <w:link w:val="Titolo4"/>
    <w:uiPriority w:val="9"/>
    <w:rsid w:val="00076E70"/>
    <w:rPr>
      <w:rFonts w:ascii="Arial" w:eastAsiaTheme="majorEastAsia" w:hAnsi="Arial" w:cstheme="majorBidi"/>
      <w:b/>
      <w:bCs/>
      <w:iCs/>
    </w:rPr>
  </w:style>
  <w:style w:type="character" w:customStyle="1" w:styleId="Titolo5Carattere">
    <w:name w:val="Titolo 5 Carattere"/>
    <w:basedOn w:val="Carpredefinitoparagrafo"/>
    <w:link w:val="Titolo5"/>
    <w:uiPriority w:val="9"/>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basedOn w:val="Carpredefinitoparagrafo"/>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basedOn w:val="Carpredefinitoparagrafo"/>
    <w:link w:val="Pidipagina"/>
    <w:uiPriority w:val="99"/>
    <w:rsid w:val="008E77C6"/>
    <w:rPr>
      <w:rFonts w:ascii="Arial" w:hAnsi="Arial"/>
      <w:sz w:val="24"/>
    </w:rPr>
  </w:style>
  <w:style w:type="table" w:styleId="Grigliatabella">
    <w:name w:val="Table Grid"/>
    <w:basedOn w:val="Tabellanormale"/>
    <w:rsid w:val="00260C8C"/>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rsid w:val="001574D7"/>
    <w:pPr>
      <w:tabs>
        <w:tab w:val="left" w:pos="284"/>
        <w:tab w:val="left" w:pos="426"/>
        <w:tab w:val="left" w:pos="4962"/>
      </w:tabs>
    </w:pPr>
    <w:rPr>
      <w:rFonts w:eastAsia="Times New Roman" w:cs="Times New Roman"/>
      <w:szCs w:val="20"/>
      <w:lang w:val="it-IT" w:eastAsia="it-IT"/>
    </w:rPr>
  </w:style>
  <w:style w:type="character" w:customStyle="1" w:styleId="CorpotestoCarattere">
    <w:name w:val="Corpo testo Carattere"/>
    <w:basedOn w:val="Carpredefinitoparagrafo"/>
    <w:link w:val="Corpotesto"/>
    <w:rsid w:val="001574D7"/>
    <w:rPr>
      <w:rFonts w:ascii="Arial" w:eastAsia="Times New Roman" w:hAnsi="Arial" w:cs="Times New Roman"/>
      <w:sz w:val="24"/>
      <w:szCs w:val="20"/>
      <w:lang w:val="it-IT" w:eastAsia="it-IT"/>
    </w:rPr>
  </w:style>
  <w:style w:type="paragraph" w:customStyle="1" w:styleId="Default">
    <w:name w:val="Default"/>
    <w:rsid w:val="006E4AE2"/>
    <w:pPr>
      <w:autoSpaceDE w:val="0"/>
      <w:autoSpaceDN w:val="0"/>
      <w:adjustRightInd w:val="0"/>
      <w:jc w:val="left"/>
    </w:pPr>
    <w:rPr>
      <w:rFonts w:ascii="Arial" w:eastAsia="Times New Roman" w:hAnsi="Arial" w:cs="Arial"/>
      <w:color w:val="000000"/>
      <w:sz w:val="24"/>
      <w:szCs w:val="24"/>
      <w:lang w:eastAsia="it-CH"/>
    </w:rPr>
  </w:style>
  <w:style w:type="paragraph" w:styleId="Puntoelenco">
    <w:name w:val="List Bullet"/>
    <w:basedOn w:val="Normale"/>
    <w:uiPriority w:val="99"/>
    <w:unhideWhenUsed/>
    <w:rsid w:val="006E4AE2"/>
    <w:pPr>
      <w:widowControl w:val="0"/>
      <w:numPr>
        <w:numId w:val="6"/>
      </w:numPr>
      <w:contextualSpacing/>
    </w:pPr>
    <w:rPr>
      <w:rFonts w:eastAsia="Arial" w:cs="Arial"/>
      <w:color w:val="000000"/>
      <w:szCs w:val="24"/>
      <w:lang w:eastAsia="it-CH"/>
    </w:rPr>
  </w:style>
  <w:style w:type="paragraph" w:styleId="Testofumetto">
    <w:name w:val="Balloon Text"/>
    <w:basedOn w:val="Normale"/>
    <w:link w:val="TestofumettoCarattere"/>
    <w:uiPriority w:val="99"/>
    <w:semiHidden/>
    <w:unhideWhenUsed/>
    <w:rsid w:val="00B860C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860C2"/>
    <w:rPr>
      <w:rFonts w:ascii="Tahoma" w:hAnsi="Tahoma" w:cs="Tahoma"/>
      <w:sz w:val="16"/>
      <w:szCs w:val="16"/>
    </w:rPr>
  </w:style>
  <w:style w:type="paragraph" w:customStyle="1" w:styleId="Corpo">
    <w:name w:val="Corpo"/>
    <w:rsid w:val="00F82631"/>
    <w:pPr>
      <w:pBdr>
        <w:top w:val="nil"/>
        <w:left w:val="nil"/>
        <w:bottom w:val="nil"/>
        <w:right w:val="nil"/>
        <w:between w:val="nil"/>
        <w:bar w:val="nil"/>
      </w:pBdr>
      <w:jc w:val="left"/>
    </w:pPr>
    <w:rPr>
      <w:rFonts w:ascii="Helvetica Neue" w:eastAsia="Arial Unicode MS" w:hAnsi="Helvetica Neue" w:cs="Arial Unicode MS"/>
      <w:color w:val="000000"/>
      <w:bdr w:val="nil"/>
      <w:lang w:eastAsia="it-IT"/>
    </w:rPr>
  </w:style>
  <w:style w:type="numbering" w:customStyle="1" w:styleId="Puntoelenco1">
    <w:name w:val="Punto elenco1"/>
    <w:rsid w:val="00F82631"/>
    <w:pPr>
      <w:numPr>
        <w:numId w:val="12"/>
      </w:numPr>
    </w:pPr>
  </w:style>
  <w:style w:type="character" w:styleId="Collegamentoipertestuale">
    <w:name w:val="Hyperlink"/>
    <w:uiPriority w:val="99"/>
    <w:rsid w:val="00C248E2"/>
    <w:rPr>
      <w:color w:val="0000FF"/>
      <w:u w:val="single"/>
    </w:rPr>
  </w:style>
  <w:style w:type="table" w:customStyle="1" w:styleId="TableGrid">
    <w:name w:val="TableGrid"/>
    <w:rsid w:val="00C248E2"/>
    <w:pPr>
      <w:jc w:val="left"/>
    </w:pPr>
    <w:rPr>
      <w:rFonts w:eastAsiaTheme="minorEastAsia"/>
      <w:lang w:eastAsia="it-CH"/>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qFormat/>
    <w:rsid w:val="00076E70"/>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6D7A3B"/>
    <w:pPr>
      <w:keepNext/>
      <w:tabs>
        <w:tab w:val="left" w:pos="567"/>
      </w:tabs>
      <w:spacing w:after="120"/>
      <w:outlineLvl w:val="1"/>
    </w:pPr>
    <w:rPr>
      <w:b/>
      <w:lang w:val="it-IT" w:eastAsia="it-IT"/>
    </w:rPr>
  </w:style>
  <w:style w:type="paragraph" w:styleId="Titolo3">
    <w:name w:val="heading 3"/>
    <w:basedOn w:val="Normale"/>
    <w:next w:val="Normale"/>
    <w:link w:val="Titolo3Carattere"/>
    <w:autoRedefine/>
    <w:qFormat/>
    <w:rsid w:val="006D7A3B"/>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rFonts w:eastAsia="Calibri" w:cs="Times New Roman"/>
      <w:caps/>
      <w:szCs w:val="24"/>
      <w:lang w:val="it-IT"/>
    </w:rPr>
  </w:style>
  <w:style w:type="character" w:customStyle="1" w:styleId="Titolo1Carattere">
    <w:name w:val="Titolo 1 Carattere"/>
    <w:basedOn w:val="Carpredefinitoparagrafo"/>
    <w:link w:val="Titolo1"/>
    <w:rsid w:val="00076E70"/>
    <w:rPr>
      <w:rFonts w:ascii="Arial" w:hAnsi="Arial"/>
      <w:b/>
      <w:caps/>
      <w:sz w:val="24"/>
      <w:szCs w:val="24"/>
      <w:lang w:val="it-IT" w:eastAsia="it-IT"/>
    </w:rPr>
  </w:style>
  <w:style w:type="character" w:customStyle="1" w:styleId="Titolo2Carattere">
    <w:name w:val="Titolo 2 Carattere"/>
    <w:basedOn w:val="Carpredefinitoparagrafo"/>
    <w:link w:val="Titolo2"/>
    <w:rsid w:val="006D7A3B"/>
    <w:rPr>
      <w:rFonts w:ascii="Arial" w:hAnsi="Arial"/>
      <w:b/>
      <w:sz w:val="24"/>
      <w:lang w:val="it-IT" w:eastAsia="it-IT"/>
    </w:rPr>
  </w:style>
  <w:style w:type="character" w:customStyle="1" w:styleId="Titolo3Carattere">
    <w:name w:val="Titolo 3 Carattere"/>
    <w:basedOn w:val="Carpredefinitoparagrafo"/>
    <w:link w:val="Titolo3"/>
    <w:rsid w:val="006D7A3B"/>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rsid w:val="0052425A"/>
    <w:rPr>
      <w:rFonts w:eastAsia="Calibri" w:cs="Times New Roman"/>
      <w:szCs w:val="24"/>
      <w:lang w:val="it-IT"/>
    </w:rPr>
  </w:style>
  <w:style w:type="paragraph" w:styleId="Paragrafoelenco">
    <w:name w:val="List Paragraph"/>
    <w:basedOn w:val="Normale"/>
    <w:uiPriority w:val="99"/>
    <w:qFormat/>
    <w:rsid w:val="0052425A"/>
  </w:style>
  <w:style w:type="character" w:customStyle="1" w:styleId="Titolo4Carattere">
    <w:name w:val="Titolo 4 Carattere"/>
    <w:basedOn w:val="Carpredefinitoparagrafo"/>
    <w:link w:val="Titolo4"/>
    <w:uiPriority w:val="9"/>
    <w:rsid w:val="00076E70"/>
    <w:rPr>
      <w:rFonts w:ascii="Arial" w:eastAsiaTheme="majorEastAsia" w:hAnsi="Arial" w:cstheme="majorBidi"/>
      <w:b/>
      <w:bCs/>
      <w:iCs/>
    </w:rPr>
  </w:style>
  <w:style w:type="character" w:customStyle="1" w:styleId="Titolo5Carattere">
    <w:name w:val="Titolo 5 Carattere"/>
    <w:basedOn w:val="Carpredefinitoparagrafo"/>
    <w:link w:val="Titolo5"/>
    <w:uiPriority w:val="9"/>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basedOn w:val="Carpredefinitoparagrafo"/>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basedOn w:val="Carpredefinitoparagrafo"/>
    <w:link w:val="Pidipagina"/>
    <w:uiPriority w:val="99"/>
    <w:rsid w:val="008E77C6"/>
    <w:rPr>
      <w:rFonts w:ascii="Arial" w:hAnsi="Arial"/>
      <w:sz w:val="24"/>
    </w:rPr>
  </w:style>
  <w:style w:type="table" w:styleId="Grigliatabella">
    <w:name w:val="Table Grid"/>
    <w:basedOn w:val="Tabellanormale"/>
    <w:rsid w:val="00260C8C"/>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rsid w:val="001574D7"/>
    <w:pPr>
      <w:tabs>
        <w:tab w:val="left" w:pos="284"/>
        <w:tab w:val="left" w:pos="426"/>
        <w:tab w:val="left" w:pos="4962"/>
      </w:tabs>
    </w:pPr>
    <w:rPr>
      <w:rFonts w:eastAsia="Times New Roman" w:cs="Times New Roman"/>
      <w:szCs w:val="20"/>
      <w:lang w:val="it-IT" w:eastAsia="it-IT"/>
    </w:rPr>
  </w:style>
  <w:style w:type="character" w:customStyle="1" w:styleId="CorpotestoCarattere">
    <w:name w:val="Corpo testo Carattere"/>
    <w:basedOn w:val="Carpredefinitoparagrafo"/>
    <w:link w:val="Corpotesto"/>
    <w:rsid w:val="001574D7"/>
    <w:rPr>
      <w:rFonts w:ascii="Arial" w:eastAsia="Times New Roman" w:hAnsi="Arial" w:cs="Times New Roman"/>
      <w:sz w:val="24"/>
      <w:szCs w:val="20"/>
      <w:lang w:val="it-IT" w:eastAsia="it-IT"/>
    </w:rPr>
  </w:style>
  <w:style w:type="paragraph" w:customStyle="1" w:styleId="Default">
    <w:name w:val="Default"/>
    <w:rsid w:val="006E4AE2"/>
    <w:pPr>
      <w:autoSpaceDE w:val="0"/>
      <w:autoSpaceDN w:val="0"/>
      <w:adjustRightInd w:val="0"/>
      <w:jc w:val="left"/>
    </w:pPr>
    <w:rPr>
      <w:rFonts w:ascii="Arial" w:eastAsia="Times New Roman" w:hAnsi="Arial" w:cs="Arial"/>
      <w:color w:val="000000"/>
      <w:sz w:val="24"/>
      <w:szCs w:val="24"/>
      <w:lang w:eastAsia="it-CH"/>
    </w:rPr>
  </w:style>
  <w:style w:type="paragraph" w:styleId="Puntoelenco">
    <w:name w:val="List Bullet"/>
    <w:basedOn w:val="Normale"/>
    <w:uiPriority w:val="99"/>
    <w:unhideWhenUsed/>
    <w:rsid w:val="006E4AE2"/>
    <w:pPr>
      <w:widowControl w:val="0"/>
      <w:numPr>
        <w:numId w:val="6"/>
      </w:numPr>
      <w:contextualSpacing/>
    </w:pPr>
    <w:rPr>
      <w:rFonts w:eastAsia="Arial" w:cs="Arial"/>
      <w:color w:val="000000"/>
      <w:szCs w:val="24"/>
      <w:lang w:eastAsia="it-CH"/>
    </w:rPr>
  </w:style>
  <w:style w:type="paragraph" w:styleId="Testofumetto">
    <w:name w:val="Balloon Text"/>
    <w:basedOn w:val="Normale"/>
    <w:link w:val="TestofumettoCarattere"/>
    <w:uiPriority w:val="99"/>
    <w:semiHidden/>
    <w:unhideWhenUsed/>
    <w:rsid w:val="00B860C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860C2"/>
    <w:rPr>
      <w:rFonts w:ascii="Tahoma" w:hAnsi="Tahoma" w:cs="Tahoma"/>
      <w:sz w:val="16"/>
      <w:szCs w:val="16"/>
    </w:rPr>
  </w:style>
  <w:style w:type="paragraph" w:customStyle="1" w:styleId="Corpo">
    <w:name w:val="Corpo"/>
    <w:rsid w:val="00F82631"/>
    <w:pPr>
      <w:pBdr>
        <w:top w:val="nil"/>
        <w:left w:val="nil"/>
        <w:bottom w:val="nil"/>
        <w:right w:val="nil"/>
        <w:between w:val="nil"/>
        <w:bar w:val="nil"/>
      </w:pBdr>
      <w:jc w:val="left"/>
    </w:pPr>
    <w:rPr>
      <w:rFonts w:ascii="Helvetica Neue" w:eastAsia="Arial Unicode MS" w:hAnsi="Helvetica Neue" w:cs="Arial Unicode MS"/>
      <w:color w:val="000000"/>
      <w:bdr w:val="nil"/>
      <w:lang w:eastAsia="it-IT"/>
    </w:rPr>
  </w:style>
  <w:style w:type="numbering" w:customStyle="1" w:styleId="Puntoelenco1">
    <w:name w:val="Punto elenco1"/>
    <w:rsid w:val="00F82631"/>
    <w:pPr>
      <w:numPr>
        <w:numId w:val="12"/>
      </w:numPr>
    </w:pPr>
  </w:style>
  <w:style w:type="character" w:styleId="Collegamentoipertestuale">
    <w:name w:val="Hyperlink"/>
    <w:uiPriority w:val="99"/>
    <w:rsid w:val="00C248E2"/>
    <w:rPr>
      <w:color w:val="0000FF"/>
      <w:u w:val="single"/>
    </w:rPr>
  </w:style>
  <w:style w:type="table" w:customStyle="1" w:styleId="TableGrid">
    <w:name w:val="TableGrid"/>
    <w:rsid w:val="00C248E2"/>
    <w:pPr>
      <w:jc w:val="left"/>
    </w:pPr>
    <w:rPr>
      <w:rFonts w:eastAsiaTheme="minorEastAsia"/>
      <w:lang w:eastAsia="it-CH"/>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3.ti.ch/DFE/DR/USTAT/allegati/articolo/1281dss_2006-1_5.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3.ti.ch/DFE/DR/USTAT/allegati/articolo/1281dss_2006-1_5.pdf"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www4.ti.ch/poteri/gc/messaggi-e-atti/ricerca/risultati/dettaglio/?user_gcparlamento_pi8%5Battid%5D=95933&amp;user_gcparlamento_pi8%5bricerca%5d=11.18&amp;user_gcparlamento_pi8%5btat109%5d=109"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225DD-62C8-48AB-9EBA-00E1C9B5C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2861</Words>
  <Characters>16308</Characters>
  <Application>Microsoft Office Word</Application>
  <DocSecurity>0</DocSecurity>
  <Lines>135</Lines>
  <Paragraphs>38</Paragraphs>
  <ScaleCrop>false</ScaleCrop>
  <HeadingPairs>
    <vt:vector size="2" baseType="variant">
      <vt:variant>
        <vt:lpstr>Titolo</vt:lpstr>
      </vt:variant>
      <vt:variant>
        <vt:i4>1</vt:i4>
      </vt:variant>
    </vt:vector>
  </HeadingPairs>
  <TitlesOfParts>
    <vt:vector size="1" baseType="lpstr">
      <vt:lpstr/>
    </vt:vector>
  </TitlesOfParts>
  <Company>Amministrazione Cantonale</Company>
  <LinksUpToDate>false</LinksUpToDate>
  <CharactersWithSpaces>19131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Agostinetti Jole / kxgc002</dc:creator>
  <cp:lastModifiedBy>Agostinetti Jole / kxgc002</cp:lastModifiedBy>
  <cp:revision>3</cp:revision>
  <cp:lastPrinted>2019-02-27T10:25:00Z</cp:lastPrinted>
  <dcterms:created xsi:type="dcterms:W3CDTF">2019-02-27T10:26:00Z</dcterms:created>
  <dcterms:modified xsi:type="dcterms:W3CDTF">2019-02-27T10:39:00Z</dcterms:modified>
</cp:coreProperties>
</file>