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C2" w:rsidRPr="004B7051" w:rsidRDefault="004B7051" w:rsidP="00B860C2">
      <w:pPr>
        <w:rPr>
          <w:rFonts w:ascii="Gill Sans MT" w:hAnsi="Gill Sans MT"/>
          <w:b/>
          <w:sz w:val="52"/>
          <w:szCs w:val="52"/>
        </w:rPr>
      </w:pPr>
      <w:r w:rsidRPr="004B7051">
        <w:rPr>
          <w:rFonts w:ascii="Gill Sans MT" w:hAnsi="Gill Sans MT"/>
          <w:b/>
          <w:sz w:val="52"/>
          <w:szCs w:val="52"/>
        </w:rPr>
        <w:t>Rapporto</w:t>
      </w:r>
      <w:bookmarkStart w:id="0" w:name="_GoBack"/>
      <w:bookmarkEnd w:id="0"/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1D26F5" w:rsidRDefault="001D26F5" w:rsidP="001D26F5">
      <w:pPr>
        <w:tabs>
          <w:tab w:val="left" w:pos="1985"/>
          <w:tab w:val="left" w:pos="4962"/>
        </w:tabs>
        <w:ind w:right="-1"/>
        <w:rPr>
          <w:sz w:val="32"/>
          <w:szCs w:val="32"/>
        </w:rPr>
      </w:pPr>
      <w:bookmarkStart w:id="1" w:name="_Toc532286235"/>
      <w:r>
        <w:rPr>
          <w:b/>
          <w:sz w:val="32"/>
          <w:szCs w:val="32"/>
        </w:rPr>
        <w:t>7633 R</w:t>
      </w:r>
      <w:r>
        <w:rPr>
          <w:b/>
          <w:sz w:val="32"/>
          <w:szCs w:val="32"/>
        </w:rPr>
        <w:tab/>
      </w:r>
      <w:r>
        <w:rPr>
          <w:sz w:val="28"/>
          <w:szCs w:val="28"/>
        </w:rPr>
        <w:t>6</w:t>
      </w:r>
      <w:r w:rsidRPr="00C202AC">
        <w:rPr>
          <w:sz w:val="28"/>
          <w:szCs w:val="28"/>
        </w:rPr>
        <w:t xml:space="preserve"> </w:t>
      </w:r>
      <w:r>
        <w:rPr>
          <w:sz w:val="28"/>
          <w:szCs w:val="28"/>
        </w:rPr>
        <w:t>giugno 2019</w:t>
      </w:r>
      <w:r>
        <w:rPr>
          <w:sz w:val="32"/>
          <w:szCs w:val="32"/>
        </w:rPr>
        <w:tab/>
      </w:r>
      <w:r>
        <w:rPr>
          <w:rFonts w:cs="Arial"/>
          <w:caps/>
          <w:sz w:val="28"/>
          <w:szCs w:val="28"/>
        </w:rPr>
        <w:t>TERRITORIO</w:t>
      </w:r>
    </w:p>
    <w:p w:rsidR="001D26F5" w:rsidRDefault="001D26F5" w:rsidP="002760A8"/>
    <w:p w:rsidR="001D26F5" w:rsidRDefault="001D26F5" w:rsidP="002760A8"/>
    <w:p w:rsidR="001D26F5" w:rsidRDefault="001D26F5" w:rsidP="002760A8"/>
    <w:p w:rsidR="001D26F5" w:rsidRPr="00C202AC" w:rsidRDefault="001D26F5" w:rsidP="001D26F5">
      <w:pPr>
        <w:ind w:right="-1"/>
        <w:rPr>
          <w:b/>
          <w:snapToGrid w:val="0"/>
          <w:sz w:val="28"/>
          <w:szCs w:val="28"/>
        </w:rPr>
      </w:pPr>
      <w:bookmarkStart w:id="2" w:name="_Toc151192911"/>
      <w:bookmarkStart w:id="3" w:name="_Toc151192545"/>
      <w:r w:rsidRPr="00C202AC">
        <w:rPr>
          <w:b/>
          <w:snapToGrid w:val="0"/>
          <w:sz w:val="28"/>
          <w:szCs w:val="28"/>
        </w:rPr>
        <w:t xml:space="preserve">della Commissione </w:t>
      </w:r>
      <w:r>
        <w:rPr>
          <w:b/>
          <w:snapToGrid w:val="0"/>
          <w:sz w:val="28"/>
          <w:szCs w:val="28"/>
        </w:rPr>
        <w:t>a</w:t>
      </w:r>
      <w:r w:rsidRPr="00C202AC">
        <w:rPr>
          <w:b/>
          <w:snapToGrid w:val="0"/>
          <w:sz w:val="28"/>
          <w:szCs w:val="28"/>
        </w:rPr>
        <w:t xml:space="preserve">mbiente, </w:t>
      </w:r>
      <w:r>
        <w:rPr>
          <w:b/>
          <w:snapToGrid w:val="0"/>
          <w:sz w:val="28"/>
          <w:szCs w:val="28"/>
        </w:rPr>
        <w:t>t</w:t>
      </w:r>
      <w:r w:rsidRPr="00C202AC">
        <w:rPr>
          <w:b/>
          <w:snapToGrid w:val="0"/>
          <w:sz w:val="28"/>
          <w:szCs w:val="28"/>
        </w:rPr>
        <w:t xml:space="preserve">erritorio </w:t>
      </w:r>
      <w:r>
        <w:rPr>
          <w:b/>
          <w:snapToGrid w:val="0"/>
          <w:sz w:val="28"/>
          <w:szCs w:val="28"/>
        </w:rPr>
        <w:t>ed e</w:t>
      </w:r>
      <w:r w:rsidRPr="00C202AC">
        <w:rPr>
          <w:b/>
          <w:snapToGrid w:val="0"/>
          <w:sz w:val="28"/>
          <w:szCs w:val="28"/>
        </w:rPr>
        <w:t>nergia</w:t>
      </w:r>
    </w:p>
    <w:p w:rsidR="001D26F5" w:rsidRPr="00C202AC" w:rsidRDefault="001D26F5" w:rsidP="001D26F5">
      <w:pPr>
        <w:tabs>
          <w:tab w:val="left" w:pos="1985"/>
          <w:tab w:val="left" w:pos="4933"/>
        </w:tabs>
        <w:ind w:right="-1"/>
        <w:rPr>
          <w:rFonts w:cs="Arial"/>
          <w:b/>
          <w:sz w:val="28"/>
          <w:szCs w:val="28"/>
        </w:rPr>
      </w:pPr>
      <w:r w:rsidRPr="00C202AC">
        <w:rPr>
          <w:rFonts w:cs="Arial"/>
          <w:b/>
          <w:sz w:val="28"/>
          <w:szCs w:val="28"/>
        </w:rPr>
        <w:t>sul messaggio 27 febbraio 2019 concernente la richiesta di un credito di 550'000.</w:t>
      </w:r>
      <w:r>
        <w:rPr>
          <w:rFonts w:cs="Arial"/>
          <w:b/>
          <w:sz w:val="28"/>
          <w:szCs w:val="28"/>
        </w:rPr>
        <w:t>--</w:t>
      </w:r>
      <w:r w:rsidRPr="00C202AC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franchi </w:t>
      </w:r>
      <w:r w:rsidRPr="00C202AC">
        <w:rPr>
          <w:rFonts w:cs="Arial"/>
          <w:b/>
          <w:sz w:val="28"/>
          <w:szCs w:val="28"/>
        </w:rPr>
        <w:t xml:space="preserve">per il sostegno a progetti di bike </w:t>
      </w:r>
      <w:proofErr w:type="spellStart"/>
      <w:r w:rsidRPr="00C202AC">
        <w:rPr>
          <w:rFonts w:cs="Arial"/>
          <w:b/>
          <w:sz w:val="28"/>
          <w:szCs w:val="28"/>
        </w:rPr>
        <w:t>sharing</w:t>
      </w:r>
      <w:proofErr w:type="spellEnd"/>
      <w:r w:rsidRPr="00C202AC">
        <w:rPr>
          <w:rFonts w:cs="Arial"/>
          <w:b/>
          <w:sz w:val="28"/>
          <w:szCs w:val="28"/>
        </w:rPr>
        <w:t xml:space="preserve"> negli agglomerati del Cantone e per valutarne l’impatto sulla mobilità</w:t>
      </w:r>
    </w:p>
    <w:p w:rsidR="001D26F5" w:rsidRDefault="001D26F5" w:rsidP="001D26F5">
      <w:pPr>
        <w:tabs>
          <w:tab w:val="left" w:pos="1985"/>
          <w:tab w:val="left" w:pos="4933"/>
        </w:tabs>
        <w:ind w:right="-1"/>
        <w:rPr>
          <w:rFonts w:cs="Arial"/>
          <w:szCs w:val="24"/>
        </w:rPr>
      </w:pPr>
    </w:p>
    <w:p w:rsidR="001D26F5" w:rsidRPr="00F044E5" w:rsidRDefault="001D26F5" w:rsidP="001D26F5">
      <w:pPr>
        <w:tabs>
          <w:tab w:val="left" w:pos="1985"/>
          <w:tab w:val="left" w:pos="4933"/>
        </w:tabs>
        <w:ind w:right="-1"/>
        <w:rPr>
          <w:rFonts w:cs="Arial"/>
          <w:szCs w:val="24"/>
        </w:rPr>
      </w:pPr>
    </w:p>
    <w:p w:rsidR="001D26F5" w:rsidRPr="00F044E5" w:rsidRDefault="001D26F5" w:rsidP="001D26F5">
      <w:pPr>
        <w:tabs>
          <w:tab w:val="left" w:pos="1985"/>
          <w:tab w:val="left" w:pos="4933"/>
        </w:tabs>
        <w:ind w:right="-1"/>
        <w:rPr>
          <w:rFonts w:cs="Arial"/>
          <w:szCs w:val="24"/>
        </w:rPr>
      </w:pPr>
    </w:p>
    <w:bookmarkEnd w:id="2"/>
    <w:bookmarkEnd w:id="3"/>
    <w:p w:rsidR="001D26F5" w:rsidRDefault="001D26F5" w:rsidP="001D26F5">
      <w:pPr>
        <w:tabs>
          <w:tab w:val="left" w:pos="426"/>
        </w:tabs>
        <w:spacing w:after="160"/>
        <w:ind w:right="-1"/>
        <w:rPr>
          <w:rFonts w:ascii="Arial Grassetto" w:eastAsia="MS Mincho" w:hAnsi="Arial Grassetto" w:cs="Arial" w:hint="eastAsia"/>
          <w:b/>
          <w:caps/>
        </w:rPr>
      </w:pPr>
      <w:r>
        <w:rPr>
          <w:rFonts w:ascii="Arial Grassetto" w:eastAsia="MS Mincho" w:hAnsi="Arial Grassetto" w:cs="Arial"/>
          <w:b/>
          <w:caps/>
        </w:rPr>
        <w:t>1.</w:t>
      </w:r>
      <w:r>
        <w:rPr>
          <w:rFonts w:ascii="Arial Grassetto" w:eastAsia="MS Mincho" w:hAnsi="Arial Grassetto" w:cs="Arial"/>
          <w:b/>
          <w:caps/>
        </w:rPr>
        <w:tab/>
        <w:t>introduzione</w:t>
      </w:r>
    </w:p>
    <w:p w:rsidR="001D26F5" w:rsidRDefault="001D26F5" w:rsidP="001D26F5">
      <w:pPr>
        <w:tabs>
          <w:tab w:val="left" w:pos="567"/>
        </w:tabs>
        <w:spacing w:after="160"/>
        <w:ind w:right="-1"/>
        <w:rPr>
          <w:rFonts w:cs="Arial"/>
        </w:rPr>
      </w:pPr>
      <w:r>
        <w:rPr>
          <w:rFonts w:cs="Arial"/>
        </w:rPr>
        <w:t xml:space="preserve">Il bike </w:t>
      </w:r>
      <w:proofErr w:type="spellStart"/>
      <w:r>
        <w:rPr>
          <w:rFonts w:cs="Arial"/>
        </w:rPr>
        <w:t>sharing</w:t>
      </w:r>
      <w:proofErr w:type="spellEnd"/>
      <w:r>
        <w:rPr>
          <w:rFonts w:cs="Arial"/>
        </w:rPr>
        <w:t xml:space="preserve"> nel nostro Cantone si sta vieppiù sviluppando. Dopo Lugano, partita nel 2010, hanno fatto seguito Locarno (2016) e Bellinzona (2019).</w:t>
      </w:r>
    </w:p>
    <w:p w:rsidR="001D26F5" w:rsidRDefault="001D26F5" w:rsidP="001D26F5">
      <w:pPr>
        <w:tabs>
          <w:tab w:val="left" w:pos="567"/>
        </w:tabs>
        <w:spacing w:after="160"/>
        <w:ind w:right="-1"/>
        <w:rPr>
          <w:rFonts w:cs="Arial"/>
        </w:rPr>
      </w:pPr>
      <w:r>
        <w:rPr>
          <w:rFonts w:cs="Arial"/>
        </w:rPr>
        <w:t>Nel frattempo, visto il grande successo, le prime due (Lugano e Locarno) si sono notevolmente ampliate.</w:t>
      </w:r>
    </w:p>
    <w:p w:rsidR="001D26F5" w:rsidRDefault="001D26F5" w:rsidP="001D26F5">
      <w:pPr>
        <w:tabs>
          <w:tab w:val="left" w:pos="567"/>
        </w:tabs>
        <w:spacing w:after="160"/>
        <w:ind w:right="-1"/>
        <w:rPr>
          <w:rFonts w:cs="Arial"/>
        </w:rPr>
      </w:pPr>
      <w:r>
        <w:rPr>
          <w:rFonts w:cs="Arial"/>
        </w:rPr>
        <w:t>Tutte e tre i sistemi attualmente presenti in Ticino stanno registrando ottime utilizzazioni; pensiamo soprattutto che a Lugano, nelle giornate di punta, si registrano circa 700 movimentazioni.</w:t>
      </w:r>
    </w:p>
    <w:p w:rsidR="001D26F5" w:rsidRDefault="001D26F5" w:rsidP="001D26F5">
      <w:pPr>
        <w:tabs>
          <w:tab w:val="left" w:pos="567"/>
        </w:tabs>
        <w:spacing w:after="160"/>
        <w:ind w:right="-1"/>
        <w:rPr>
          <w:rFonts w:cs="Arial"/>
        </w:rPr>
      </w:pPr>
      <w:r>
        <w:rPr>
          <w:rFonts w:cs="Arial"/>
        </w:rPr>
        <w:t xml:space="preserve">Il sistema di Lugano oggi conta 39 stazioni e 208 biciclette (104 elettriche e 104 tradizionali), Locarno 96 stazioni e 489 biciclette (269 elettriche e 220 tradizionali), mentre Bellinzona, da poco attiva, conta 6 stazioni e 45 biciclette tutte elettriche. </w:t>
      </w:r>
    </w:p>
    <w:p w:rsidR="001D26F5" w:rsidRDefault="001D26F5" w:rsidP="001D26F5">
      <w:pPr>
        <w:tabs>
          <w:tab w:val="left" w:pos="567"/>
        </w:tabs>
        <w:spacing w:after="160"/>
        <w:ind w:right="-1"/>
        <w:rPr>
          <w:rFonts w:cs="Arial"/>
        </w:rPr>
      </w:pPr>
      <w:r>
        <w:rPr>
          <w:rFonts w:cs="Arial"/>
        </w:rPr>
        <w:t>Un aspetto ancora da chiarire è che Locarno e Bellinzona fanno capo a un fornitore (</w:t>
      </w:r>
      <w:proofErr w:type="spellStart"/>
      <w:r>
        <w:rPr>
          <w:rFonts w:cs="Arial"/>
        </w:rPr>
        <w:t>Velospot-Intermobility</w:t>
      </w:r>
      <w:proofErr w:type="spellEnd"/>
      <w:r>
        <w:rPr>
          <w:rFonts w:cs="Arial"/>
        </w:rPr>
        <w:t xml:space="preserve">), mentre Lugano fa capo a </w:t>
      </w:r>
      <w:proofErr w:type="spellStart"/>
      <w:r>
        <w:rPr>
          <w:rFonts w:cs="Arial"/>
        </w:rPr>
        <w:t>Publibike</w:t>
      </w:r>
      <w:proofErr w:type="spellEnd"/>
      <w:r>
        <w:rPr>
          <w:rFonts w:cs="Arial"/>
        </w:rPr>
        <w:t xml:space="preserve"> SA di proprietà di </w:t>
      </w:r>
      <w:proofErr w:type="spellStart"/>
      <w:r>
        <w:rPr>
          <w:rFonts w:cs="Arial"/>
        </w:rPr>
        <w:t>Autopostale</w:t>
      </w:r>
      <w:proofErr w:type="spellEnd"/>
      <w:r>
        <w:rPr>
          <w:rFonts w:cs="Arial"/>
        </w:rPr>
        <w:t>.</w:t>
      </w:r>
    </w:p>
    <w:p w:rsidR="001D26F5" w:rsidRDefault="001D26F5" w:rsidP="001D26F5">
      <w:pPr>
        <w:tabs>
          <w:tab w:val="left" w:pos="567"/>
        </w:tabs>
        <w:spacing w:after="160"/>
        <w:ind w:right="-1"/>
        <w:rPr>
          <w:rFonts w:cs="Arial"/>
        </w:rPr>
      </w:pPr>
      <w:r>
        <w:rPr>
          <w:rFonts w:cs="Arial"/>
        </w:rPr>
        <w:t>I tre Comuni interessati hanno inoltrato uno scritto ai due citati fornitori chiedendo puntualmente di individuare una soluzione affinché, con un unico abbonamento, si possa accedere ai due servizi.</w:t>
      </w:r>
    </w:p>
    <w:p w:rsidR="001D26F5" w:rsidRDefault="001D26F5" w:rsidP="001D26F5">
      <w:pPr>
        <w:tabs>
          <w:tab w:val="left" w:pos="567"/>
        </w:tabs>
        <w:spacing w:after="160"/>
        <w:ind w:right="-1"/>
        <w:rPr>
          <w:rFonts w:cs="Arial"/>
        </w:rPr>
      </w:pPr>
      <w:r>
        <w:rPr>
          <w:rFonts w:cs="Arial"/>
        </w:rPr>
        <w:t>Nell’ambito di una fitta e razionale rete su tutto il territorio, sarebbe importante potenziare gli attuali esistenti sistemi e sviluppare la rete negli agglomerati di Mendrisio e Chiasso.</w:t>
      </w:r>
    </w:p>
    <w:p w:rsidR="001D26F5" w:rsidRDefault="001D26F5" w:rsidP="001D26F5">
      <w:pPr>
        <w:tabs>
          <w:tab w:val="left" w:pos="567"/>
        </w:tabs>
        <w:rPr>
          <w:rFonts w:cs="Arial"/>
        </w:rPr>
      </w:pPr>
      <w:r>
        <w:rPr>
          <w:rFonts w:cs="Arial"/>
        </w:rPr>
        <w:t xml:space="preserve">È infatti utile ricordare che in Ticino il 55% degli spostamenti effettuati  per recarsi al lavoro sono inferiori ai 5 km; ecco che, con l’avvento delle E-Bike, ben presenti nelle reti bike </w:t>
      </w:r>
      <w:proofErr w:type="spellStart"/>
      <w:r>
        <w:rPr>
          <w:rFonts w:cs="Arial"/>
        </w:rPr>
        <w:t>sharing</w:t>
      </w:r>
      <w:proofErr w:type="spellEnd"/>
      <w:r>
        <w:rPr>
          <w:rFonts w:cs="Arial"/>
        </w:rPr>
        <w:t>, questo tragitto può essere tranquillamente percorso in bicicletta.</w:t>
      </w:r>
    </w:p>
    <w:p w:rsidR="001D26F5" w:rsidRDefault="001D26F5" w:rsidP="001D26F5">
      <w:pPr>
        <w:tabs>
          <w:tab w:val="left" w:pos="567"/>
        </w:tabs>
        <w:rPr>
          <w:rFonts w:cs="Arial"/>
        </w:rPr>
      </w:pPr>
    </w:p>
    <w:p w:rsidR="001D26F5" w:rsidRDefault="001D26F5" w:rsidP="001D26F5">
      <w:pPr>
        <w:tabs>
          <w:tab w:val="left" w:pos="567"/>
        </w:tabs>
        <w:rPr>
          <w:rFonts w:cs="Arial"/>
        </w:rPr>
      </w:pPr>
    </w:p>
    <w:p w:rsidR="001D26F5" w:rsidRDefault="001D26F5" w:rsidP="001D26F5">
      <w:pPr>
        <w:tabs>
          <w:tab w:val="left" w:pos="426"/>
        </w:tabs>
        <w:spacing w:after="160"/>
        <w:ind w:right="-1"/>
        <w:rPr>
          <w:rFonts w:ascii="Arial Grassetto" w:eastAsia="MS Mincho" w:hAnsi="Arial Grassetto" w:cs="Arial" w:hint="eastAsia"/>
          <w:b/>
          <w:caps/>
        </w:rPr>
      </w:pPr>
      <w:r>
        <w:rPr>
          <w:rFonts w:ascii="Arial Grassetto" w:eastAsia="MS Mincho" w:hAnsi="Arial Grassetto" w:cs="Arial"/>
          <w:b/>
          <w:caps/>
        </w:rPr>
        <w:t>2.</w:t>
      </w:r>
      <w:r>
        <w:rPr>
          <w:rFonts w:ascii="Arial Grassetto" w:eastAsia="MS Mincho" w:hAnsi="Arial Grassetto" w:cs="Arial"/>
          <w:b/>
          <w:caps/>
        </w:rPr>
        <w:tab/>
        <w:t>Strategia</w:t>
      </w:r>
    </w:p>
    <w:p w:rsidR="001D26F5" w:rsidRDefault="001D26F5" w:rsidP="001D26F5">
      <w:pPr>
        <w:rPr>
          <w:rFonts w:cs="Arial"/>
          <w:szCs w:val="24"/>
        </w:rPr>
      </w:pPr>
      <w:r>
        <w:rPr>
          <w:rFonts w:cs="Arial"/>
          <w:szCs w:val="24"/>
        </w:rPr>
        <w:t xml:space="preserve">Il Governo intende impegnarsi per promuovere ed estendere a medio termine un sistema di bike </w:t>
      </w:r>
      <w:proofErr w:type="spellStart"/>
      <w:r>
        <w:rPr>
          <w:rFonts w:cs="Arial"/>
          <w:szCs w:val="24"/>
        </w:rPr>
        <w:t>sharing</w:t>
      </w:r>
      <w:proofErr w:type="spellEnd"/>
      <w:r>
        <w:rPr>
          <w:rFonts w:cs="Arial"/>
          <w:szCs w:val="24"/>
        </w:rPr>
        <w:t xml:space="preserve"> in tutti gli agglomerati del Cantone.</w:t>
      </w:r>
    </w:p>
    <w:p w:rsidR="001D26F5" w:rsidRDefault="001D26F5" w:rsidP="001D26F5">
      <w:pPr>
        <w:rPr>
          <w:rFonts w:cs="Arial"/>
          <w:szCs w:val="24"/>
        </w:rPr>
      </w:pPr>
      <w:r>
        <w:rPr>
          <w:rFonts w:cs="Arial"/>
          <w:szCs w:val="24"/>
        </w:rPr>
        <w:t xml:space="preserve">Tramite la progressiva realizzazione dei percorsi ciclabili regionali, di posteggi </w:t>
      </w:r>
      <w:proofErr w:type="spellStart"/>
      <w:r>
        <w:rPr>
          <w:rFonts w:cs="Arial"/>
          <w:szCs w:val="24"/>
        </w:rPr>
        <w:t>Bike+Ride</w:t>
      </w:r>
      <w:proofErr w:type="spellEnd"/>
      <w:r>
        <w:rPr>
          <w:rFonts w:cs="Arial"/>
          <w:szCs w:val="24"/>
        </w:rPr>
        <w:t xml:space="preserve"> presso le stazioni TILO e con il sostegno ai sistemi di bike </w:t>
      </w:r>
      <w:proofErr w:type="spellStart"/>
      <w:r>
        <w:rPr>
          <w:rFonts w:cs="Arial"/>
          <w:szCs w:val="24"/>
        </w:rPr>
        <w:t>sharing</w:t>
      </w:r>
      <w:proofErr w:type="spellEnd"/>
      <w:r>
        <w:rPr>
          <w:rFonts w:cs="Arial"/>
          <w:szCs w:val="24"/>
        </w:rPr>
        <w:t>, si favorisce l’uso della bicicletta come mezzo per gli spostamenti quotidiani sulle brevi distanze, anche in combinazione con l’utilizzo del trasporto pubblico (</w:t>
      </w:r>
      <w:proofErr w:type="spellStart"/>
      <w:r>
        <w:rPr>
          <w:rFonts w:cs="Arial"/>
          <w:szCs w:val="24"/>
        </w:rPr>
        <w:t>intermodalità</w:t>
      </w:r>
      <w:proofErr w:type="spellEnd"/>
      <w:r>
        <w:rPr>
          <w:rFonts w:cs="Arial"/>
          <w:szCs w:val="24"/>
        </w:rPr>
        <w:t>).</w:t>
      </w:r>
    </w:p>
    <w:p w:rsidR="001D26F5" w:rsidRPr="00F044E5" w:rsidRDefault="001D26F5" w:rsidP="001D26F5">
      <w:pPr>
        <w:rPr>
          <w:rFonts w:cs="Arial"/>
          <w:szCs w:val="24"/>
        </w:rPr>
      </w:pPr>
    </w:p>
    <w:p w:rsidR="001D26F5" w:rsidRPr="00F044E5" w:rsidRDefault="001D26F5" w:rsidP="001D26F5">
      <w:pPr>
        <w:rPr>
          <w:rFonts w:eastAsia="MS Mincho" w:cs="Arial"/>
          <w:caps/>
        </w:rPr>
      </w:pPr>
      <w:r w:rsidRPr="00F044E5">
        <w:rPr>
          <w:rFonts w:cs="Arial"/>
          <w:szCs w:val="24"/>
        </w:rPr>
        <w:t xml:space="preserve">La realizzazione di sistemi di bike </w:t>
      </w:r>
      <w:proofErr w:type="spellStart"/>
      <w:r w:rsidRPr="00F044E5">
        <w:rPr>
          <w:rFonts w:cs="Arial"/>
          <w:szCs w:val="24"/>
        </w:rPr>
        <w:t>sharing</w:t>
      </w:r>
      <w:proofErr w:type="spellEnd"/>
      <w:r w:rsidRPr="00F044E5">
        <w:rPr>
          <w:rFonts w:cs="Arial"/>
          <w:szCs w:val="24"/>
        </w:rPr>
        <w:t xml:space="preserve"> ha sensibilizzato i Comuni sull’opportunità di sviluppare maggiormente la mobilità lenta e in particolare di attuare percorsi ciclabili locali. Locarnese, Luganese e ora anche Bellinzona possono contare già su un collaudato servizio di bike </w:t>
      </w:r>
      <w:proofErr w:type="spellStart"/>
      <w:r w:rsidRPr="00F044E5">
        <w:rPr>
          <w:rFonts w:cs="Arial"/>
          <w:szCs w:val="24"/>
        </w:rPr>
        <w:t>sharing</w:t>
      </w:r>
      <w:proofErr w:type="spellEnd"/>
      <w:r w:rsidRPr="00F044E5">
        <w:rPr>
          <w:rFonts w:cs="Arial"/>
          <w:szCs w:val="24"/>
        </w:rPr>
        <w:t>, ma stanno comunque svolgendo, in collaborazione con i Comuni limitrofi, degli approfondimenti per valutare eventuali estensioni o potenziamenti.</w:t>
      </w:r>
    </w:p>
    <w:p w:rsidR="001D26F5" w:rsidRPr="00F044E5" w:rsidRDefault="001D26F5" w:rsidP="001D26F5">
      <w:pPr>
        <w:rPr>
          <w:rFonts w:cs="Arial"/>
        </w:rPr>
      </w:pPr>
      <w:r w:rsidRPr="00F044E5">
        <w:rPr>
          <w:rFonts w:cs="Arial"/>
        </w:rPr>
        <w:t xml:space="preserve">Il Cantone stanzia contributi a favore dell’infrastruttura. Il finanziamento della gestione corrente dei sistemi è interamente a carico dei Comuni. </w:t>
      </w:r>
    </w:p>
    <w:p w:rsidR="001D26F5" w:rsidRPr="00F044E5" w:rsidRDefault="001D26F5" w:rsidP="001D26F5">
      <w:pPr>
        <w:rPr>
          <w:rFonts w:cs="Arial"/>
        </w:rPr>
      </w:pPr>
    </w:p>
    <w:p w:rsidR="001D26F5" w:rsidRPr="00F044E5" w:rsidRDefault="001D26F5" w:rsidP="001D26F5">
      <w:pPr>
        <w:rPr>
          <w:rFonts w:cs="Arial"/>
        </w:rPr>
      </w:pPr>
    </w:p>
    <w:p w:rsidR="001D26F5" w:rsidRDefault="001D26F5" w:rsidP="001D26F5">
      <w:pPr>
        <w:tabs>
          <w:tab w:val="left" w:pos="426"/>
        </w:tabs>
        <w:spacing w:after="160"/>
        <w:ind w:right="-1"/>
        <w:rPr>
          <w:rFonts w:ascii="Arial Grassetto" w:eastAsia="MS Mincho" w:hAnsi="Arial Grassetto" w:cs="Arial" w:hint="eastAsia"/>
          <w:b/>
          <w:caps/>
        </w:rPr>
      </w:pPr>
      <w:r>
        <w:rPr>
          <w:rFonts w:ascii="Arial Grassetto" w:eastAsia="MS Mincho" w:hAnsi="Arial Grassetto" w:cs="Arial"/>
          <w:b/>
          <w:caps/>
        </w:rPr>
        <w:t>3.</w:t>
      </w:r>
      <w:r>
        <w:rPr>
          <w:rFonts w:ascii="Arial Grassetto" w:eastAsia="MS Mincho" w:hAnsi="Arial Grassetto" w:cs="Arial"/>
          <w:b/>
          <w:caps/>
        </w:rPr>
        <w:tab/>
        <w:t>CREDITO RICHIESTO</w:t>
      </w:r>
    </w:p>
    <w:p w:rsidR="001D26F5" w:rsidRDefault="001D26F5" w:rsidP="001D26F5">
      <w:r>
        <w:t xml:space="preserve">Nel 2012 fu già stanziato un credito di </w:t>
      </w:r>
      <w:proofErr w:type="spellStart"/>
      <w:r>
        <w:t>Fr</w:t>
      </w:r>
      <w:proofErr w:type="spellEnd"/>
      <w:r>
        <w:t xml:space="preserve">. 500'000.--, integralmente utilizzato, per i sistemi bike </w:t>
      </w:r>
      <w:proofErr w:type="spellStart"/>
      <w:r>
        <w:t>sharing</w:t>
      </w:r>
      <w:proofErr w:type="spellEnd"/>
      <w:r>
        <w:t xml:space="preserve"> di Lugano e Locarno.</w:t>
      </w:r>
    </w:p>
    <w:p w:rsidR="001D26F5" w:rsidRDefault="001D26F5" w:rsidP="001D26F5"/>
    <w:p w:rsidR="001D26F5" w:rsidRDefault="001D26F5" w:rsidP="001D26F5">
      <w:r>
        <w:t>Con questo nuovo Decreto legislativo s’intendono quindi confermare i criteri d’erogazione stabiliti nel Decreto precedente. In particolare il contributo potrà essere accordato ai progetti che:</w:t>
      </w:r>
    </w:p>
    <w:p w:rsidR="001D26F5" w:rsidRDefault="001D26F5" w:rsidP="002760A8">
      <w:pPr>
        <w:numPr>
          <w:ilvl w:val="0"/>
          <w:numId w:val="13"/>
        </w:numPr>
        <w:tabs>
          <w:tab w:val="left" w:pos="284"/>
        </w:tabs>
        <w:spacing w:before="8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sono coerenti con la politica dei trasporti negli agglomerati;</w:t>
      </w:r>
    </w:p>
    <w:p w:rsidR="001D26F5" w:rsidRDefault="001D26F5" w:rsidP="002760A8">
      <w:pPr>
        <w:numPr>
          <w:ilvl w:val="0"/>
          <w:numId w:val="13"/>
        </w:numPr>
        <w:tabs>
          <w:tab w:val="left" w:pos="284"/>
        </w:tabs>
        <w:spacing w:before="8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presentano un piano di finanziamento concordato con il Dipartimento del territorio;</w:t>
      </w:r>
    </w:p>
    <w:p w:rsidR="001D26F5" w:rsidRDefault="001D26F5" w:rsidP="002760A8">
      <w:pPr>
        <w:numPr>
          <w:ilvl w:val="0"/>
          <w:numId w:val="13"/>
        </w:numPr>
        <w:tabs>
          <w:tab w:val="left" w:pos="284"/>
        </w:tabs>
        <w:spacing w:before="8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si sviluppano all’interno di un agglomerato;</w:t>
      </w:r>
    </w:p>
    <w:p w:rsidR="001D26F5" w:rsidRDefault="001D26F5" w:rsidP="002760A8">
      <w:pPr>
        <w:numPr>
          <w:ilvl w:val="0"/>
          <w:numId w:val="13"/>
        </w:numPr>
        <w:tabs>
          <w:tab w:val="left" w:pos="284"/>
        </w:tabs>
        <w:spacing w:before="8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godono del sostegno dei Comuni interessati e della Commissione regionale dei trasporti;</w:t>
      </w:r>
    </w:p>
    <w:p w:rsidR="001D26F5" w:rsidRPr="00C202AC" w:rsidRDefault="001D26F5" w:rsidP="002760A8">
      <w:pPr>
        <w:numPr>
          <w:ilvl w:val="0"/>
          <w:numId w:val="13"/>
        </w:numPr>
        <w:tabs>
          <w:tab w:val="left" w:pos="284"/>
        </w:tabs>
        <w:spacing w:before="80"/>
        <w:ind w:left="284" w:hanging="284"/>
        <w:rPr>
          <w:rFonts w:cs="Arial"/>
          <w:szCs w:val="24"/>
        </w:rPr>
      </w:pPr>
      <w:r w:rsidRPr="00C202AC">
        <w:rPr>
          <w:rFonts w:cs="Arial"/>
          <w:szCs w:val="24"/>
        </w:rPr>
        <w:t>dispongono di un’utenza potenziale adeguata;</w:t>
      </w:r>
    </w:p>
    <w:p w:rsidR="001D26F5" w:rsidRPr="00C202AC" w:rsidRDefault="001D26F5" w:rsidP="002760A8">
      <w:pPr>
        <w:numPr>
          <w:ilvl w:val="0"/>
          <w:numId w:val="13"/>
        </w:numPr>
        <w:tabs>
          <w:tab w:val="left" w:pos="284"/>
        </w:tabs>
        <w:spacing w:before="80"/>
        <w:ind w:left="284" w:hanging="284"/>
        <w:rPr>
          <w:rFonts w:cs="Arial"/>
          <w:szCs w:val="24"/>
        </w:rPr>
      </w:pPr>
      <w:r w:rsidRPr="00C202AC">
        <w:rPr>
          <w:rFonts w:cs="Arial"/>
          <w:szCs w:val="24"/>
        </w:rPr>
        <w:t xml:space="preserve">garantiscono la possibilità d’uso reciproco con i </w:t>
      </w:r>
      <w:r>
        <w:rPr>
          <w:rFonts w:cs="Arial"/>
          <w:szCs w:val="24"/>
        </w:rPr>
        <w:t>sistemi degli altri agglomerati.</w:t>
      </w:r>
    </w:p>
    <w:p w:rsidR="001D26F5" w:rsidRPr="00C202AC" w:rsidRDefault="001D26F5" w:rsidP="001D26F5">
      <w:pPr>
        <w:autoSpaceDE w:val="0"/>
        <w:autoSpaceDN w:val="0"/>
        <w:adjustRightInd w:val="0"/>
        <w:rPr>
          <w:rFonts w:cs="Arial"/>
          <w:szCs w:val="24"/>
        </w:rPr>
      </w:pPr>
    </w:p>
    <w:p w:rsidR="001D26F5" w:rsidRPr="00C202AC" w:rsidRDefault="001D26F5" w:rsidP="001D26F5">
      <w:pPr>
        <w:rPr>
          <w:szCs w:val="24"/>
        </w:rPr>
      </w:pPr>
      <w:r w:rsidRPr="00C202AC">
        <w:rPr>
          <w:szCs w:val="24"/>
        </w:rPr>
        <w:t xml:space="preserve">I progetti di creazione o di ampliamento di una rete di bike </w:t>
      </w:r>
      <w:proofErr w:type="spellStart"/>
      <w:r w:rsidRPr="00C202AC">
        <w:rPr>
          <w:szCs w:val="24"/>
        </w:rPr>
        <w:t>sharing</w:t>
      </w:r>
      <w:proofErr w:type="spellEnd"/>
      <w:r w:rsidRPr="00C202AC">
        <w:rPr>
          <w:szCs w:val="24"/>
        </w:rPr>
        <w:t xml:space="preserve"> potranno beneficiare di contributi del 50% del costo d’investimento ma fino a un massimo di:</w:t>
      </w:r>
    </w:p>
    <w:p w:rsidR="001D26F5" w:rsidRPr="00C202AC" w:rsidRDefault="001D26F5" w:rsidP="002760A8">
      <w:pPr>
        <w:numPr>
          <w:ilvl w:val="0"/>
          <w:numId w:val="13"/>
        </w:numPr>
        <w:tabs>
          <w:tab w:val="left" w:pos="284"/>
        </w:tabs>
        <w:spacing w:before="80"/>
        <w:ind w:left="284" w:hanging="284"/>
        <w:rPr>
          <w:rFonts w:cs="Arial"/>
          <w:szCs w:val="24"/>
        </w:rPr>
      </w:pPr>
      <w:r w:rsidRPr="00C202AC">
        <w:rPr>
          <w:rFonts w:cs="Arial"/>
          <w:szCs w:val="24"/>
        </w:rPr>
        <w:t>franchi 30'000.- per la creazione del servizio (officina, veicoli di servizio, programma di gestione del servizio, formazione del personale) negli agglomerati che ne sono sprovvisti;</w:t>
      </w:r>
    </w:p>
    <w:p w:rsidR="001D26F5" w:rsidRDefault="001D26F5" w:rsidP="002760A8">
      <w:pPr>
        <w:numPr>
          <w:ilvl w:val="0"/>
          <w:numId w:val="13"/>
        </w:numPr>
        <w:tabs>
          <w:tab w:val="left" w:pos="284"/>
        </w:tabs>
        <w:spacing w:before="80"/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franchi 15'000.- per ogni nuova postazione e per le relative biciclette.</w:t>
      </w:r>
    </w:p>
    <w:p w:rsidR="001D26F5" w:rsidRDefault="001D26F5" w:rsidP="001D26F5">
      <w:pPr>
        <w:autoSpaceDE w:val="0"/>
        <w:autoSpaceDN w:val="0"/>
        <w:adjustRightInd w:val="0"/>
        <w:rPr>
          <w:rFonts w:cs="Arial"/>
          <w:szCs w:val="24"/>
        </w:rPr>
      </w:pPr>
    </w:p>
    <w:p w:rsidR="001D26F5" w:rsidRDefault="001D26F5" w:rsidP="001D26F5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Come detto, le cifre relative al numero di utilizzi giornalieri sono un chiaro indicatore dell’attrattiva dei sistemi di bike </w:t>
      </w:r>
      <w:proofErr w:type="spellStart"/>
      <w:r>
        <w:rPr>
          <w:rFonts w:cs="Arial"/>
          <w:szCs w:val="24"/>
        </w:rPr>
        <w:t>sharing</w:t>
      </w:r>
      <w:proofErr w:type="spellEnd"/>
      <w:r>
        <w:rPr>
          <w:rFonts w:cs="Arial"/>
          <w:szCs w:val="24"/>
        </w:rPr>
        <w:t>. Sulla base dei progetti in corso è quindi opportuna un’approfondita valutazione in merito al rapporto costi/benefici dei diversi sistemi.</w:t>
      </w:r>
    </w:p>
    <w:p w:rsidR="001D26F5" w:rsidRDefault="001D26F5" w:rsidP="001D26F5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Per questo motivo il Consiglio di Stato intende promuovere uno studio sui sistemi di bike </w:t>
      </w:r>
      <w:proofErr w:type="spellStart"/>
      <w:r>
        <w:rPr>
          <w:rFonts w:cs="Arial"/>
          <w:szCs w:val="24"/>
        </w:rPr>
        <w:t>sharing</w:t>
      </w:r>
      <w:proofErr w:type="spellEnd"/>
      <w:r>
        <w:rPr>
          <w:rFonts w:cs="Arial"/>
          <w:szCs w:val="24"/>
        </w:rPr>
        <w:t xml:space="preserve"> presenti in Ticino, da affidare a esperti in materia, che ne valuti efficacia ed effetti. Tale studio, oltre che servire per precisare l’impostazione cantonale in materia, potrà essere utile ai promotori per ottimizzare le reti.</w:t>
      </w:r>
    </w:p>
    <w:p w:rsidR="001D26F5" w:rsidRDefault="001D26F5" w:rsidP="001D26F5">
      <w:pPr>
        <w:autoSpaceDE w:val="0"/>
        <w:autoSpaceDN w:val="0"/>
        <w:adjustRightInd w:val="0"/>
        <w:rPr>
          <w:rFonts w:cs="Arial"/>
          <w:szCs w:val="24"/>
        </w:rPr>
      </w:pPr>
    </w:p>
    <w:p w:rsidR="001D26F5" w:rsidRPr="009961D9" w:rsidRDefault="001D26F5" w:rsidP="001D26F5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In conclusione viene dunque chiesto un credito complessivo di franchi 550'000.-, di cui un importo di franchi 500'000.-, analogo a quello precedente, per sussidiare investimenti che riguardano infrastrutture di bike </w:t>
      </w:r>
      <w:proofErr w:type="spellStart"/>
      <w:r>
        <w:rPr>
          <w:rFonts w:cs="Arial"/>
          <w:szCs w:val="24"/>
        </w:rPr>
        <w:t>sharing</w:t>
      </w:r>
      <w:proofErr w:type="spellEnd"/>
      <w:r>
        <w:rPr>
          <w:rFonts w:cs="Arial"/>
          <w:szCs w:val="24"/>
        </w:rPr>
        <w:t xml:space="preserve"> negli agglomerati e uno di franchi 50'000.- per </w:t>
      </w:r>
      <w:r w:rsidRPr="009961D9">
        <w:rPr>
          <w:rFonts w:cs="Arial"/>
          <w:szCs w:val="24"/>
        </w:rPr>
        <w:t xml:space="preserve">finanziare gli approfondimenti sull’impatto del bike </w:t>
      </w:r>
      <w:proofErr w:type="spellStart"/>
      <w:r w:rsidRPr="009961D9">
        <w:rPr>
          <w:rFonts w:cs="Arial"/>
          <w:szCs w:val="24"/>
        </w:rPr>
        <w:t>sharing</w:t>
      </w:r>
      <w:proofErr w:type="spellEnd"/>
      <w:r w:rsidRPr="009961D9">
        <w:rPr>
          <w:rFonts w:cs="Arial"/>
          <w:szCs w:val="24"/>
        </w:rPr>
        <w:t xml:space="preserve"> sulla mobilità.</w:t>
      </w:r>
    </w:p>
    <w:p w:rsidR="001D26F5" w:rsidRDefault="001D26F5" w:rsidP="001D26F5">
      <w:pPr>
        <w:autoSpaceDE w:val="0"/>
        <w:autoSpaceDN w:val="0"/>
        <w:adjustRightInd w:val="0"/>
        <w:rPr>
          <w:rFonts w:cs="Arial"/>
          <w:szCs w:val="24"/>
        </w:rPr>
      </w:pPr>
      <w:r w:rsidRPr="009961D9">
        <w:rPr>
          <w:rFonts w:cs="Arial"/>
          <w:szCs w:val="24"/>
        </w:rPr>
        <w:t xml:space="preserve">La Commissione domanda che l'utilizzo dell'importo di </w:t>
      </w:r>
      <w:proofErr w:type="spellStart"/>
      <w:r w:rsidRPr="009961D9">
        <w:rPr>
          <w:rFonts w:cs="Arial"/>
          <w:szCs w:val="24"/>
        </w:rPr>
        <w:t>fr</w:t>
      </w:r>
      <w:proofErr w:type="spellEnd"/>
      <w:r w:rsidRPr="009961D9">
        <w:rPr>
          <w:rFonts w:cs="Arial"/>
          <w:szCs w:val="24"/>
        </w:rPr>
        <w:t xml:space="preserve">. 500'000.- destinati al sussidio degli investimenti inizi unicamente una volta concluso lo studio concernente l'impatto del bike </w:t>
      </w:r>
      <w:proofErr w:type="spellStart"/>
      <w:r w:rsidRPr="009961D9">
        <w:rPr>
          <w:rFonts w:cs="Arial"/>
          <w:szCs w:val="24"/>
        </w:rPr>
        <w:t>sharing</w:t>
      </w:r>
      <w:proofErr w:type="spellEnd"/>
      <w:r w:rsidRPr="009961D9">
        <w:rPr>
          <w:rFonts w:cs="Arial"/>
          <w:szCs w:val="24"/>
        </w:rPr>
        <w:t>. Questo studio sarà utile per stabilire un ordine di priorità degli interventi.</w:t>
      </w:r>
    </w:p>
    <w:p w:rsidR="001D26F5" w:rsidRDefault="001D26F5" w:rsidP="001D26F5">
      <w:pPr>
        <w:tabs>
          <w:tab w:val="left" w:pos="240"/>
        </w:tabs>
        <w:rPr>
          <w:rFonts w:cs="Times New Roman"/>
          <w:szCs w:val="20"/>
        </w:rPr>
      </w:pPr>
    </w:p>
    <w:p w:rsidR="001D26F5" w:rsidRDefault="001D26F5" w:rsidP="001D26F5">
      <w:pPr>
        <w:pStyle w:val="Corpotesto"/>
        <w:tabs>
          <w:tab w:val="clear" w:pos="284"/>
          <w:tab w:val="clear" w:pos="426"/>
          <w:tab w:val="left" w:pos="708"/>
        </w:tabs>
        <w:rPr>
          <w:rFonts w:cs="Arial"/>
          <w:lang w:val="it-CH"/>
        </w:rPr>
      </w:pPr>
      <w:r>
        <w:rPr>
          <w:rFonts w:cs="Arial"/>
          <w:lang w:val="it-CH"/>
        </w:rPr>
        <w:lastRenderedPageBreak/>
        <w:t>Bisogna inoltre dire che i Comuni, oltre all’investimento iniziale, supportano importanti costi di gestione: costo personale, logistica, servizio clienti, informatica, manutenzione biciclette, ecc. e sarebbe quindi importante in futuro individuare una sorta di contributo a sostegno dei citati costi.</w:t>
      </w:r>
    </w:p>
    <w:p w:rsidR="001D26F5" w:rsidRDefault="001D26F5" w:rsidP="001D26F5">
      <w:pPr>
        <w:pStyle w:val="Corpotesto"/>
        <w:tabs>
          <w:tab w:val="clear" w:pos="284"/>
          <w:tab w:val="clear" w:pos="426"/>
          <w:tab w:val="left" w:pos="708"/>
        </w:tabs>
        <w:rPr>
          <w:rFonts w:cs="Arial"/>
          <w:lang w:val="it-CH"/>
        </w:rPr>
      </w:pPr>
    </w:p>
    <w:p w:rsidR="001D26F5" w:rsidRDefault="001D26F5" w:rsidP="001D26F5">
      <w:pPr>
        <w:pStyle w:val="Corpotesto"/>
        <w:tabs>
          <w:tab w:val="clear" w:pos="284"/>
          <w:tab w:val="clear" w:pos="426"/>
          <w:tab w:val="left" w:pos="708"/>
        </w:tabs>
        <w:rPr>
          <w:rFonts w:cs="Arial"/>
          <w:lang w:val="it-CH"/>
        </w:rPr>
      </w:pPr>
    </w:p>
    <w:p w:rsidR="001D26F5" w:rsidRDefault="001D26F5" w:rsidP="001D26F5">
      <w:pPr>
        <w:tabs>
          <w:tab w:val="left" w:pos="426"/>
        </w:tabs>
        <w:spacing w:after="160"/>
        <w:ind w:right="-1"/>
        <w:rPr>
          <w:rFonts w:ascii="Arial Grassetto" w:eastAsia="MS Mincho" w:hAnsi="Arial Grassetto" w:cs="Arial" w:hint="eastAsia"/>
          <w:b/>
          <w:caps/>
        </w:rPr>
      </w:pPr>
      <w:r>
        <w:rPr>
          <w:rFonts w:ascii="Arial Grassetto" w:eastAsia="MS Mincho" w:hAnsi="Arial Grassetto" w:cs="Arial"/>
          <w:b/>
          <w:caps/>
        </w:rPr>
        <w:t>4.</w:t>
      </w:r>
      <w:r>
        <w:rPr>
          <w:rFonts w:ascii="Arial Grassetto" w:eastAsia="MS Mincho" w:hAnsi="Arial Grassetto" w:cs="Arial"/>
          <w:b/>
          <w:caps/>
        </w:rPr>
        <w:tab/>
        <w:t>CONCLUSIONI</w:t>
      </w:r>
    </w:p>
    <w:p w:rsidR="001D26F5" w:rsidRDefault="001D26F5" w:rsidP="001D26F5">
      <w:pPr>
        <w:pStyle w:val="Corpotesto"/>
        <w:tabs>
          <w:tab w:val="clear" w:pos="284"/>
          <w:tab w:val="clear" w:pos="426"/>
          <w:tab w:val="left" w:pos="708"/>
        </w:tabs>
        <w:spacing w:after="120"/>
        <w:ind w:right="-1"/>
        <w:rPr>
          <w:rFonts w:cs="Arial"/>
          <w:lang w:val="it-CH"/>
        </w:rPr>
      </w:pPr>
      <w:r>
        <w:rPr>
          <w:rFonts w:cs="Arial"/>
          <w:lang w:val="it-CH"/>
        </w:rPr>
        <w:t xml:space="preserve">Il concetto di sussidiare strutture di bike </w:t>
      </w:r>
      <w:proofErr w:type="spellStart"/>
      <w:r>
        <w:rPr>
          <w:rFonts w:cs="Arial"/>
          <w:lang w:val="it-CH"/>
        </w:rPr>
        <w:t>sharing</w:t>
      </w:r>
      <w:proofErr w:type="spellEnd"/>
      <w:r>
        <w:rPr>
          <w:rFonts w:cs="Arial"/>
          <w:lang w:val="it-CH"/>
        </w:rPr>
        <w:t xml:space="preserve"> è senza dubbio lodevole.</w:t>
      </w:r>
    </w:p>
    <w:p w:rsidR="001D26F5" w:rsidRPr="009961D9" w:rsidRDefault="001D26F5" w:rsidP="001D26F5">
      <w:pPr>
        <w:rPr>
          <w:rFonts w:cs="Arial"/>
        </w:rPr>
      </w:pPr>
      <w:r>
        <w:t xml:space="preserve">La Commissione </w:t>
      </w:r>
      <w:bookmarkStart w:id="4" w:name="OLE_LINK1"/>
      <w:r w:rsidR="00BA0CC1">
        <w:t>ambiente, territorio ed e</w:t>
      </w:r>
      <w:r>
        <w:t xml:space="preserve">nergia </w:t>
      </w:r>
      <w:r>
        <w:rPr>
          <w:rFonts w:cs="Arial"/>
        </w:rPr>
        <w:t xml:space="preserve">sostiene pertanto la richiesta di credito </w:t>
      </w:r>
      <w:bookmarkEnd w:id="4"/>
      <w:r>
        <w:rPr>
          <w:rFonts w:cs="Arial"/>
        </w:rPr>
        <w:t xml:space="preserve">a </w:t>
      </w:r>
      <w:r w:rsidRPr="009961D9">
        <w:rPr>
          <w:rFonts w:cs="Arial"/>
        </w:rPr>
        <w:t xml:space="preserve">favore dei sistemi di bikes </w:t>
      </w:r>
      <w:proofErr w:type="spellStart"/>
      <w:r w:rsidRPr="009961D9">
        <w:rPr>
          <w:rFonts w:cs="Arial"/>
        </w:rPr>
        <w:t>sharing</w:t>
      </w:r>
      <w:proofErr w:type="spellEnd"/>
      <w:r w:rsidRPr="009961D9">
        <w:rPr>
          <w:rFonts w:cs="Arial"/>
        </w:rPr>
        <w:t xml:space="preserve"> (</w:t>
      </w:r>
      <w:proofErr w:type="spellStart"/>
      <w:r w:rsidRPr="009961D9">
        <w:rPr>
          <w:rFonts w:cs="Arial"/>
        </w:rPr>
        <w:t>fr</w:t>
      </w:r>
      <w:proofErr w:type="spellEnd"/>
      <w:r w:rsidRPr="009961D9">
        <w:rPr>
          <w:rFonts w:cs="Arial"/>
        </w:rPr>
        <w:t xml:space="preserve">. 500'000.--) a cui vanno aggiunti </w:t>
      </w:r>
      <w:proofErr w:type="spellStart"/>
      <w:r w:rsidRPr="009961D9">
        <w:rPr>
          <w:rFonts w:cs="Arial"/>
        </w:rPr>
        <w:t>fr</w:t>
      </w:r>
      <w:proofErr w:type="spellEnd"/>
      <w:r w:rsidRPr="009961D9">
        <w:rPr>
          <w:rFonts w:cs="Arial"/>
        </w:rPr>
        <w:t xml:space="preserve">. 50'000.-- per approfondimenti e analisi sull’imbatto del bike </w:t>
      </w:r>
      <w:proofErr w:type="spellStart"/>
      <w:r w:rsidRPr="009961D9">
        <w:rPr>
          <w:rFonts w:cs="Arial"/>
        </w:rPr>
        <w:t>sharig</w:t>
      </w:r>
      <w:proofErr w:type="spellEnd"/>
      <w:r w:rsidRPr="009961D9">
        <w:rPr>
          <w:rFonts w:cs="Arial"/>
        </w:rPr>
        <w:t xml:space="preserve"> in Ticino e sulla mobilità in generale. </w:t>
      </w:r>
    </w:p>
    <w:p w:rsidR="001D26F5" w:rsidRDefault="001D26F5" w:rsidP="001D26F5">
      <w:pPr>
        <w:autoSpaceDE w:val="0"/>
        <w:autoSpaceDN w:val="0"/>
        <w:adjustRightInd w:val="0"/>
        <w:rPr>
          <w:rFonts w:cs="Arial"/>
          <w:szCs w:val="24"/>
        </w:rPr>
      </w:pPr>
      <w:r w:rsidRPr="009961D9">
        <w:rPr>
          <w:rFonts w:cs="Arial"/>
          <w:szCs w:val="24"/>
        </w:rPr>
        <w:t xml:space="preserve">La Commissione domanda che lo studio sull'impatto del bike </w:t>
      </w:r>
      <w:proofErr w:type="spellStart"/>
      <w:r w:rsidRPr="009961D9">
        <w:rPr>
          <w:rFonts w:cs="Arial"/>
          <w:szCs w:val="24"/>
        </w:rPr>
        <w:t>sharing</w:t>
      </w:r>
      <w:proofErr w:type="spellEnd"/>
      <w:r w:rsidRPr="009961D9">
        <w:rPr>
          <w:rFonts w:cs="Arial"/>
          <w:szCs w:val="24"/>
        </w:rPr>
        <w:t xml:space="preserve"> sia concluso prima di procedere alla concessione di sussidi utilizzando il credito di </w:t>
      </w:r>
      <w:proofErr w:type="spellStart"/>
      <w:r w:rsidRPr="009961D9">
        <w:rPr>
          <w:rFonts w:cs="Arial"/>
          <w:szCs w:val="24"/>
        </w:rPr>
        <w:t>fr</w:t>
      </w:r>
      <w:proofErr w:type="spellEnd"/>
      <w:r w:rsidRPr="009961D9">
        <w:rPr>
          <w:rFonts w:cs="Arial"/>
          <w:szCs w:val="24"/>
        </w:rPr>
        <w:t>. 500'000.</w:t>
      </w:r>
    </w:p>
    <w:p w:rsidR="001D26F5" w:rsidRDefault="001D26F5" w:rsidP="001D26F5">
      <w:pPr>
        <w:rPr>
          <w:rFonts w:cs="Arial"/>
        </w:rPr>
      </w:pPr>
    </w:p>
    <w:p w:rsidR="001D26F5" w:rsidRDefault="001D26F5" w:rsidP="001D26F5">
      <w:pPr>
        <w:rPr>
          <w:rFonts w:cs="Arial"/>
        </w:rPr>
      </w:pPr>
    </w:p>
    <w:p w:rsidR="001D26F5" w:rsidRDefault="001D26F5" w:rsidP="001D26F5">
      <w:pPr>
        <w:rPr>
          <w:rFonts w:cs="Arial"/>
        </w:rPr>
      </w:pPr>
      <w:r>
        <w:rPr>
          <w:rFonts w:cs="Arial"/>
        </w:rPr>
        <w:t xml:space="preserve">Si invita quindi il Gran Consiglio ad accordare il credito quadro per complessivi </w:t>
      </w:r>
      <w:r w:rsidR="00BA0CC1">
        <w:rPr>
          <w:rFonts w:cs="Arial"/>
        </w:rPr>
        <w:br/>
      </w:r>
      <w:proofErr w:type="spellStart"/>
      <w:r w:rsidR="00BA0CC1">
        <w:rPr>
          <w:rFonts w:cs="Arial"/>
        </w:rPr>
        <w:t>f</w:t>
      </w:r>
      <w:r>
        <w:rPr>
          <w:rFonts w:cs="Arial"/>
        </w:rPr>
        <w:t>r</w:t>
      </w:r>
      <w:proofErr w:type="spellEnd"/>
      <w:r>
        <w:rPr>
          <w:rFonts w:cs="Arial"/>
        </w:rPr>
        <w:t xml:space="preserve">. 550'000.-- approvando il presente rapporto unitamente al messaggio n. 7633 del </w:t>
      </w:r>
      <w:r w:rsidR="00BA0CC1">
        <w:rPr>
          <w:rFonts w:cs="Arial"/>
        </w:rPr>
        <w:br/>
      </w:r>
      <w:r>
        <w:rPr>
          <w:rFonts w:cs="Arial"/>
        </w:rPr>
        <w:t>27 febbraio 2019 e il relativo decreto legislativo.</w:t>
      </w:r>
    </w:p>
    <w:p w:rsidR="001D26F5" w:rsidRDefault="001D26F5" w:rsidP="001D26F5">
      <w:pPr>
        <w:autoSpaceDE w:val="0"/>
        <w:autoSpaceDN w:val="0"/>
        <w:adjustRightInd w:val="0"/>
        <w:jc w:val="left"/>
        <w:rPr>
          <w:rFonts w:cs="Arial"/>
        </w:rPr>
      </w:pPr>
    </w:p>
    <w:p w:rsidR="001D26F5" w:rsidRDefault="001D26F5" w:rsidP="001D26F5">
      <w:pPr>
        <w:autoSpaceDE w:val="0"/>
        <w:autoSpaceDN w:val="0"/>
        <w:adjustRightInd w:val="0"/>
        <w:jc w:val="left"/>
        <w:rPr>
          <w:rFonts w:cs="Arial"/>
        </w:rPr>
      </w:pPr>
    </w:p>
    <w:p w:rsidR="001D26F5" w:rsidRDefault="001D26F5" w:rsidP="001D26F5">
      <w:pPr>
        <w:autoSpaceDE w:val="0"/>
        <w:autoSpaceDN w:val="0"/>
        <w:adjustRightInd w:val="0"/>
        <w:jc w:val="left"/>
        <w:rPr>
          <w:rFonts w:cs="Arial"/>
        </w:rPr>
      </w:pPr>
    </w:p>
    <w:p w:rsidR="001D26F5" w:rsidRDefault="001D26F5" w:rsidP="001D26F5">
      <w:pPr>
        <w:pStyle w:val="Corpotesto"/>
        <w:tabs>
          <w:tab w:val="clear" w:pos="284"/>
          <w:tab w:val="clear" w:pos="426"/>
          <w:tab w:val="left" w:pos="708"/>
        </w:tabs>
        <w:spacing w:after="120"/>
        <w:ind w:right="-1"/>
        <w:rPr>
          <w:rFonts w:cs="Arial"/>
          <w:lang w:val="it-CH"/>
        </w:rPr>
      </w:pPr>
      <w:r>
        <w:rPr>
          <w:rFonts w:cs="Arial"/>
          <w:lang w:val="it-CH"/>
        </w:rPr>
        <w:t>Per la Commissione ambiente, territorio ed energia</w:t>
      </w:r>
    </w:p>
    <w:p w:rsidR="001D26F5" w:rsidRDefault="001D26F5" w:rsidP="002760A8">
      <w:r>
        <w:t>Fabio Schnellmann, relatore</w:t>
      </w:r>
    </w:p>
    <w:p w:rsidR="002760A8" w:rsidRDefault="002760A8" w:rsidP="002760A8">
      <w:r>
        <w:t xml:space="preserve">Alberti - Badasci - </w:t>
      </w:r>
      <w:r w:rsidR="008566BD">
        <w:t xml:space="preserve">Bang - </w:t>
      </w:r>
      <w:r>
        <w:t xml:space="preserve">Battaglioni - Berardi - </w:t>
      </w:r>
    </w:p>
    <w:p w:rsidR="002760A8" w:rsidRDefault="002760A8" w:rsidP="002760A8">
      <w:r>
        <w:t xml:space="preserve">Buri - Caroni - Cedraschi - Gaffuri - Garzoli - </w:t>
      </w:r>
    </w:p>
    <w:p w:rsidR="002760A8" w:rsidRDefault="002760A8" w:rsidP="002760A8">
      <w:r>
        <w:t xml:space="preserve">Genini - Pinoja - Schoenenberger - </w:t>
      </w:r>
    </w:p>
    <w:p w:rsidR="002760A8" w:rsidRDefault="002760A8" w:rsidP="002760A8">
      <w:r>
        <w:t>Storni - Terraneo - Tonini</w:t>
      </w:r>
    </w:p>
    <w:p w:rsidR="00B860C2" w:rsidRDefault="00B860C2" w:rsidP="00B860C2"/>
    <w:p w:rsidR="00B860C2" w:rsidRDefault="00B860C2" w:rsidP="00B860C2"/>
    <w:bookmarkEnd w:id="1"/>
    <w:sectPr w:rsidR="00B860C2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Grassetto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4B7051" w:rsidRPr="004B7051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E02B1"/>
    <w:multiLevelType w:val="hybridMultilevel"/>
    <w:tmpl w:val="E17AA9D4"/>
    <w:lvl w:ilvl="0" w:tplc="2ADA3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65B79"/>
    <w:multiLevelType w:val="hybridMultilevel"/>
    <w:tmpl w:val="00B0B61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574D7"/>
    <w:rsid w:val="001D26F5"/>
    <w:rsid w:val="00260C8C"/>
    <w:rsid w:val="002760A8"/>
    <w:rsid w:val="002E5E40"/>
    <w:rsid w:val="004B7051"/>
    <w:rsid w:val="0052425A"/>
    <w:rsid w:val="00586A8D"/>
    <w:rsid w:val="006C17AA"/>
    <w:rsid w:val="006D7A3B"/>
    <w:rsid w:val="006E4AE2"/>
    <w:rsid w:val="007352D3"/>
    <w:rsid w:val="007B5462"/>
    <w:rsid w:val="008034BD"/>
    <w:rsid w:val="008566BD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B860C2"/>
    <w:rsid w:val="00BA0CC1"/>
    <w:rsid w:val="00BC4C95"/>
    <w:rsid w:val="00BD5944"/>
    <w:rsid w:val="00CF6858"/>
    <w:rsid w:val="00D377B5"/>
    <w:rsid w:val="00D93B31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FA69-4260-4525-AECB-BF8E7DE1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2</cp:revision>
  <cp:lastPrinted>2019-06-12T12:13:00Z</cp:lastPrinted>
  <dcterms:created xsi:type="dcterms:W3CDTF">2019-06-12T12:14:00Z</dcterms:created>
  <dcterms:modified xsi:type="dcterms:W3CDTF">2019-06-12T12:14:00Z</dcterms:modified>
</cp:coreProperties>
</file>