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A67CE9" w:rsidP="00B860C2">
      <w:r w:rsidRPr="00353A1D">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9E5A4B" w:rsidRPr="00F73032" w:rsidRDefault="009E5A4B" w:rsidP="009E5A4B">
      <w:pPr>
        <w:tabs>
          <w:tab w:val="left" w:pos="1985"/>
          <w:tab w:val="left" w:pos="4962"/>
        </w:tabs>
        <w:ind w:right="-1"/>
        <w:rPr>
          <w:sz w:val="28"/>
          <w:szCs w:val="28"/>
        </w:rPr>
      </w:pPr>
      <w:bookmarkStart w:id="1" w:name="_Toc532286235"/>
      <w:r>
        <w:rPr>
          <w:b/>
          <w:sz w:val="32"/>
          <w:szCs w:val="32"/>
        </w:rPr>
        <w:t>7624 R</w:t>
      </w:r>
      <w:r>
        <w:rPr>
          <w:sz w:val="32"/>
          <w:szCs w:val="32"/>
        </w:rPr>
        <w:tab/>
      </w:r>
      <w:r>
        <w:rPr>
          <w:sz w:val="28"/>
          <w:szCs w:val="28"/>
        </w:rPr>
        <w:t>3 settembre 2019</w:t>
      </w:r>
      <w:r>
        <w:rPr>
          <w:sz w:val="28"/>
          <w:szCs w:val="28"/>
        </w:rPr>
        <w:tab/>
        <w:t>ISTITUZIONI</w:t>
      </w:r>
    </w:p>
    <w:p w:rsidR="009E5A4B" w:rsidRPr="00F73032" w:rsidRDefault="009E5A4B" w:rsidP="009E5A4B">
      <w:pPr>
        <w:rPr>
          <w:rFonts w:cs="Arial"/>
        </w:rPr>
      </w:pPr>
    </w:p>
    <w:p w:rsidR="009E5A4B" w:rsidRPr="00F73032" w:rsidRDefault="009E5A4B" w:rsidP="009E5A4B">
      <w:pPr>
        <w:rPr>
          <w:rFonts w:cs="Arial"/>
        </w:rPr>
      </w:pPr>
    </w:p>
    <w:p w:rsidR="009E5A4B" w:rsidRPr="00F73032" w:rsidRDefault="009E5A4B" w:rsidP="009E5A4B">
      <w:pPr>
        <w:rPr>
          <w:rFonts w:cs="Arial"/>
        </w:rPr>
      </w:pPr>
    </w:p>
    <w:p w:rsidR="009E5A4B" w:rsidRPr="00F73032" w:rsidRDefault="009E5A4B" w:rsidP="009E5A4B">
      <w:pPr>
        <w:ind w:right="-1"/>
        <w:rPr>
          <w:b/>
          <w:snapToGrid w:val="0"/>
          <w:sz w:val="28"/>
          <w:szCs w:val="28"/>
        </w:rPr>
      </w:pPr>
      <w:r w:rsidRPr="00F73032">
        <w:rPr>
          <w:b/>
          <w:snapToGrid w:val="0"/>
          <w:sz w:val="28"/>
          <w:szCs w:val="28"/>
        </w:rPr>
        <w:t>della Commissione Costituzione e leggi</w:t>
      </w:r>
    </w:p>
    <w:p w:rsidR="009E5A4B" w:rsidRPr="00F73032" w:rsidRDefault="009E5A4B" w:rsidP="009E5A4B">
      <w:pPr>
        <w:ind w:right="-1"/>
        <w:rPr>
          <w:b/>
          <w:snapToGrid w:val="0"/>
          <w:sz w:val="28"/>
          <w:szCs w:val="28"/>
        </w:rPr>
      </w:pPr>
      <w:r>
        <w:rPr>
          <w:b/>
          <w:snapToGrid w:val="0"/>
          <w:sz w:val="28"/>
          <w:szCs w:val="28"/>
        </w:rPr>
        <w:t>sul m</w:t>
      </w:r>
      <w:r w:rsidRPr="00F73032">
        <w:rPr>
          <w:b/>
          <w:snapToGrid w:val="0"/>
          <w:sz w:val="28"/>
          <w:szCs w:val="28"/>
        </w:rPr>
        <w:t xml:space="preserve">essaggio </w:t>
      </w:r>
      <w:r>
        <w:rPr>
          <w:b/>
          <w:snapToGrid w:val="0"/>
          <w:sz w:val="28"/>
          <w:szCs w:val="28"/>
        </w:rPr>
        <w:t>10 gennaio 2019</w:t>
      </w:r>
      <w:r w:rsidRPr="00F73032">
        <w:rPr>
          <w:b/>
          <w:snapToGrid w:val="0"/>
          <w:sz w:val="28"/>
          <w:szCs w:val="28"/>
        </w:rPr>
        <w:t xml:space="preserve"> </w:t>
      </w:r>
      <w:r>
        <w:rPr>
          <w:b/>
          <w:snapToGrid w:val="0"/>
          <w:sz w:val="28"/>
          <w:szCs w:val="28"/>
        </w:rPr>
        <w:t>concernente la modifica della Legge sull'</w:t>
      </w:r>
      <w:r w:rsidRPr="00F73032">
        <w:rPr>
          <w:b/>
          <w:snapToGrid w:val="0"/>
          <w:sz w:val="28"/>
          <w:szCs w:val="28"/>
        </w:rPr>
        <w:t>ordine pubblico e della Legge sulla dissimulazione del volto negli spazi pubblici (precisazione delle eccezioni al divieto di dissimulazione del volto)</w:t>
      </w:r>
    </w:p>
    <w:p w:rsidR="009E5A4B" w:rsidRPr="00F73032" w:rsidRDefault="009E5A4B" w:rsidP="009E5A4B">
      <w:pPr>
        <w:rPr>
          <w:rFonts w:cs="Arial"/>
        </w:rPr>
      </w:pPr>
    </w:p>
    <w:p w:rsidR="009E5A4B" w:rsidRPr="00F73032" w:rsidRDefault="009E5A4B" w:rsidP="009E5A4B">
      <w:pPr>
        <w:rPr>
          <w:rFonts w:cs="Arial"/>
        </w:rPr>
      </w:pPr>
    </w:p>
    <w:p w:rsidR="009E5A4B" w:rsidRPr="00F73032" w:rsidRDefault="009E5A4B" w:rsidP="009E5A4B">
      <w:pPr>
        <w:rPr>
          <w:rFonts w:cs="Arial"/>
        </w:rPr>
      </w:pPr>
    </w:p>
    <w:p w:rsidR="009E5A4B" w:rsidRPr="002C181E" w:rsidRDefault="009E5A4B" w:rsidP="009E5A4B">
      <w:pPr>
        <w:pStyle w:val="Titolo1"/>
        <w:tabs>
          <w:tab w:val="left" w:pos="426"/>
        </w:tabs>
        <w:rPr>
          <w:rFonts w:eastAsia="MS Mincho" w:cs="Arial"/>
          <w:lang w:val="it-CH"/>
        </w:rPr>
      </w:pPr>
      <w:r w:rsidRPr="002C181E">
        <w:rPr>
          <w:rFonts w:eastAsia="MS Mincho" w:cs="Arial"/>
          <w:lang w:val="it-CH"/>
        </w:rPr>
        <w:t>Premessa</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BA463D">
        <w:rPr>
          <w:rFonts w:ascii="Arial" w:hAnsi="Arial" w:cs="Arial"/>
          <w:sz w:val="24"/>
          <w:szCs w:val="24"/>
          <w:u w:color="000000"/>
          <w:lang w:val="it-IT"/>
        </w:rPr>
        <w:t>Il 22 settembre 2013 in votazione popolare è stato accolto</w:t>
      </w:r>
      <w:r>
        <w:rPr>
          <w:rFonts w:ascii="Arial" w:hAnsi="Arial" w:cs="Arial"/>
          <w:sz w:val="24"/>
          <w:szCs w:val="24"/>
          <w:u w:color="000000"/>
          <w:lang w:val="it-IT"/>
        </w:rPr>
        <w:t xml:space="preserve"> l'inserimento </w:t>
      </w:r>
      <w:r w:rsidRPr="00BA463D">
        <w:rPr>
          <w:rFonts w:ascii="Arial" w:hAnsi="Arial" w:cs="Arial"/>
          <w:sz w:val="24"/>
          <w:szCs w:val="24"/>
          <w:u w:color="000000"/>
          <w:lang w:val="it-IT"/>
        </w:rPr>
        <w:t xml:space="preserve">nella Costituzione cantonale di un divieto di dissimulare il volto negli spazi pubblici (artt. 9a e 96 </w:t>
      </w:r>
      <w:proofErr w:type="spellStart"/>
      <w:r w:rsidRPr="00BA463D">
        <w:rPr>
          <w:rFonts w:ascii="Arial" w:hAnsi="Arial" w:cs="Arial"/>
          <w:sz w:val="24"/>
          <w:szCs w:val="24"/>
          <w:u w:color="000000"/>
          <w:lang w:val="it-IT"/>
        </w:rPr>
        <w:t>Cost</w:t>
      </w:r>
      <w:proofErr w:type="spellEnd"/>
      <w:r w:rsidRPr="00BA463D">
        <w:rPr>
          <w:rFonts w:ascii="Arial" w:hAnsi="Arial" w:cs="Arial"/>
          <w:sz w:val="24"/>
          <w:szCs w:val="24"/>
          <w:u w:color="000000"/>
          <w:lang w:val="it-IT"/>
        </w:rPr>
        <w:t>.). La norma ha ricevuto la garanzia federale l</w:t>
      </w:r>
      <w:r>
        <w:rPr>
          <w:rFonts w:ascii="Arial" w:hAnsi="Arial" w:cs="Arial"/>
          <w:sz w:val="24"/>
          <w:szCs w:val="24"/>
          <w:u w:color="000000"/>
          <w:lang w:val="it-IT"/>
        </w:rPr>
        <w:t>'</w:t>
      </w:r>
      <w:r w:rsidRPr="00BA463D">
        <w:rPr>
          <w:rFonts w:ascii="Arial" w:hAnsi="Arial" w:cs="Arial"/>
          <w:sz w:val="24"/>
          <w:szCs w:val="24"/>
          <w:u w:color="000000"/>
          <w:lang w:val="it-IT"/>
        </w:rPr>
        <w:t>11 marzo 2015 ed è entrata in vigore il 1</w:t>
      </w:r>
      <w:r>
        <w:rPr>
          <w:rFonts w:ascii="Arial" w:hAnsi="Arial" w:cs="Arial"/>
          <w:sz w:val="24"/>
          <w:szCs w:val="24"/>
          <w:u w:color="000000"/>
          <w:lang w:val="it-IT"/>
        </w:rPr>
        <w:t>°</w:t>
      </w:r>
      <w:r w:rsidRPr="00BA463D">
        <w:rPr>
          <w:rFonts w:ascii="Arial" w:hAnsi="Arial" w:cs="Arial"/>
          <w:sz w:val="24"/>
          <w:szCs w:val="24"/>
          <w:u w:color="000000"/>
          <w:lang w:val="it-IT"/>
        </w:rPr>
        <w:t xml:space="preserve"> luglio 2016, contemporaneamente alle relative novelle legislative: </w:t>
      </w:r>
      <w:r>
        <w:rPr>
          <w:rFonts w:ascii="Arial" w:hAnsi="Arial" w:cs="Arial"/>
          <w:sz w:val="24"/>
          <w:szCs w:val="24"/>
          <w:u w:color="000000"/>
          <w:lang w:val="it-IT"/>
        </w:rPr>
        <w:t xml:space="preserve">l'art. 2 cpv. 1 </w:t>
      </w:r>
      <w:proofErr w:type="spellStart"/>
      <w:r>
        <w:rPr>
          <w:rFonts w:ascii="Arial" w:hAnsi="Arial" w:cs="Arial"/>
          <w:sz w:val="24"/>
          <w:szCs w:val="24"/>
          <w:u w:color="000000"/>
          <w:lang w:val="it-IT"/>
        </w:rPr>
        <w:t>lett</w:t>
      </w:r>
      <w:proofErr w:type="spellEnd"/>
      <w:r>
        <w:rPr>
          <w:rFonts w:ascii="Arial" w:hAnsi="Arial" w:cs="Arial"/>
          <w:sz w:val="24"/>
          <w:szCs w:val="24"/>
          <w:u w:color="000000"/>
          <w:lang w:val="it-IT"/>
        </w:rPr>
        <w:t xml:space="preserve">. </w:t>
      </w:r>
      <w:r>
        <w:rPr>
          <w:rFonts w:ascii="Arial" w:hAnsi="Arial" w:cs="Arial"/>
          <w:i/>
          <w:sz w:val="24"/>
          <w:szCs w:val="24"/>
          <w:u w:color="000000"/>
          <w:lang w:val="it-IT"/>
        </w:rPr>
        <w:t xml:space="preserve">i </w:t>
      </w:r>
      <w:r>
        <w:rPr>
          <w:rFonts w:ascii="Arial" w:hAnsi="Arial" w:cs="Arial"/>
          <w:sz w:val="24"/>
          <w:szCs w:val="24"/>
          <w:u w:color="000000"/>
          <w:lang w:val="it-IT"/>
        </w:rPr>
        <w:t xml:space="preserve">e </w:t>
      </w:r>
      <w:r>
        <w:rPr>
          <w:rFonts w:ascii="Arial" w:hAnsi="Arial" w:cs="Arial"/>
          <w:i/>
          <w:sz w:val="24"/>
          <w:szCs w:val="24"/>
          <w:u w:color="000000"/>
          <w:lang w:val="it-IT"/>
        </w:rPr>
        <w:t>l</w:t>
      </w:r>
      <w:r>
        <w:rPr>
          <w:rFonts w:ascii="Arial" w:hAnsi="Arial" w:cs="Arial"/>
          <w:sz w:val="24"/>
          <w:szCs w:val="24"/>
          <w:u w:color="000000"/>
          <w:lang w:val="it-IT"/>
        </w:rPr>
        <w:t xml:space="preserve"> del</w:t>
      </w:r>
      <w:r w:rsidRPr="00BA463D">
        <w:rPr>
          <w:rFonts w:ascii="Arial" w:hAnsi="Arial" w:cs="Arial"/>
          <w:sz w:val="24"/>
          <w:szCs w:val="24"/>
          <w:u w:color="000000"/>
          <w:lang w:val="it-IT"/>
        </w:rPr>
        <w:t>la Legge sull</w:t>
      </w:r>
      <w:r>
        <w:rPr>
          <w:rFonts w:ascii="Arial" w:hAnsi="Arial" w:cs="Arial"/>
          <w:sz w:val="24"/>
          <w:szCs w:val="24"/>
          <w:u w:color="000000"/>
          <w:lang w:val="it-IT"/>
        </w:rPr>
        <w:t>'</w:t>
      </w:r>
      <w:r w:rsidRPr="00BA463D">
        <w:rPr>
          <w:rFonts w:ascii="Arial" w:hAnsi="Arial" w:cs="Arial"/>
          <w:sz w:val="24"/>
          <w:szCs w:val="24"/>
          <w:u w:color="000000"/>
          <w:lang w:val="it-IT"/>
        </w:rPr>
        <w:t>ordine pubblico (</w:t>
      </w:r>
      <w:proofErr w:type="spellStart"/>
      <w:r w:rsidRPr="00BA463D">
        <w:rPr>
          <w:rFonts w:ascii="Arial" w:hAnsi="Arial" w:cs="Arial"/>
          <w:sz w:val="24"/>
          <w:szCs w:val="24"/>
          <w:u w:color="000000"/>
          <w:lang w:val="it-IT"/>
        </w:rPr>
        <w:t>LOrP</w:t>
      </w:r>
      <w:proofErr w:type="spellEnd"/>
      <w:r w:rsidRPr="00BA463D">
        <w:rPr>
          <w:rFonts w:ascii="Arial" w:hAnsi="Arial" w:cs="Arial"/>
          <w:sz w:val="24"/>
          <w:szCs w:val="24"/>
          <w:u w:color="000000"/>
          <w:lang w:val="it-IT"/>
        </w:rPr>
        <w:t>) e</w:t>
      </w:r>
      <w:r>
        <w:rPr>
          <w:rFonts w:ascii="Arial" w:hAnsi="Arial" w:cs="Arial"/>
          <w:sz w:val="24"/>
          <w:szCs w:val="24"/>
          <w:u w:color="000000"/>
          <w:lang w:val="it-IT"/>
        </w:rPr>
        <w:t xml:space="preserve"> l'art. 2 del</w:t>
      </w:r>
      <w:r w:rsidRPr="00BA463D">
        <w:rPr>
          <w:rFonts w:ascii="Arial" w:hAnsi="Arial" w:cs="Arial"/>
          <w:sz w:val="24"/>
          <w:szCs w:val="24"/>
          <w:u w:color="000000"/>
          <w:lang w:val="it-IT"/>
        </w:rPr>
        <w:t>la Legge sulla dissimulazione del volto negl</w:t>
      </w:r>
      <w:r>
        <w:rPr>
          <w:rFonts w:ascii="Arial" w:hAnsi="Arial" w:cs="Arial"/>
          <w:sz w:val="24"/>
          <w:szCs w:val="24"/>
          <w:u w:color="000000"/>
          <w:lang w:val="it-IT"/>
        </w:rPr>
        <w:t>i spazi pubblici (</w:t>
      </w:r>
      <w:proofErr w:type="spellStart"/>
      <w:r>
        <w:rPr>
          <w:rFonts w:ascii="Arial" w:hAnsi="Arial" w:cs="Arial"/>
          <w:sz w:val="24"/>
          <w:szCs w:val="24"/>
          <w:u w:color="000000"/>
          <w:lang w:val="it-IT"/>
        </w:rPr>
        <w:t>LDiss</w:t>
      </w:r>
      <w:proofErr w:type="spellEnd"/>
      <w:r>
        <w:rPr>
          <w:rFonts w:ascii="Arial" w:hAnsi="Arial" w:cs="Arial"/>
          <w:sz w:val="24"/>
          <w:szCs w:val="24"/>
          <w:u w:color="000000"/>
          <w:lang w:val="it-IT"/>
        </w:rPr>
        <w:t>).</w:t>
      </w:r>
    </w:p>
    <w:p w:rsidR="009E5A4B" w:rsidRPr="001C4A19" w:rsidRDefault="009E5A4B" w:rsidP="009E5A4B">
      <w:pPr>
        <w:pStyle w:val="Corpo"/>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6"/>
        <w:rPr>
          <w:rFonts w:ascii="Arial" w:hAnsi="Arial" w:cs="Arial"/>
          <w:bCs/>
          <w:sz w:val="24"/>
          <w:szCs w:val="24"/>
          <w:u w:color="000000"/>
          <w:lang w:val="it-IT"/>
        </w:rPr>
      </w:pP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eastAsia="Verdana" w:hAnsi="Arial" w:cs="Arial"/>
          <w:b/>
          <w:bCs/>
          <w:u w:color="000000"/>
          <w:lang w:val="it-IT"/>
        </w:rPr>
      </w:pPr>
      <w:r w:rsidRPr="00AF069A">
        <w:rPr>
          <w:rFonts w:ascii="Arial" w:hAnsi="Arial" w:cs="Arial"/>
          <w:b/>
          <w:bCs/>
          <w:u w:color="000000"/>
          <w:lang w:val="it-IT"/>
        </w:rPr>
        <w:t>Costituzione cantonale</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ind w:left="567" w:right="567"/>
        <w:rPr>
          <w:rFonts w:ascii="Arial" w:eastAsia="Verdana" w:hAnsi="Arial" w:cs="Arial"/>
          <w:iCs/>
          <w:u w:val="single" w:color="000000"/>
          <w:lang w:val="it-IT"/>
        </w:rPr>
      </w:pPr>
      <w:r w:rsidRPr="00AF069A">
        <w:rPr>
          <w:rFonts w:ascii="Arial" w:hAnsi="Arial" w:cs="Arial"/>
          <w:iCs/>
          <w:u w:val="single" w:color="000000"/>
          <w:lang w:val="it-IT"/>
        </w:rPr>
        <w:t>Art. 9a Divieto di dissimulazione del proprio viso</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u w:color="000000"/>
          <w:lang w:val="it-IT"/>
        </w:rPr>
      </w:pPr>
      <w:r w:rsidRPr="00AF069A">
        <w:rPr>
          <w:rFonts w:ascii="Arial" w:hAnsi="Arial" w:cs="Arial"/>
          <w:u w:color="000000"/>
          <w:vertAlign w:val="superscript"/>
          <w:lang w:val="it-IT"/>
        </w:rPr>
        <w:t>1</w:t>
      </w:r>
      <w:r w:rsidRPr="00AF069A">
        <w:rPr>
          <w:rFonts w:ascii="Arial" w:hAnsi="Arial" w:cs="Arial"/>
          <w:u w:color="000000"/>
          <w:lang w:val="it-IT"/>
        </w:rPr>
        <w:t>Nessuno può dissimulare o nascondere il proprio viso nelle vie pubbliche e nei luoghi aperti al pubblico (ad eccezione dei luoghi di culto) o destinati ad offrire un servizio pubblico.</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eastAsia="Verdana" w:hAnsi="Arial" w:cs="Arial"/>
          <w:u w:color="000000"/>
          <w:lang w:val="it-IT"/>
        </w:rPr>
      </w:pPr>
      <w:r w:rsidRPr="00AF069A">
        <w:rPr>
          <w:rFonts w:ascii="Arial" w:hAnsi="Arial" w:cs="Arial"/>
          <w:u w:color="000000"/>
          <w:vertAlign w:val="superscript"/>
          <w:lang w:val="it-IT"/>
        </w:rPr>
        <w:t>2</w:t>
      </w:r>
      <w:r w:rsidRPr="00AF069A">
        <w:rPr>
          <w:rFonts w:ascii="Arial" w:hAnsi="Arial" w:cs="Arial"/>
          <w:u w:color="000000"/>
          <w:lang w:val="it-IT"/>
        </w:rPr>
        <w:t>Nessuno può obbligare una persona a dissimulare il viso in ragione del suo sesso.</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hAnsi="Arial" w:cs="Arial"/>
          <w:u w:color="000000"/>
          <w:lang w:val="it-IT"/>
        </w:rPr>
      </w:pPr>
      <w:r w:rsidRPr="00AF069A">
        <w:rPr>
          <w:rFonts w:ascii="Arial" w:hAnsi="Arial" w:cs="Arial"/>
          <w:u w:color="000000"/>
          <w:vertAlign w:val="superscript"/>
          <w:lang w:val="it-IT"/>
        </w:rPr>
        <w:t>3</w:t>
      </w:r>
      <w:r w:rsidRPr="00AF069A">
        <w:rPr>
          <w:rFonts w:ascii="Arial" w:hAnsi="Arial" w:cs="Arial"/>
          <w:u w:color="000000"/>
          <w:lang w:val="it-IT"/>
        </w:rPr>
        <w:t>Le eccezioni al primo capoverso e le sanzioni sono stabilite dalla legge.</w:t>
      </w:r>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hAnsi="Arial" w:cs="Arial"/>
          <w:bCs/>
          <w:sz w:val="24"/>
          <w:szCs w:val="24"/>
          <w:u w:color="000000"/>
          <w:lang w:val="it-IT"/>
        </w:rPr>
      </w:pP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hAnsi="Arial" w:cs="Arial"/>
          <w:b/>
          <w:bCs/>
          <w:u w:color="000000"/>
          <w:lang w:val="it-IT"/>
        </w:rPr>
      </w:pPr>
      <w:proofErr w:type="spellStart"/>
      <w:r w:rsidRPr="00AF069A">
        <w:rPr>
          <w:rFonts w:ascii="Arial" w:hAnsi="Arial" w:cs="Arial"/>
          <w:b/>
          <w:bCs/>
          <w:u w:color="000000"/>
          <w:lang w:val="it-IT"/>
        </w:rPr>
        <w:t>LOrP</w:t>
      </w:r>
      <w:proofErr w:type="spellEnd"/>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ind w:left="567" w:right="567"/>
        <w:rPr>
          <w:rFonts w:ascii="Arial" w:hAnsi="Arial" w:cs="Arial"/>
          <w:iCs/>
          <w:u w:val="single" w:color="000000"/>
          <w:lang w:val="it-IT"/>
        </w:rPr>
      </w:pPr>
      <w:r>
        <w:rPr>
          <w:rFonts w:ascii="Arial" w:hAnsi="Arial" w:cs="Arial"/>
          <w:iCs/>
          <w:u w:val="single" w:color="000000"/>
          <w:lang w:val="it-IT"/>
        </w:rPr>
        <w:t xml:space="preserve">Art. 2 </w:t>
      </w:r>
      <w:r w:rsidRPr="00AF069A">
        <w:rPr>
          <w:rFonts w:ascii="Arial" w:hAnsi="Arial" w:cs="Arial"/>
          <w:iCs/>
          <w:u w:val="single" w:color="000000"/>
          <w:lang w:val="it-IT"/>
        </w:rPr>
        <w:t>Infrazioni</w:t>
      </w:r>
      <w:r>
        <w:rPr>
          <w:rFonts w:ascii="Arial" w:hAnsi="Arial" w:cs="Arial"/>
          <w:iCs/>
          <w:u w:val="single" w:color="000000"/>
          <w:lang w:val="it-IT"/>
        </w:rPr>
        <w:t xml:space="preserve"> </w:t>
      </w:r>
      <w:r w:rsidRPr="00AF069A">
        <w:rPr>
          <w:rFonts w:ascii="Arial" w:hAnsi="Arial" w:cs="Arial"/>
          <w:iCs/>
          <w:u w:val="single" w:color="000000"/>
          <w:lang w:val="it-IT"/>
        </w:rPr>
        <w:t>a) di competenza del municipio</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u w:color="000000"/>
          <w:lang w:val="it-IT"/>
        </w:rPr>
      </w:pPr>
      <w:r w:rsidRPr="00AF069A">
        <w:rPr>
          <w:rFonts w:ascii="Arial" w:hAnsi="Arial" w:cs="Arial"/>
          <w:u w:color="000000"/>
          <w:vertAlign w:val="superscript"/>
          <w:lang w:val="it-IT"/>
        </w:rPr>
        <w:t>1</w:t>
      </w:r>
      <w:r w:rsidRPr="00AF069A">
        <w:rPr>
          <w:rFonts w:ascii="Arial" w:hAnsi="Arial" w:cs="Arial"/>
          <w:u w:color="000000"/>
          <w:lang w:val="it-IT"/>
        </w:rPr>
        <w:t xml:space="preserve">Sono puniti </w:t>
      </w:r>
      <w:r w:rsidRPr="00AF069A">
        <w:rPr>
          <w:rFonts w:ascii="Arial" w:eastAsia="Verdana" w:hAnsi="Arial" w:cs="Arial"/>
          <w:u w:color="000000"/>
          <w:lang w:val="it-IT"/>
        </w:rPr>
        <w:t>con</w:t>
      </w:r>
      <w:r w:rsidRPr="00AF069A">
        <w:rPr>
          <w:rFonts w:ascii="Arial" w:hAnsi="Arial" w:cs="Arial"/>
          <w:u w:color="000000"/>
          <w:lang w:val="it-IT"/>
        </w:rPr>
        <w:t xml:space="preserve"> la multa di competenza municipale coloro che, intenzionalmente:</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u w:color="000000"/>
          <w:lang w:val="it-IT"/>
        </w:rPr>
      </w:pPr>
      <w:r>
        <w:rPr>
          <w:rFonts w:ascii="Arial" w:hAnsi="Arial" w:cs="Arial"/>
          <w:u w:color="000000"/>
          <w:lang w:val="it-IT"/>
        </w:rPr>
        <w:t>[…]</w:t>
      </w:r>
    </w:p>
    <w:p w:rsidR="009E5A4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67" w:hanging="426"/>
        <w:jc w:val="both"/>
        <w:rPr>
          <w:rFonts w:ascii="Arial" w:hAnsi="Arial" w:cs="Arial"/>
          <w:u w:color="000000"/>
          <w:lang w:val="it-IT"/>
        </w:rPr>
      </w:pPr>
      <w:r w:rsidRPr="00AF069A">
        <w:rPr>
          <w:rFonts w:ascii="Arial" w:hAnsi="Arial" w:cs="Arial"/>
          <w:u w:color="000000"/>
          <w:lang w:val="it-IT"/>
        </w:rPr>
        <w:t>i)</w:t>
      </w:r>
      <w:r>
        <w:rPr>
          <w:rFonts w:ascii="Arial" w:hAnsi="Arial" w:cs="Arial"/>
          <w:u w:color="000000"/>
          <w:lang w:val="it-IT"/>
        </w:rPr>
        <w:tab/>
      </w:r>
      <w:r w:rsidRPr="00AF069A">
        <w:rPr>
          <w:rFonts w:ascii="Arial" w:hAnsi="Arial" w:cs="Arial"/>
          <w:u w:color="000000"/>
          <w:lang w:val="it-IT"/>
        </w:rPr>
        <w:t>dissimulano o coprono il viso su area pubblica o in luoghi, pubblici o privati, che offrono servizi al pubblico;</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u w:color="000000"/>
          <w:lang w:val="it-IT"/>
        </w:rPr>
      </w:pPr>
      <w:r w:rsidRPr="00AF069A">
        <w:rPr>
          <w:rFonts w:ascii="Arial" w:eastAsia="Verdana" w:hAnsi="Arial" w:cs="Arial"/>
          <w:u w:color="000000"/>
          <w:lang w:val="it-IT"/>
        </w:rPr>
        <w:t>[…]</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67" w:hanging="426"/>
        <w:jc w:val="both"/>
        <w:rPr>
          <w:rFonts w:ascii="Arial" w:hAnsi="Arial" w:cs="Arial"/>
          <w:u w:color="000000"/>
          <w:lang w:val="it-IT"/>
        </w:rPr>
      </w:pPr>
      <w:r>
        <w:rPr>
          <w:rFonts w:ascii="Arial" w:hAnsi="Arial" w:cs="Arial"/>
          <w:u w:color="000000"/>
          <w:lang w:val="it-IT"/>
        </w:rPr>
        <w:t>l)</w:t>
      </w:r>
      <w:r>
        <w:rPr>
          <w:rFonts w:ascii="Arial" w:hAnsi="Arial" w:cs="Arial"/>
          <w:u w:color="000000"/>
          <w:lang w:val="it-IT"/>
        </w:rPr>
        <w:tab/>
      </w:r>
      <w:r w:rsidRPr="00AF069A">
        <w:rPr>
          <w:rFonts w:ascii="Arial" w:hAnsi="Arial" w:cs="Arial"/>
          <w:u w:color="000000"/>
          <w:lang w:val="it-IT"/>
        </w:rPr>
        <w:t>obbligano, costringono o inducono in altro modo altri a dissimulare o coprire il viso su area pubblica o in luoghi, pubblici o privati, che offrono servizi al pubblico.</w:t>
      </w:r>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hAnsi="Arial" w:cs="Arial"/>
          <w:bCs/>
          <w:sz w:val="24"/>
          <w:szCs w:val="24"/>
          <w:u w:color="000000"/>
          <w:lang w:val="it-IT"/>
        </w:rPr>
      </w:pP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rPr>
          <w:rFonts w:ascii="Arial" w:hAnsi="Arial" w:cs="Arial"/>
          <w:b/>
          <w:bCs/>
          <w:u w:color="000000"/>
          <w:lang w:val="it-IT"/>
        </w:rPr>
      </w:pPr>
      <w:proofErr w:type="spellStart"/>
      <w:r w:rsidRPr="00AF069A">
        <w:rPr>
          <w:rFonts w:ascii="Arial" w:hAnsi="Arial" w:cs="Arial"/>
          <w:b/>
          <w:bCs/>
          <w:u w:color="000000"/>
          <w:lang w:val="it-IT"/>
        </w:rPr>
        <w:t>LDiss</w:t>
      </w:r>
      <w:proofErr w:type="spellEnd"/>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40"/>
        <w:ind w:left="567" w:right="567"/>
        <w:rPr>
          <w:rFonts w:ascii="Arial" w:hAnsi="Arial" w:cs="Arial"/>
          <w:iCs/>
          <w:u w:val="single" w:color="000000"/>
          <w:lang w:val="it-IT"/>
        </w:rPr>
      </w:pPr>
      <w:r>
        <w:rPr>
          <w:rFonts w:ascii="Arial" w:hAnsi="Arial" w:cs="Arial"/>
          <w:iCs/>
          <w:u w:val="single" w:color="000000"/>
          <w:lang w:val="it-IT"/>
        </w:rPr>
        <w:t xml:space="preserve">Art. 2 </w:t>
      </w:r>
      <w:r w:rsidRPr="00AF069A">
        <w:rPr>
          <w:rFonts w:ascii="Arial" w:hAnsi="Arial" w:cs="Arial"/>
          <w:iCs/>
          <w:u w:val="single" w:color="000000"/>
          <w:lang w:val="it-IT"/>
        </w:rPr>
        <w:t>Divieto di dissimulazione del volto negli spazi pubblici</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hAnsi="Arial" w:cs="Arial"/>
          <w:u w:color="000000"/>
          <w:lang w:val="it-IT"/>
        </w:rPr>
      </w:pPr>
      <w:r w:rsidRPr="00AF069A">
        <w:rPr>
          <w:rFonts w:ascii="Arial" w:hAnsi="Arial" w:cs="Arial"/>
          <w:u w:color="000000"/>
          <w:vertAlign w:val="superscript"/>
          <w:lang w:val="it-IT"/>
        </w:rPr>
        <w:t>1</w:t>
      </w:r>
      <w:r w:rsidRPr="00AF069A">
        <w:rPr>
          <w:rFonts w:ascii="Arial" w:hAnsi="Arial" w:cs="Arial"/>
          <w:u w:color="000000"/>
          <w:lang w:val="it-IT"/>
        </w:rPr>
        <w:t>Nessuno può dissimulare il proprio volto negli spazi pubblici.</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hAnsi="Arial" w:cs="Arial"/>
          <w:u w:color="000000"/>
          <w:lang w:val="it-IT"/>
        </w:rPr>
      </w:pPr>
      <w:r w:rsidRPr="00AF069A">
        <w:rPr>
          <w:rFonts w:ascii="Arial" w:hAnsi="Arial" w:cs="Arial"/>
          <w:u w:color="000000"/>
          <w:vertAlign w:val="superscript"/>
          <w:lang w:val="it-IT"/>
        </w:rPr>
        <w:t>2</w:t>
      </w:r>
      <w:r w:rsidRPr="00AF069A">
        <w:rPr>
          <w:rFonts w:ascii="Arial" w:hAnsi="Arial" w:cs="Arial"/>
          <w:u w:color="000000"/>
          <w:lang w:val="it-IT"/>
        </w:rPr>
        <w:t>Nessuno può obbligare una persona a dissimulare il proprio volto negli spazi pubblici.</w:t>
      </w:r>
    </w:p>
    <w:p w:rsidR="009E5A4B" w:rsidRPr="00AF069A"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40"/>
        <w:ind w:left="567" w:right="567"/>
        <w:rPr>
          <w:rFonts w:ascii="Arial" w:hAnsi="Arial" w:cs="Arial"/>
          <w:iCs/>
          <w:u w:val="single" w:color="000000"/>
          <w:lang w:val="it-IT"/>
        </w:rPr>
      </w:pPr>
      <w:r>
        <w:rPr>
          <w:rFonts w:ascii="Arial" w:hAnsi="Arial" w:cs="Arial"/>
          <w:iCs/>
          <w:u w:val="single" w:color="000000"/>
          <w:lang w:val="it-IT"/>
        </w:rPr>
        <w:t xml:space="preserve">Art. 3 </w:t>
      </w:r>
      <w:r w:rsidRPr="00AF069A">
        <w:rPr>
          <w:rFonts w:ascii="Arial" w:hAnsi="Arial" w:cs="Arial"/>
          <w:iCs/>
          <w:u w:val="single" w:color="000000"/>
          <w:lang w:val="it-IT"/>
        </w:rPr>
        <w:t>Definizione di spazi pubblici</w:t>
      </w:r>
    </w:p>
    <w:p w:rsidR="009E5A4B" w:rsidRPr="00BA463D"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sz w:val="24"/>
          <w:szCs w:val="24"/>
          <w:u w:color="000000"/>
          <w:lang w:val="it-IT"/>
        </w:rPr>
      </w:pPr>
      <w:r w:rsidRPr="00AF069A">
        <w:rPr>
          <w:rFonts w:ascii="Arial" w:hAnsi="Arial" w:cs="Arial"/>
          <w:u w:color="000000"/>
          <w:lang w:val="it-IT"/>
        </w:rPr>
        <w:t>Gli spazi pubblici sono costituiti dalle pubbliche vie e da tutti i luoghi, pubblici o privati, aperti al pubblico o che offrono servizi al pubblico.</w:t>
      </w:r>
    </w:p>
    <w:p w:rsidR="009E5A4B" w:rsidRDefault="009E5A4B" w:rsidP="009E5A4B">
      <w:pPr>
        <w:pStyle w:val="Corpo"/>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3"/>
        <w:rPr>
          <w:rFonts w:ascii="Arial" w:hAnsi="Arial" w:cs="Arial"/>
          <w:sz w:val="24"/>
          <w:szCs w:val="24"/>
          <w:u w:color="000000"/>
          <w:lang w:val="it-IT"/>
        </w:rPr>
      </w:pP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BA463D">
        <w:rPr>
          <w:rFonts w:ascii="Arial" w:hAnsi="Arial" w:cs="Arial"/>
          <w:sz w:val="24"/>
          <w:szCs w:val="24"/>
          <w:u w:color="000000"/>
          <w:lang w:val="it-IT"/>
        </w:rPr>
        <w:lastRenderedPageBreak/>
        <w:t>I problemi sorgono, come già evidenziato nelle discussioni commissionali, nel def</w:t>
      </w:r>
      <w:r>
        <w:rPr>
          <w:rFonts w:ascii="Arial" w:hAnsi="Arial" w:cs="Arial"/>
          <w:sz w:val="24"/>
          <w:szCs w:val="24"/>
          <w:u w:color="000000"/>
          <w:lang w:val="it-IT"/>
        </w:rPr>
        <w:t>inire le eccezioni. È evidente ad</w:t>
      </w:r>
      <w:r w:rsidRPr="00BA463D">
        <w:rPr>
          <w:rFonts w:ascii="Arial" w:hAnsi="Arial" w:cs="Arial"/>
          <w:sz w:val="24"/>
          <w:szCs w:val="24"/>
          <w:u w:color="000000"/>
          <w:lang w:val="it-IT"/>
        </w:rPr>
        <w:t xml:space="preserve"> esempio che una o un motociclista </w:t>
      </w:r>
      <w:r w:rsidRPr="00AF069A">
        <w:rPr>
          <w:rFonts w:ascii="Arial" w:hAnsi="Arial" w:cs="Arial"/>
          <w:sz w:val="24"/>
          <w:szCs w:val="24"/>
          <w:u w:color="000000"/>
          <w:lang w:val="it-IT"/>
        </w:rPr>
        <w:t>deve</w:t>
      </w:r>
      <w:r w:rsidRPr="00BA463D">
        <w:rPr>
          <w:rFonts w:ascii="Arial" w:hAnsi="Arial" w:cs="Arial"/>
          <w:sz w:val="24"/>
          <w:szCs w:val="24"/>
          <w:u w:color="000000"/>
          <w:lang w:val="it-IT"/>
        </w:rPr>
        <w:t xml:space="preserve"> portare il casco sulle strade pubbliche, ma i casi in cui potrebbe essere lecito dissimulare il volto sono numerosi. Le due leggi prevedono ognuna un elenco esaustivo di eccezioni (elenchi peraltro non identici).</w:t>
      </w:r>
    </w:p>
    <w:p w:rsidR="009E5A4B" w:rsidRPr="001C4A19" w:rsidRDefault="009E5A4B" w:rsidP="009E5A4B">
      <w:pPr>
        <w:pStyle w:val="Corpo"/>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6"/>
        <w:rPr>
          <w:rFonts w:ascii="Arial" w:hAnsi="Arial" w:cs="Arial"/>
          <w:bCs/>
          <w:sz w:val="24"/>
          <w:szCs w:val="24"/>
          <w:u w:color="000000"/>
          <w:lang w:val="it-IT"/>
        </w:rPr>
      </w:pPr>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hAnsi="Arial" w:cs="Arial"/>
          <w:b/>
          <w:bCs/>
          <w:u w:color="000000"/>
          <w:lang w:val="it-IT"/>
        </w:rPr>
      </w:pPr>
      <w:proofErr w:type="spellStart"/>
      <w:r w:rsidRPr="006B6D5B">
        <w:rPr>
          <w:rFonts w:ascii="Arial" w:hAnsi="Arial" w:cs="Arial"/>
          <w:b/>
          <w:bCs/>
          <w:u w:color="000000"/>
          <w:lang w:val="it-IT"/>
        </w:rPr>
        <w:t>LOrP</w:t>
      </w:r>
      <w:proofErr w:type="spellEnd"/>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567" w:right="567"/>
        <w:jc w:val="both"/>
        <w:rPr>
          <w:rFonts w:ascii="Arial" w:hAnsi="Arial" w:cs="Arial"/>
          <w:iCs/>
          <w:u w:val="single" w:color="000000"/>
          <w:lang w:val="it-IT"/>
        </w:rPr>
      </w:pPr>
      <w:r w:rsidRPr="006B6D5B">
        <w:rPr>
          <w:rFonts w:ascii="Arial" w:hAnsi="Arial" w:cs="Arial"/>
          <w:iCs/>
          <w:u w:val="single" w:color="000000"/>
          <w:lang w:val="it-IT"/>
        </w:rPr>
        <w:t>Art. 2 Infrazioni a) di competenza del municipio</w:t>
      </w:r>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iCs/>
          <w:u w:color="000000"/>
          <w:lang w:val="it-IT"/>
        </w:rPr>
      </w:pPr>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hAnsi="Arial" w:cs="Arial"/>
          <w:u w:color="000000"/>
          <w:lang w:val="it-IT"/>
        </w:rPr>
      </w:pPr>
      <w:r w:rsidRPr="006B6D5B">
        <w:rPr>
          <w:rFonts w:ascii="Arial" w:hAnsi="Arial" w:cs="Arial"/>
          <w:u w:color="000000"/>
          <w:vertAlign w:val="superscript"/>
          <w:lang w:val="it-IT"/>
        </w:rPr>
        <w:t>2</w:t>
      </w:r>
      <w:r w:rsidRPr="006B6D5B">
        <w:rPr>
          <w:rFonts w:ascii="Arial" w:hAnsi="Arial" w:cs="Arial"/>
          <w:u w:color="000000"/>
          <w:lang w:val="it-IT"/>
        </w:rPr>
        <w:t>Il divieto di cui al capoverso 1 lettere i) e l) non si applica nel caso di uso di copricapi e di mezzi protettivi o difensivi consoni all'esercizio di una funzione pubblica o prescritti dalla legge o da altre norme particolari per motivi di salute, di sicurezza o di pratica sportiva, oppure in caso di usi e costumi locali in occasione di feste e manifestazioni religiose, culturali, artistic</w:t>
      </w:r>
      <w:r>
        <w:rPr>
          <w:rFonts w:ascii="Arial" w:hAnsi="Arial" w:cs="Arial"/>
          <w:u w:color="000000"/>
          <w:lang w:val="it-IT"/>
        </w:rPr>
        <w:t>he, ricreative o commemorative.</w:t>
      </w:r>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jc w:val="both"/>
        <w:rPr>
          <w:rFonts w:ascii="Arial" w:eastAsia="Verdana" w:hAnsi="Arial" w:cs="Arial"/>
          <w:iCs/>
          <w:sz w:val="16"/>
          <w:szCs w:val="16"/>
          <w:u w:color="000000"/>
          <w:lang w:val="it-IT"/>
        </w:rPr>
      </w:pPr>
    </w:p>
    <w:p w:rsidR="009E5A4B" w:rsidRPr="006B6D5B" w:rsidRDefault="009E5A4B" w:rsidP="009E5A4B">
      <w:pPr>
        <w:pStyle w:val="Didefault"/>
        <w:pBdr>
          <w:top w:val="single" w:sz="8" w:space="1" w:color="000000"/>
          <w:left w:val="single" w:sz="8" w:space="4" w:color="000000"/>
          <w:bottom w:val="single" w:sz="8" w:space="1" w:color="000000"/>
          <w:right w:val="single" w:sz="8" w:space="4" w:color="000000"/>
          <w:between w:val="none" w:sz="0" w:space="0" w:color="auto"/>
          <w:bar w:val="none" w:sz="0" w:color="auto"/>
        </w:pBdr>
        <w:ind w:left="567" w:right="567"/>
        <w:jc w:val="both"/>
        <w:rPr>
          <w:rFonts w:ascii="Arial" w:eastAsia="Verdana" w:hAnsi="Arial" w:cs="Arial"/>
          <w:b/>
          <w:bCs/>
          <w:shd w:val="clear" w:color="auto" w:fill="FFFFFF"/>
          <w:lang w:val="it-IT"/>
        </w:rPr>
      </w:pPr>
      <w:proofErr w:type="spellStart"/>
      <w:r w:rsidRPr="006B6D5B">
        <w:rPr>
          <w:rFonts w:ascii="Arial" w:hAnsi="Arial" w:cs="Arial"/>
          <w:b/>
          <w:bCs/>
          <w:shd w:val="clear" w:color="auto" w:fill="FFFFFF"/>
          <w:lang w:val="it-IT"/>
        </w:rPr>
        <w:t>LDiss</w:t>
      </w:r>
      <w:proofErr w:type="spellEnd"/>
    </w:p>
    <w:p w:rsidR="009E5A4B" w:rsidRPr="006B6D5B" w:rsidRDefault="009E5A4B" w:rsidP="009E5A4B">
      <w:pPr>
        <w:pStyle w:val="Corpo"/>
        <w:pBdr>
          <w:top w:val="single" w:sz="8" w:space="1" w:color="000000"/>
          <w:left w:val="single" w:sz="8" w:space="4" w:color="000000"/>
          <w:bottom w:val="single" w:sz="8" w:space="1" w:color="000000"/>
          <w:right w:val="single" w:sz="8" w:space="4" w:color="000000"/>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567" w:right="567"/>
        <w:jc w:val="both"/>
        <w:rPr>
          <w:rFonts w:ascii="Arial" w:hAnsi="Arial" w:cs="Arial"/>
          <w:iCs/>
          <w:u w:val="single" w:color="000000"/>
          <w:lang w:val="it-IT"/>
        </w:rPr>
      </w:pPr>
      <w:r w:rsidRPr="006B6D5B">
        <w:rPr>
          <w:rFonts w:ascii="Arial" w:hAnsi="Arial" w:cs="Arial"/>
          <w:iCs/>
          <w:u w:val="single" w:color="000000"/>
          <w:lang w:val="it-IT"/>
        </w:rPr>
        <w:t>Art. 4 Eccezioni</w:t>
      </w:r>
    </w:p>
    <w:p w:rsidR="009E5A4B" w:rsidRPr="006B6D5B" w:rsidRDefault="009E5A4B" w:rsidP="009E5A4B">
      <w:pPr>
        <w:pStyle w:val="Didefault"/>
        <w:pBdr>
          <w:top w:val="single" w:sz="8" w:space="1" w:color="000000"/>
          <w:left w:val="single" w:sz="8" w:space="4" w:color="000000"/>
          <w:bottom w:val="single" w:sz="8" w:space="1" w:color="000000"/>
          <w:right w:val="single" w:sz="8" w:space="4" w:color="000000"/>
          <w:between w:val="none" w:sz="0" w:space="0" w:color="auto"/>
          <w:bar w:val="none" w:sz="0" w:color="auto"/>
        </w:pBdr>
        <w:ind w:left="567" w:right="567"/>
        <w:jc w:val="both"/>
        <w:rPr>
          <w:rFonts w:ascii="Arial" w:eastAsia="Verdana" w:hAnsi="Arial" w:cs="Arial"/>
          <w:shd w:val="clear" w:color="auto" w:fill="FFFFFF"/>
          <w:lang w:val="it-IT"/>
        </w:rPr>
      </w:pPr>
      <w:r w:rsidRPr="006B6D5B">
        <w:rPr>
          <w:rFonts w:ascii="Arial" w:hAnsi="Arial" w:cs="Arial"/>
          <w:shd w:val="clear" w:color="auto" w:fill="FFFFFF"/>
          <w:lang w:val="it-IT"/>
        </w:rPr>
        <w:t>Il divieto di cui all'art. 2 non si applica se la tenuta mediante la quale è dissimulato il volto è prescritta dalla legge o da regolamenti, se è giustificata da motivi di salute, di sicurezza, professionali o di pratica sportiva oppure se è usata nell'ambito e per gli scopi di manifestazioni religiose, tradizionali, artistiche o ricreative.</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3"/>
        <w:rPr>
          <w:rFonts w:ascii="Arial" w:hAnsi="Arial" w:cs="Arial"/>
          <w:sz w:val="24"/>
          <w:szCs w:val="24"/>
          <w:u w:color="000000"/>
          <w:lang w:val="it-IT"/>
        </w:rPr>
      </w:pPr>
    </w:p>
    <w:p w:rsidR="009E5A4B" w:rsidRPr="00BA463D"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Le due leggi sono state oggetto di un ricorso al Tribunale federale da parte di due giovani giuristi ticinesi: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il punto centrale è che la legge vieta qualsiasi tipo di dissimulazione del viso, definendo solo alcune eccezioni. Secondo i due ciò impedisce di manifestare il dissenso politico camuffandosi e porta alcuni esempi concreti che stando a questa legge sarebbero vietati: i dipendenti della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Ssr</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che a novembre hanno manifestato indossando maschere bianche a Losanna contro i tagli dell'azienda, o alcuni oppositori del raddoppio del Gottardo che a gennaio si sono riuniti indossando le maschere di alcuni politici</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BA463D">
        <w:rPr>
          <w:rFonts w:ascii="Arial" w:hAnsi="Arial" w:cs="Arial"/>
          <w:sz w:val="24"/>
          <w:szCs w:val="24"/>
          <w:u w:color="000000"/>
          <w:lang w:val="it-IT"/>
        </w:rPr>
        <w:t xml:space="preserve"> (</w:t>
      </w:r>
      <w:proofErr w:type="spellStart"/>
      <w:r w:rsidRPr="00BA463D">
        <w:rPr>
          <w:rFonts w:ascii="Arial" w:hAnsi="Arial" w:cs="Arial"/>
          <w:sz w:val="24"/>
          <w:szCs w:val="24"/>
          <w:u w:color="000000"/>
          <w:lang w:val="it-IT"/>
        </w:rPr>
        <w:t>TicinoToday</w:t>
      </w:r>
      <w:proofErr w:type="spellEnd"/>
      <w:r w:rsidRPr="00BA463D">
        <w:rPr>
          <w:rFonts w:ascii="Arial" w:hAnsi="Arial" w:cs="Arial"/>
          <w:sz w:val="24"/>
          <w:szCs w:val="24"/>
          <w:u w:color="000000"/>
          <w:lang w:val="it-IT"/>
        </w:rPr>
        <w:t>, 25</w:t>
      </w:r>
      <w:r>
        <w:rPr>
          <w:rFonts w:ascii="Arial" w:hAnsi="Arial" w:cs="Arial"/>
          <w:sz w:val="24"/>
          <w:szCs w:val="24"/>
          <w:u w:color="000000"/>
          <w:lang w:val="it-IT"/>
        </w:rPr>
        <w:t xml:space="preserve"> febbraio </w:t>
      </w:r>
      <w:r w:rsidRPr="00BA463D">
        <w:rPr>
          <w:rFonts w:ascii="Arial" w:hAnsi="Arial" w:cs="Arial"/>
          <w:sz w:val="24"/>
          <w:szCs w:val="24"/>
          <w:u w:color="000000"/>
          <w:lang w:val="it-IT"/>
        </w:rPr>
        <w:t>2016).</w:t>
      </w:r>
    </w:p>
    <w:p w:rsidR="009E5A4B" w:rsidRPr="00BA463D"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jc w:val="both"/>
        <w:rPr>
          <w:rFonts w:ascii="Arial" w:eastAsia="Verdana" w:hAnsi="Arial" w:cs="Arial"/>
          <w:sz w:val="24"/>
          <w:szCs w:val="24"/>
          <w:u w:color="000000"/>
          <w:lang w:val="it-IT"/>
        </w:rPr>
      </w:pP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Una premessa importante è il ruolo del Tribunale federale in questa situazione.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Secondo la costante giurisprudenza, il Tribunale federale prescinde quindi di principio da un controllo di una Costituzione cantonale che ha ottenuto la garanzia federale a meno che l'illiceità non risulti da una successiva modifica del diritto superiore […]. Parimenti esso rinuncia di massima al controllo di un atto di applicazione della stessa, e quindi anche di una legge cantonale, nella misura in cui il suo contenuto corrisponde a quello della norma costituzionale alla quale è stata conferita la garanzia federale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(s</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entenza del 20 settembre 2018, 1C_211/2016, 1C_212/2016)</w:t>
      </w:r>
      <w:r>
        <w:rPr>
          <w:rFonts w:ascii="Arial" w:hAnsi="Arial" w:cs="Arial"/>
          <w:sz w:val="24"/>
          <w:szCs w:val="24"/>
          <w:u w:color="000000"/>
          <w:lang w:val="it-IT"/>
        </w:rPr>
        <w:t>.</w:t>
      </w:r>
    </w:p>
    <w:p w:rsidR="009E5A4B" w:rsidRPr="00BA463D"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jc w:val="both"/>
        <w:rPr>
          <w:rFonts w:ascii="Arial" w:eastAsia="Verdana" w:hAnsi="Arial" w:cs="Arial"/>
          <w:sz w:val="24"/>
          <w:szCs w:val="24"/>
          <w:u w:color="000000"/>
          <w:lang w:val="it-IT"/>
        </w:rPr>
      </w:pP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Tra i punti sollevati dai ricorrenti trova particolare interesse lo sviluppo del controllo delle persone per mezzo del riconoscimento facciale con tecniche di intelligenza artificiale, come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a esempio in Cina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Come la Cina usa l'intelligenza artific</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iale per controllare gli </w:t>
      </w:r>
      <w:r w:rsidRPr="002C181E">
        <w:rPr>
          <w:rFonts w:ascii="Arial" w:eastAsiaTheme="minorHAnsi" w:hAnsi="Arial" w:cs="Arial"/>
          <w:color w:val="auto"/>
          <w:sz w:val="24"/>
          <w:szCs w:val="24"/>
          <w:bdr w:val="none" w:sz="0" w:space="0" w:color="auto"/>
          <w:lang w:eastAsia="en-US"/>
          <w14:textOutline w14:w="0" w14:cap="rnd" w14:cmpd="sng" w14:algn="ctr">
            <w14:noFill/>
            <w14:prstDash w14:val="solid"/>
            <w14:bevel/>
          </w14:textOutline>
        </w:rPr>
        <w:t>Uiguri", il</w:t>
      </w:r>
      <w:hyperlink r:id="rId9" w:history="1">
        <w:r w:rsidRPr="002C181E">
          <w:rPr>
            <w:rFonts w:ascii="Arial" w:eastAsiaTheme="minorHAnsi" w:hAnsi="Arial" w:cs="Arial"/>
            <w:color w:val="auto"/>
            <w:sz w:val="24"/>
            <w:szCs w:val="24"/>
            <w:bdr w:val="none" w:sz="0" w:space="0" w:color="auto"/>
            <w:lang w:eastAsia="en-US"/>
            <w14:textOutline w14:w="0" w14:cap="rnd" w14:cmpd="sng" w14:algn="ctr">
              <w14:noFill/>
              <w14:prstDash w14:val="solid"/>
              <w14:bevel/>
            </w14:textOutline>
          </w:rPr>
          <w:t>sole24ore.com</w:t>
        </w:r>
      </w:hyperlink>
      <w:r w:rsidRPr="002C181E">
        <w:rPr>
          <w:rFonts w:ascii="Arial" w:eastAsiaTheme="minorHAnsi" w:hAnsi="Arial" w:cs="Arial"/>
          <w:color w:val="auto"/>
          <w:sz w:val="24"/>
          <w:szCs w:val="24"/>
          <w:bdr w:val="none" w:sz="0" w:space="0" w:color="auto"/>
          <w:lang w:eastAsia="en-US"/>
          <w14:textOutline w14:w="0" w14:cap="rnd" w14:cmpd="sng" w14:algn="ctr">
            <w14:noFill/>
            <w14:prstDash w14:val="solid"/>
            <w14:bevel/>
          </w14:textOutline>
        </w:rPr>
        <w:t>, 15 aprile</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2019). In questo senso il divieto della dissimulazione potrebbe essere inteso come un permesso generalizzato per l'autorità di prevedere tale riconoscimento.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I ricorrenti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lamentano la violazione del diritto all'autodeterminazione informativa (art. 13 cpv. 2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Cost</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Sostengono che il divieto di dissimulare il volto negli spazi pubblici codificherebbe in sostanza l'obbligo di farsi riprendere dalle videocamere di sorveglianza durante una manifestazione delle proprie opinioni politiche. Adducono che il legislatore sarebbe stato mosso da "una fuorviante idea di prevenzione, ottenuta attraverso una 'rete globale' di controllo fotografico e video". Negano l'esistenza di un interesse pubblico a che il cittadino sia "schedato per mezzo di videocamer</w:t>
      </w:r>
      <w:r>
        <w:rPr>
          <w:rFonts w:ascii="Arial" w:eastAsiaTheme="minorHAnsi" w:hAnsi="Arial" w:cs="Arial"/>
          <w:i/>
          <w:color w:val="auto"/>
          <w:sz w:val="24"/>
          <w:bdr w:val="none" w:sz="0" w:space="0" w:color="auto"/>
          <w:lang w:eastAsia="en-US"/>
          <w14:textOutline w14:w="0" w14:cap="rnd" w14:cmpd="sng" w14:algn="ctr">
            <w14:noFill/>
            <w14:prstDash w14:val="solid"/>
            <w14:bevel/>
          </w14:textOutline>
        </w:rPr>
        <w:t>e"</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TF </w:t>
      </w:r>
      <w:r w:rsidRPr="00BA463D">
        <w:rPr>
          <w:rFonts w:ascii="Arial" w:hAnsi="Arial" w:cs="Arial"/>
          <w:sz w:val="24"/>
          <w:szCs w:val="24"/>
          <w:u w:color="000000"/>
          <w:lang w:val="it-IT"/>
        </w:rPr>
        <w:t>sentenza citata,</w:t>
      </w:r>
      <w:r>
        <w:rPr>
          <w:rFonts w:ascii="Arial" w:hAnsi="Arial" w:cs="Arial"/>
          <w:sz w:val="24"/>
          <w:szCs w:val="24"/>
          <w:u w:color="000000"/>
          <w:lang w:val="it-IT"/>
        </w:rPr>
        <w:t xml:space="preserve"> </w:t>
      </w:r>
      <w:proofErr w:type="spellStart"/>
      <w:r>
        <w:rPr>
          <w:rFonts w:ascii="Arial" w:hAnsi="Arial" w:cs="Arial"/>
          <w:sz w:val="24"/>
          <w:szCs w:val="24"/>
          <w:u w:color="000000"/>
          <w:lang w:val="it-IT"/>
        </w:rPr>
        <w:t>consid</w:t>
      </w:r>
      <w:proofErr w:type="spellEnd"/>
      <w:r>
        <w:rPr>
          <w:rFonts w:ascii="Arial" w:hAnsi="Arial" w:cs="Arial"/>
          <w:sz w:val="24"/>
          <w:szCs w:val="24"/>
          <w:u w:color="000000"/>
          <w:lang w:val="it-IT"/>
        </w:rPr>
        <w:t>.</w:t>
      </w:r>
      <w:r w:rsidRPr="00BA463D">
        <w:rPr>
          <w:rFonts w:ascii="Arial" w:hAnsi="Arial" w:cs="Arial"/>
          <w:sz w:val="24"/>
          <w:szCs w:val="24"/>
          <w:u w:color="000000"/>
          <w:lang w:val="it-IT"/>
        </w:rPr>
        <w:t xml:space="preserve"> 6.1).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Il Tribunale federale ritiene però che,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come è stato esposto,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lastRenderedPageBreak/>
        <w:t xml:space="preserve">il contestato divieto non ha in realtà lo scopo di raccogliere ed elaborare dati personali, ma mira essenzialmente a limitare il potenziale di pericolo collegato allo svolgimento di manifestazioni e dimostrazioni, in cui i partecipanti potrebbero commettere atti di violenza favoriti dall'anonimato garantito da un mascheramento […]. La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LOrP</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si prefigge perciò di tutelare l'ordine e la sicurezza pubblici: non disciplina la raccolta e il trattamento di dati dei partecipanti a tali manifestazioni</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Ricordando che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le modalità di esecuzione di eventuali registrazioni da parte della polizia sono disciplinate dal diritto cantonale</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(TF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sentenza citata,</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proofErr w:type="spellStart"/>
      <w:r>
        <w:rPr>
          <w:rFonts w:ascii="Arial" w:eastAsiaTheme="minorHAnsi" w:hAnsi="Arial" w:cs="Arial"/>
          <w:color w:val="auto"/>
          <w:sz w:val="24"/>
          <w:bdr w:val="none" w:sz="0" w:space="0" w:color="auto"/>
          <w:lang w:eastAsia="en-US"/>
          <w14:textOutline w14:w="0" w14:cap="rnd" w14:cmpd="sng" w14:algn="ctr">
            <w14:noFill/>
            <w14:prstDash w14:val="solid"/>
            <w14:bevel/>
          </w14:textOutline>
        </w:rPr>
        <w:t>consid</w:t>
      </w:r>
      <w:proofErr w:type="spellEnd"/>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6.3). Che il tema possa presentare aspetti più</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complessi è dimostrato dalla città di San Francisco (CA)</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che ha deciso di vietare l'uso di software per il riconoscimento facciale da parte della polizia e di altre agenzie di sicurezza municipali.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Per contro</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il Consiglio comunale di Locarno ha approvato a febbraio un messaggio sulla videosorveglianza che comprende anche l'u</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tilizzo di questa tecnologia.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San Francisco v</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ieta il riconoscimento facciale: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È psicologicamente malsano</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proofErr w:type="spellStart"/>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TicinoToday</w:t>
      </w:r>
      <w:proofErr w:type="spellEnd"/>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16</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maggio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2019)</w:t>
      </w:r>
    </w:p>
    <w:p w:rsidR="009E5A4B" w:rsidRPr="002C181E"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Sulla violazione dei diritti fondamentali, il Tribunale federale precisa che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secondo la giurisprudenza, il divieto di dissimulare il viso viola la libertà di riunione e di opinione soltanto se non sono previste eccezioni allo stesso […]. Nella fattispecie, l'art. 2 cpv. 2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LOrP</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e l'art. 4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LDiss</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prevedono una serie di motivi per i quali è esclusa la realizzazione di un'infrazione […]. Secondo le dichiarazioni dell'autorità cantonale, ulteriori eccezioni al divieto di dissimulazione del volto sarebbero possibili anche per motivi non esplicitamente elencati dalle citate disposizioni, segnatamente nel caso di manifestazioni politiche. Questa interpretazione non è tuttavia coperta dal chiaro testo letterale degli art. 2 cpv. 2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LOrP</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e 4</w:t>
      </w:r>
      <w:r>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LDiss</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che prevedono determinate eccezioni specifiche e non soltanto esemplificative. Il tenore di queste disposizioni è chiaro e non si presta a una possibile interpretazione estensiva, sicché non è di principio consentito scostarvisi riconoscendo ulteriori eccezioni non contemplate dal testo legale</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TF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sentenza citata</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proofErr w:type="spellStart"/>
      <w:r>
        <w:rPr>
          <w:rFonts w:ascii="Arial" w:eastAsiaTheme="minorHAnsi" w:hAnsi="Arial" w:cs="Arial"/>
          <w:color w:val="auto"/>
          <w:sz w:val="24"/>
          <w:bdr w:val="none" w:sz="0" w:space="0" w:color="auto"/>
          <w:lang w:eastAsia="en-US"/>
          <w14:textOutline w14:w="0" w14:cap="rnd" w14:cmpd="sng" w14:algn="ctr">
            <w14:noFill/>
            <w14:prstDash w14:val="solid"/>
            <w14:bevel/>
          </w14:textOutline>
        </w:rPr>
        <w:t>consid</w:t>
      </w:r>
      <w:proofErr w:type="spellEnd"/>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5.4.5) </w:t>
      </w:r>
    </w:p>
    <w:p w:rsidR="009E5A4B" w:rsidRPr="002C181E"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Per quanto riguarda la limitazione della libertà economica, in particolare della pubblicità</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usando maschere, il Tribunale f</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ederale riprende gli argomenti relativi alla libertà di opinione: «</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Come è stato esposto, le normative cantonali devono essere completate e precisate nel senso che le eccezioni previste secondo il tenore attuale degli art. 2 cpv. 2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LOrP</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e 4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LDiss</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non sono esaustive (cfr.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consid</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5.4.5 e 5.5). Pure in questo caso, considerata la non esaustività delle eccezioni che saranno consentite, laddove non vi si oppongano interessi prevalenti e segnatamente di tutela dell'ordine pubblico, le autorità potranno quindi permettere, nella misura in cui sia chiesta un'autorizzazione, o tollerare azioni che comportano una dissimulazione del volto per motivi commerciali o pubblicitari. Con la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completazione</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delle norme mediante possibili ulteriori eccezioni, il divieto litigioso non costituisce quindi una restrizione inammissibile della libertà economica</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TF </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sentenza citata</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proofErr w:type="spellStart"/>
      <w:r>
        <w:rPr>
          <w:rFonts w:ascii="Arial" w:eastAsiaTheme="minorHAnsi" w:hAnsi="Arial" w:cs="Arial"/>
          <w:color w:val="auto"/>
          <w:sz w:val="24"/>
          <w:bdr w:val="none" w:sz="0" w:space="0" w:color="auto"/>
          <w:lang w:eastAsia="en-US"/>
          <w14:textOutline w14:w="0" w14:cap="rnd" w14:cmpd="sng" w14:algn="ctr">
            <w14:noFill/>
            <w14:prstDash w14:val="solid"/>
            <w14:bevel/>
          </w14:textOutline>
        </w:rPr>
        <w:t>consid</w:t>
      </w:r>
      <w:proofErr w:type="spellEnd"/>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7.4).</w:t>
      </w:r>
    </w:p>
    <w:p w:rsidR="009E5A4B" w:rsidRPr="002C181E"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Per altri aspetti dei ricorsi, qui non rilevanti, si ri</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manda alla sentenza citata del 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ribunale federale. Che conclude:</w:t>
      </w:r>
    </w:p>
    <w:p w:rsidR="009E5A4B" w:rsidRPr="002C181E"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567" w:right="566"/>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I ricorsi sono parzialmente accolti. Gli atti sono rinviati al Gran Consiglio affinché gli art. 2 cpv. 2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LOrP</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e 4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LDiss</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xml:space="preserve"> siano completati nel senso dei </w:t>
      </w:r>
      <w:proofErr w:type="spellStart"/>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considerandi</w:t>
      </w:r>
      <w:proofErr w:type="spellEnd"/>
      <w:r w:rsidRPr="002C181E">
        <w:rPr>
          <w:rFonts w:ascii="Arial" w:eastAsiaTheme="minorHAnsi" w:hAnsi="Arial" w:cs="Arial"/>
          <w:i/>
          <w:color w:val="auto"/>
          <w:sz w:val="24"/>
          <w:bdr w:val="none" w:sz="0" w:space="0" w:color="auto"/>
          <w:lang w:eastAsia="en-US"/>
          <w14:textOutline w14:w="0" w14:cap="rnd" w14:cmpd="sng" w14:algn="ctr">
            <w14:noFill/>
            <w14:prstDash w14:val="solid"/>
            <w14:bevel/>
          </w14:textOutline>
        </w:rPr>
        <w:t>. Per il resto i ricorsi sono respinti nella misura in cui sono ammissibili</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2C181E">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Default="009E5A4B" w:rsidP="009E5A4B">
      <w:pPr>
        <w:ind w:right="-1"/>
        <w:rPr>
          <w:rFonts w:cs="Arial"/>
          <w:bCs/>
          <w:color w:val="000000"/>
          <w:u w:color="000000"/>
          <w:lang w:val="it-IT" w:eastAsia="it-IT"/>
          <w14:textOutline w14:w="0" w14:cap="flat" w14:cmpd="sng" w14:algn="ctr">
            <w14:noFill/>
            <w14:prstDash w14:val="solid"/>
            <w14:bevel/>
          </w14:textOutline>
        </w:rPr>
      </w:pPr>
      <w:r>
        <w:rPr>
          <w:rFonts w:cs="Arial"/>
          <w:bCs/>
          <w:u w:color="000000"/>
          <w:lang w:val="it-IT"/>
        </w:rPr>
        <w:br w:type="page"/>
      </w:r>
    </w:p>
    <w:p w:rsidR="009E5A4B" w:rsidRPr="002C181E" w:rsidRDefault="009E5A4B" w:rsidP="009E5A4B">
      <w:pPr>
        <w:pStyle w:val="Titolo1"/>
        <w:tabs>
          <w:tab w:val="left" w:pos="426"/>
        </w:tabs>
        <w:ind w:right="-1"/>
        <w:rPr>
          <w:rFonts w:eastAsia="MS Mincho" w:cs="Arial"/>
          <w:lang w:val="it-CH"/>
        </w:rPr>
      </w:pPr>
      <w:r w:rsidRPr="002C181E">
        <w:rPr>
          <w:rFonts w:eastAsia="MS Mincho" w:cs="Arial"/>
          <w:lang w:val="it-CH"/>
        </w:rPr>
        <w:t>Le modifiche proposte dal Consiglio di Stato</w:t>
      </w:r>
    </w:p>
    <w:p w:rsidR="009E5A4B" w:rsidRDefault="009E5A4B" w:rsidP="001C4A19">
      <w:r w:rsidRPr="002C181E">
        <w:t xml:space="preserve">Le norme della </w:t>
      </w:r>
      <w:proofErr w:type="spellStart"/>
      <w:r w:rsidRPr="002C181E">
        <w:t>LOrP</w:t>
      </w:r>
      <w:proofErr w:type="spellEnd"/>
      <w:r>
        <w:t xml:space="preserve"> e della </w:t>
      </w:r>
      <w:proofErr w:type="spellStart"/>
      <w:r>
        <w:t>LDiss</w:t>
      </w:r>
      <w:proofErr w:type="spellEnd"/>
      <w:r w:rsidRPr="002C181E">
        <w:t xml:space="preserve"> che stabiliscono le eccezioni al divieto di dissimulazione del volto, per ottemperare alla sentenza del Tribunale federale, sono modificate introducendo da un lato l'espressione «</w:t>
      </w:r>
      <w:r w:rsidRPr="007C3633">
        <w:rPr>
          <w:i/>
        </w:rPr>
        <w:t>in particolare</w:t>
      </w:r>
      <w:r w:rsidRPr="002C181E">
        <w:t>», tesa a relativizzare l'elenco delle eccezioni, e aggiungendo dall'altro le «</w:t>
      </w:r>
      <w:r w:rsidRPr="007C3633">
        <w:rPr>
          <w:i/>
        </w:rPr>
        <w:t>manifestazioni di carattere politico o per motivi commerciali se non sono messi in pericolo i beni protetti dalla legge</w:t>
      </w:r>
      <w:r w:rsidRPr="002C181E">
        <w:t>». L'</w:t>
      </w:r>
      <w:r>
        <w:t xml:space="preserve">art. </w:t>
      </w:r>
      <w:r w:rsidRPr="002C181E">
        <w:t xml:space="preserve">4 </w:t>
      </w:r>
      <w:proofErr w:type="spellStart"/>
      <w:r w:rsidRPr="002C181E">
        <w:t>LDiss</w:t>
      </w:r>
      <w:proofErr w:type="spellEnd"/>
      <w:r w:rsidRPr="002C181E">
        <w:t xml:space="preserve"> è poi completamente riformulato in modo da risultare quasi identico all'</w:t>
      </w:r>
      <w:r>
        <w:t xml:space="preserve">art. 2 cpv. 2 </w:t>
      </w:r>
      <w:proofErr w:type="spellStart"/>
      <w:r w:rsidRPr="002C181E">
        <w:t>LOrP</w:t>
      </w:r>
      <w:proofErr w:type="spellEnd"/>
      <w:r w:rsidRPr="002C181E">
        <w:t>.</w:t>
      </w:r>
    </w:p>
    <w:p w:rsidR="001C4A19" w:rsidRPr="002C181E" w:rsidRDefault="001C4A19" w:rsidP="001C4A19"/>
    <w:p w:rsidR="009E5A4B" w:rsidRPr="00BA463D"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Arial" w:eastAsia="Verdana" w:hAnsi="Arial" w:cs="Arial"/>
          <w:i/>
          <w:iCs/>
          <w:sz w:val="24"/>
          <w:szCs w:val="24"/>
          <w:u w:color="000000"/>
          <w:lang w:val="it-IT"/>
        </w:rPr>
      </w:pPr>
      <w:r w:rsidRPr="00BA463D">
        <w:rPr>
          <w:rFonts w:ascii="Arial" w:hAnsi="Arial" w:cs="Arial"/>
          <w:i/>
          <w:iCs/>
          <w:sz w:val="24"/>
          <w:szCs w:val="24"/>
          <w:u w:color="000000"/>
          <w:lang w:val="it-IT"/>
        </w:rPr>
        <w:t>La legge sull</w:t>
      </w:r>
      <w:r>
        <w:rPr>
          <w:rFonts w:ascii="Arial" w:hAnsi="Arial" w:cs="Arial"/>
          <w:i/>
          <w:iCs/>
          <w:sz w:val="24"/>
          <w:szCs w:val="24"/>
          <w:u w:color="000000"/>
          <w:lang w:val="it-IT"/>
        </w:rPr>
        <w:t>'</w:t>
      </w:r>
      <w:r w:rsidRPr="00BA463D">
        <w:rPr>
          <w:rFonts w:ascii="Arial" w:hAnsi="Arial" w:cs="Arial"/>
          <w:i/>
          <w:iCs/>
          <w:sz w:val="24"/>
          <w:szCs w:val="24"/>
          <w:u w:color="000000"/>
          <w:lang w:val="it-IT"/>
        </w:rPr>
        <w:t>ordine pubblico del 23 novembre 2015 (</w:t>
      </w:r>
      <w:proofErr w:type="spellStart"/>
      <w:r w:rsidRPr="00BA463D">
        <w:rPr>
          <w:rFonts w:ascii="Arial" w:hAnsi="Arial" w:cs="Arial"/>
          <w:i/>
          <w:iCs/>
          <w:sz w:val="24"/>
          <w:szCs w:val="24"/>
          <w:u w:color="000000"/>
          <w:lang w:val="it-IT"/>
        </w:rPr>
        <w:t>LOrP</w:t>
      </w:r>
      <w:proofErr w:type="spellEnd"/>
      <w:r w:rsidRPr="00BA463D">
        <w:rPr>
          <w:rFonts w:ascii="Arial" w:hAnsi="Arial" w:cs="Arial"/>
          <w:i/>
          <w:iCs/>
          <w:sz w:val="24"/>
          <w:szCs w:val="24"/>
          <w:u w:color="000000"/>
          <w:lang w:val="it-IT"/>
        </w:rPr>
        <w:t xml:space="preserve">) è così modificata: </w:t>
      </w:r>
    </w:p>
    <w:p w:rsidR="009E5A4B" w:rsidRPr="007C3633"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1"/>
        <w:jc w:val="both"/>
        <w:rPr>
          <w:rFonts w:ascii="Arial" w:eastAsia="Verdana" w:hAnsi="Arial" w:cs="Arial"/>
          <w:u w:color="000000"/>
          <w:lang w:val="it-IT"/>
        </w:rPr>
      </w:pPr>
      <w:r w:rsidRPr="007C3633">
        <w:rPr>
          <w:rFonts w:ascii="Arial" w:hAnsi="Arial" w:cs="Arial"/>
          <w:u w:color="000000"/>
          <w:lang w:val="it-IT"/>
        </w:rPr>
        <w:t>Art. 2</w:t>
      </w:r>
    </w:p>
    <w:p w:rsidR="009E5A4B" w:rsidRPr="007C3633"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Arial" w:eastAsia="Verdana" w:hAnsi="Arial" w:cs="Arial"/>
          <w:i/>
          <w:iCs/>
          <w:u w:color="000000"/>
          <w:lang w:val="it-IT"/>
        </w:rPr>
      </w:pPr>
      <w:r w:rsidRPr="007C3633">
        <w:rPr>
          <w:rFonts w:ascii="Arial" w:hAnsi="Arial" w:cs="Arial"/>
          <w:u w:color="000000"/>
          <w:vertAlign w:val="superscript"/>
          <w:lang w:val="it-IT"/>
        </w:rPr>
        <w:t>2</w:t>
      </w:r>
      <w:r w:rsidRPr="007C3633">
        <w:rPr>
          <w:rFonts w:ascii="Arial" w:hAnsi="Arial" w:cs="Arial"/>
          <w:u w:color="000000"/>
          <w:lang w:val="it-IT"/>
        </w:rPr>
        <w:t>Il divieto di cui al capoverso 1 lettere i) e l)</w:t>
      </w:r>
      <w:r w:rsidRPr="007C3633">
        <w:rPr>
          <w:rFonts w:ascii="Arial" w:hAnsi="Arial" w:cs="Arial"/>
          <w:i/>
          <w:iCs/>
          <w:u w:color="000000"/>
          <w:lang w:val="it-IT"/>
        </w:rPr>
        <w:t>, in particolare,</w:t>
      </w:r>
      <w:r w:rsidRPr="007C3633">
        <w:rPr>
          <w:rFonts w:ascii="Arial" w:hAnsi="Arial" w:cs="Arial"/>
          <w:u w:color="000000"/>
          <w:lang w:val="it-IT"/>
        </w:rPr>
        <w:t xml:space="preserve"> non si applica all'uso di copricapi e di mezzi protettivi o difensivi consoni all'esercizio di una funzione pubblica o prescritti dalla legge o da altre norme particolari, per motivi di salute, di sicurezza, professionali o di pratica sportiva, oppure in occasione di feste e manifestazioni religiose, tradizionali, culturali, artistiche, ricreative o commemorative o per usanze locali, </w:t>
      </w:r>
      <w:r w:rsidRPr="007C3633">
        <w:rPr>
          <w:rFonts w:ascii="Arial" w:hAnsi="Arial" w:cs="Arial"/>
          <w:i/>
          <w:iCs/>
          <w:u w:color="000000"/>
          <w:lang w:val="it-IT"/>
        </w:rPr>
        <w:t xml:space="preserve">nonché in occasione di manifestazioni di carattere politico o per motivi commerciali se non sono messi in pericolo i beni protetti dalla legge. </w:t>
      </w:r>
    </w:p>
    <w:p w:rsidR="009E5A4B" w:rsidRPr="00BA463D"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Arial" w:eastAsia="Verdana" w:hAnsi="Arial" w:cs="Arial"/>
          <w:sz w:val="24"/>
          <w:szCs w:val="24"/>
          <w:u w:color="000000"/>
          <w:lang w:val="it-IT"/>
        </w:rPr>
      </w:pPr>
    </w:p>
    <w:p w:rsidR="009E5A4B" w:rsidRPr="00BA463D"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Arial" w:eastAsia="Verdana" w:hAnsi="Arial" w:cs="Arial"/>
          <w:sz w:val="24"/>
          <w:szCs w:val="24"/>
          <w:u w:color="000000"/>
          <w:lang w:val="it-IT"/>
        </w:rPr>
      </w:pPr>
      <w:r w:rsidRPr="00BA463D">
        <w:rPr>
          <w:rFonts w:ascii="Arial" w:hAnsi="Arial" w:cs="Arial"/>
          <w:i/>
          <w:iCs/>
          <w:sz w:val="24"/>
          <w:szCs w:val="24"/>
          <w:u w:color="000000"/>
          <w:lang w:val="it-IT"/>
        </w:rPr>
        <w:t>La legge sulla dissimulazione del volto negli spazi pubblici del 23 novembre 2015 (</w:t>
      </w:r>
      <w:proofErr w:type="spellStart"/>
      <w:r w:rsidRPr="00BA463D">
        <w:rPr>
          <w:rFonts w:ascii="Arial" w:hAnsi="Arial" w:cs="Arial"/>
          <w:i/>
          <w:iCs/>
          <w:sz w:val="24"/>
          <w:szCs w:val="24"/>
          <w:u w:color="000000"/>
          <w:lang w:val="it-IT"/>
        </w:rPr>
        <w:t>LDiss</w:t>
      </w:r>
      <w:proofErr w:type="spellEnd"/>
      <w:r w:rsidRPr="00BA463D">
        <w:rPr>
          <w:rFonts w:ascii="Arial" w:hAnsi="Arial" w:cs="Arial"/>
          <w:i/>
          <w:iCs/>
          <w:sz w:val="24"/>
          <w:szCs w:val="24"/>
          <w:u w:color="000000"/>
          <w:lang w:val="it-IT"/>
        </w:rPr>
        <w:t>) è così modificata:</w:t>
      </w:r>
      <w:r w:rsidRPr="00BA463D">
        <w:rPr>
          <w:rFonts w:ascii="Arial" w:hAnsi="Arial" w:cs="Arial"/>
          <w:sz w:val="24"/>
          <w:szCs w:val="24"/>
          <w:u w:color="000000"/>
          <w:lang w:val="it-IT"/>
        </w:rPr>
        <w:t xml:space="preserve"> </w:t>
      </w:r>
    </w:p>
    <w:p w:rsidR="009E5A4B" w:rsidRPr="007C3633"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1"/>
        <w:jc w:val="both"/>
        <w:rPr>
          <w:rFonts w:ascii="Arial" w:eastAsia="Verdana" w:hAnsi="Arial" w:cs="Arial"/>
          <w:u w:color="000000"/>
          <w:lang w:val="it-IT"/>
        </w:rPr>
      </w:pPr>
      <w:r w:rsidRPr="007C3633">
        <w:rPr>
          <w:rFonts w:ascii="Arial" w:hAnsi="Arial" w:cs="Arial"/>
          <w:u w:color="000000"/>
          <w:lang w:val="it-IT"/>
        </w:rPr>
        <w:t xml:space="preserve">Art. 4 </w:t>
      </w:r>
    </w:p>
    <w:p w:rsidR="009E5A4B" w:rsidRPr="007C3633" w:rsidRDefault="009E5A4B" w:rsidP="009E5A4B">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Arial" w:eastAsia="Verdana" w:hAnsi="Arial" w:cs="Arial"/>
          <w:u w:color="000000"/>
          <w:lang w:val="it-IT"/>
        </w:rPr>
      </w:pPr>
      <w:r w:rsidRPr="007C3633">
        <w:rPr>
          <w:rFonts w:ascii="Arial" w:hAnsi="Arial" w:cs="Arial"/>
          <w:u w:color="000000"/>
          <w:lang w:val="it-IT"/>
        </w:rPr>
        <w:t>Il divieto di cui all'articolo 2,</w:t>
      </w:r>
      <w:r w:rsidRPr="007C3633">
        <w:rPr>
          <w:rFonts w:ascii="Arial" w:hAnsi="Arial" w:cs="Arial"/>
          <w:i/>
          <w:iCs/>
          <w:u w:color="000000"/>
          <w:lang w:val="it-IT"/>
        </w:rPr>
        <w:t xml:space="preserve"> in particolare, non si applica all'uso di copricapi e di mezzi protettivi o difensivi consoni all'esercizio di una funzione pubblica o prescritti dalla legge o da altre norme particolari, per motivi di salute, di sicurezza, professionali o di pratica sportiva, oppure in occasione di feste e manifestazioni religiose, tradizionali, culturali, artistiche, ricreative o commemorative o per usanze locali, nonché in occasione di manifestazioni di carattere politico o per motivi commerciali se non sono messi in pericolo i beni protetti dalla legge.</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Titolo1"/>
        <w:tabs>
          <w:tab w:val="left" w:pos="426"/>
        </w:tabs>
        <w:ind w:right="-1"/>
        <w:rPr>
          <w:rFonts w:eastAsia="MS Mincho" w:cs="Arial"/>
          <w:lang w:val="it-CH"/>
        </w:rPr>
      </w:pPr>
      <w:r w:rsidRPr="007C3633">
        <w:rPr>
          <w:rFonts w:eastAsia="MS Mincho" w:cs="Arial"/>
          <w:lang w:val="it-CH"/>
        </w:rPr>
        <w:t>Proposte della Commissione</w:t>
      </w: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1"/>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Nella discussione commissionale sono state decise alcune modifiche al testo presentato nel messaggio. </w:t>
      </w:r>
    </w:p>
    <w:p w:rsidR="009E5A4B" w:rsidRPr="007C3633"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ind w:right="-1"/>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La locuzione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in particolare</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è spostata dopo il verbo per migliore leggibilità.</w:t>
      </w:r>
    </w:p>
    <w:p w:rsidR="009E5A4B" w:rsidRPr="007C3633"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ind w:right="-1"/>
        <w:jc w:val="both"/>
        <w:rPr>
          <w:rFonts w:ascii="Arial" w:eastAsiaTheme="minorHAnsi" w:hAnsi="Arial" w:cs="Arial"/>
          <w:color w:val="auto"/>
          <w:sz w:val="24"/>
          <w:bdr w:val="none" w:sz="0" w:space="0" w:color="auto"/>
          <w:lang w:eastAsia="en-US"/>
          <w14:textOutline w14:w="0" w14:cap="rnd" w14:cmpd="sng" w14:algn="ctr">
            <w14:noFill/>
            <w14:prstDash w14:val="solid"/>
            <w14:bevel/>
          </w14:textOutline>
        </w:rPr>
      </w:pP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Il riferimento ai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beni protetti dalla legge</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solleva qualche problema: le due leggi nel loro art. 1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Scopo</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citano elenchi diversi di beni da tutelare. Rilevanti però per l'applicazione della </w:t>
      </w:r>
      <w:proofErr w:type="spellStart"/>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LOrP</w:t>
      </w:r>
      <w:proofErr w:type="spellEnd"/>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secondo la sentenza del Tribunale federale, sono la sicurezza pubblica e l'ordine pubblico, per la </w:t>
      </w:r>
      <w:proofErr w:type="spellStart"/>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LDiss</w:t>
      </w:r>
      <w:proofErr w:type="spellEnd"/>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solo quest'ultimo; beni protetti in ogni caso nell'operato della polizia. Per questi motivi si propone di tralasciare il riferimento ai beni protetti dalla legge.</w:t>
      </w:r>
    </w:p>
    <w:p w:rsidR="009E5A4B" w:rsidRPr="00BA463D" w:rsidRDefault="009E5A4B" w:rsidP="001C4A1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jc w:val="both"/>
        <w:rPr>
          <w:rFonts w:ascii="Arial" w:hAnsi="Arial" w:cs="Arial"/>
          <w:sz w:val="24"/>
          <w:szCs w:val="24"/>
          <w:u w:color="000000"/>
        </w:rPr>
      </w:pP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Il concetto di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manifestazione</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si presta a interpretazioni differenti: il Consiglio di Stato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ad</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esempio nel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m</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essaggio n. 6732 del 16 gennaio 2013 afferma che il divieto di dissimulazione del volto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contribuirebbe ad aumentare la sicurezza non solo durante le dimostrazioni, facilitando il lavoro delle forze dell'ordine nel caso di scontri violenti o di danni alle cose, ma anche durante riunioni e manifestazioni soggette ad autorizzazione o eventi sportivi e d'altro tipo</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(pagina 13 par. 12; TF sentenza citata, </w:t>
      </w:r>
      <w:proofErr w:type="spellStart"/>
      <w:r>
        <w:rPr>
          <w:rFonts w:ascii="Arial" w:eastAsiaTheme="minorHAnsi" w:hAnsi="Arial" w:cs="Arial"/>
          <w:color w:val="auto"/>
          <w:sz w:val="24"/>
          <w:bdr w:val="none" w:sz="0" w:space="0" w:color="auto"/>
          <w:lang w:eastAsia="en-US"/>
          <w14:textOutline w14:w="0" w14:cap="rnd" w14:cmpd="sng" w14:algn="ctr">
            <w14:noFill/>
            <w14:prstDash w14:val="solid"/>
            <w14:bevel/>
          </w14:textOutline>
        </w:rPr>
        <w:t>consid</w:t>
      </w:r>
      <w:proofErr w:type="spellEnd"/>
      <w:r>
        <w:rPr>
          <w:rFonts w:ascii="Arial" w:eastAsiaTheme="minorHAnsi" w:hAnsi="Arial" w:cs="Arial"/>
          <w:color w:val="auto"/>
          <w:sz w:val="24"/>
          <w:bdr w:val="none" w:sz="0" w:space="0" w:color="auto"/>
          <w:lang w:eastAsia="en-US"/>
          <w14:textOutline w14:w="0" w14:cap="rnd" w14:cmpd="sng" w14:algn="ctr">
            <w14:noFill/>
            <w14:prstDash w14:val="solid"/>
            <w14:bevel/>
          </w14:textOutline>
        </w:rPr>
        <w:t>. 5.4.1</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Mentre il Tribunale precisa che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nella nozione di manifestazione rientra qualsiasi raggruppamento aperto indistintamente al pubblico o limitato a una cerchia ristretta di persone (per esempio partiti politici, sindacati e commercianti). Secondo il loro tenore, dette norme trovano poi applicazione anche nei confronti di un singolo dimostrante, per</w:t>
      </w:r>
      <w:r w:rsidRPr="007C3633">
        <w:rPr>
          <w:rFonts w:ascii="Arial" w:hAnsi="Arial" w:cs="Arial"/>
          <w:i/>
          <w:sz w:val="24"/>
          <w:szCs w:val="24"/>
          <w:u w:color="000000"/>
        </w:rPr>
        <w:t xml:space="preserve">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quanto pacifico</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(TF sentenza citata</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proofErr w:type="spellStart"/>
      <w:r>
        <w:rPr>
          <w:rFonts w:ascii="Arial" w:eastAsiaTheme="minorHAnsi" w:hAnsi="Arial" w:cs="Arial"/>
          <w:color w:val="auto"/>
          <w:sz w:val="24"/>
          <w:bdr w:val="none" w:sz="0" w:space="0" w:color="auto"/>
          <w:lang w:eastAsia="en-US"/>
          <w14:textOutline w14:w="0" w14:cap="rnd" w14:cmpd="sng" w14:algn="ctr">
            <w14:noFill/>
            <w14:prstDash w14:val="solid"/>
            <w14:bevel/>
          </w14:textOutline>
        </w:rPr>
        <w:t>consid</w:t>
      </w:r>
      <w:proofErr w:type="spellEnd"/>
      <w:r>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3.1).</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 </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Per questi motivi di p</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ro</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pone di t</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r</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alasc</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ia</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re il rifer</w:t>
      </w:r>
      <w:r>
        <w:rPr>
          <w:rFonts w:ascii="Arial" w:eastAsiaTheme="minorHAnsi" w:hAnsi="Arial" w:cs="Arial"/>
          <w:color w:val="auto"/>
          <w:sz w:val="24"/>
          <w:bdr w:val="none" w:sz="0" w:space="0" w:color="auto"/>
          <w:lang w:eastAsia="en-US"/>
          <w14:textOutline w14:w="0" w14:cap="rnd" w14:cmpd="sng" w14:algn="ctr">
            <w14:noFill/>
            <w14:prstDash w14:val="solid"/>
            <w14:bevel/>
          </w14:textOutline>
        </w:rPr>
        <w:t xml:space="preserve">imento </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a «</w:t>
      </w:r>
      <w:r w:rsidRPr="007C3633">
        <w:rPr>
          <w:rFonts w:ascii="Arial" w:eastAsiaTheme="minorHAnsi" w:hAnsi="Arial" w:cs="Arial"/>
          <w:i/>
          <w:color w:val="auto"/>
          <w:sz w:val="24"/>
          <w:bdr w:val="none" w:sz="0" w:space="0" w:color="auto"/>
          <w:lang w:eastAsia="en-US"/>
          <w14:textOutline w14:w="0" w14:cap="rnd" w14:cmpd="sng" w14:algn="ctr">
            <w14:noFill/>
            <w14:prstDash w14:val="solid"/>
            <w14:bevel/>
          </w14:textOutline>
        </w:rPr>
        <w:t>manifestazioni</w:t>
      </w:r>
      <w:r w:rsidRPr="007C3633">
        <w:rPr>
          <w:rFonts w:ascii="Arial" w:eastAsiaTheme="minorHAnsi" w:hAnsi="Arial" w:cs="Arial"/>
          <w:color w:val="auto"/>
          <w:sz w:val="24"/>
          <w:bdr w:val="none" w:sz="0" w:space="0" w:color="auto"/>
          <w:lang w:eastAsia="en-US"/>
          <w14:textOutline w14:w="0" w14:cap="rnd" w14:cmpd="sng" w14:algn="ctr">
            <w14:noFill/>
            <w14:prstDash w14:val="solid"/>
            <w14:bevel/>
          </w14:textOutline>
        </w:rPr>
        <w:t>».</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Titolo1"/>
        <w:tabs>
          <w:tab w:val="left" w:pos="426"/>
        </w:tabs>
        <w:ind w:right="-1"/>
        <w:rPr>
          <w:rFonts w:eastAsia="MS Mincho" w:cs="Arial"/>
          <w:lang w:val="it-CH"/>
        </w:rPr>
      </w:pPr>
      <w:r w:rsidRPr="007C3633">
        <w:rPr>
          <w:rFonts w:eastAsia="MS Mincho" w:cs="Arial"/>
          <w:lang w:val="it-CH"/>
        </w:rPr>
        <w:t>Conclusioni</w:t>
      </w:r>
    </w:p>
    <w:p w:rsidR="009E5A4B" w:rsidRPr="00EC70CA" w:rsidRDefault="009E5A4B" w:rsidP="009E5A4B">
      <w:pPr>
        <w:spacing w:before="120"/>
        <w:rPr>
          <w:rFonts w:eastAsia="Calibri" w:cs="Arial"/>
          <w:lang w:val="it-IT" w:eastAsia="it-IT"/>
        </w:rPr>
      </w:pPr>
      <w:r w:rsidRPr="00EC70CA">
        <w:rPr>
          <w:rFonts w:eastAsia="Calibri" w:cs="Arial"/>
          <w:lang w:val="it-IT" w:eastAsia="it-IT"/>
        </w:rPr>
        <w:t xml:space="preserve">La Commissione Costituzione e leggi invita quindi il Gran Consiglio ad approvare le modifiche degli artt. 2 cpv. 2 </w:t>
      </w:r>
      <w:proofErr w:type="spellStart"/>
      <w:r w:rsidRPr="00EC70CA">
        <w:rPr>
          <w:rFonts w:eastAsia="Calibri" w:cs="Arial"/>
          <w:lang w:val="it-IT" w:eastAsia="it-IT"/>
        </w:rPr>
        <w:t>LOrP</w:t>
      </w:r>
      <w:proofErr w:type="spellEnd"/>
      <w:r w:rsidRPr="00EC70CA">
        <w:rPr>
          <w:rFonts w:eastAsia="Calibri" w:cs="Arial"/>
          <w:lang w:val="it-IT" w:eastAsia="it-IT"/>
        </w:rPr>
        <w:t xml:space="preserve"> e 4 </w:t>
      </w:r>
      <w:proofErr w:type="spellStart"/>
      <w:r w:rsidRPr="00EC70CA">
        <w:rPr>
          <w:rFonts w:eastAsia="Calibri" w:cs="Arial"/>
          <w:lang w:val="it-IT" w:eastAsia="it-IT"/>
        </w:rPr>
        <w:t>LDiss</w:t>
      </w:r>
      <w:proofErr w:type="spellEnd"/>
      <w:r w:rsidRPr="00EC70CA">
        <w:rPr>
          <w:rFonts w:eastAsia="Calibri" w:cs="Arial"/>
          <w:lang w:val="it-IT" w:eastAsia="it-IT"/>
        </w:rPr>
        <w:t>, secondo il Disegno di legge allegato al presente rapporto.</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Arial" w:hAnsi="Arial" w:cs="Arial"/>
          <w:bCs/>
          <w:sz w:val="24"/>
          <w:szCs w:val="24"/>
          <w:u w:color="000000"/>
          <w:lang w:val="it-IT"/>
        </w:rPr>
      </w:pPr>
      <w:r w:rsidRPr="007C3633">
        <w:rPr>
          <w:rFonts w:ascii="Arial" w:hAnsi="Arial" w:cs="Arial"/>
          <w:bCs/>
          <w:sz w:val="24"/>
          <w:szCs w:val="24"/>
          <w:u w:color="000000"/>
          <w:lang w:val="it-IT"/>
        </w:rPr>
        <w:t>Per la Commissione</w:t>
      </w:r>
      <w:r>
        <w:rPr>
          <w:rFonts w:ascii="Arial" w:hAnsi="Arial" w:cs="Arial"/>
          <w:bCs/>
          <w:sz w:val="24"/>
          <w:szCs w:val="24"/>
          <w:u w:color="000000"/>
          <w:lang w:val="it-IT"/>
        </w:rPr>
        <w:t xml:space="preserve"> Costituzione e leggi:</w:t>
      </w:r>
    </w:p>
    <w:p w:rsidR="009E5A4B" w:rsidRPr="007C3633"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bCs/>
          <w:sz w:val="24"/>
          <w:szCs w:val="24"/>
          <w:u w:color="000000"/>
          <w:lang w:val="it-IT"/>
        </w:rPr>
      </w:pPr>
      <w:r w:rsidRPr="007C3633">
        <w:rPr>
          <w:rFonts w:ascii="Arial" w:hAnsi="Arial" w:cs="Arial"/>
          <w:bCs/>
          <w:sz w:val="24"/>
          <w:szCs w:val="24"/>
          <w:u w:color="000000"/>
          <w:lang w:val="it-IT"/>
        </w:rPr>
        <w:t>Carlo Lepori</w:t>
      </w:r>
      <w:r>
        <w:rPr>
          <w:rFonts w:ascii="Arial" w:hAnsi="Arial" w:cs="Arial"/>
          <w:bCs/>
          <w:sz w:val="24"/>
          <w:szCs w:val="24"/>
          <w:u w:color="000000"/>
          <w:lang w:val="it-IT"/>
        </w:rPr>
        <w:t>,</w:t>
      </w:r>
      <w:r w:rsidRPr="007C3633">
        <w:rPr>
          <w:rFonts w:ascii="Arial" w:hAnsi="Arial" w:cs="Arial"/>
          <w:bCs/>
          <w:sz w:val="24"/>
          <w:szCs w:val="24"/>
          <w:u w:color="000000"/>
          <w:lang w:val="it-IT"/>
        </w:rPr>
        <w:t xml:space="preserve"> </w:t>
      </w:r>
      <w:r>
        <w:rPr>
          <w:rFonts w:ascii="Arial" w:hAnsi="Arial" w:cs="Arial"/>
          <w:bCs/>
          <w:sz w:val="24"/>
          <w:szCs w:val="24"/>
          <w:u w:color="000000"/>
          <w:lang w:val="it-IT"/>
        </w:rPr>
        <w:t>relatore</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hAnsi="Arial" w:cs="Arial"/>
          <w:sz w:val="24"/>
          <w:szCs w:val="24"/>
          <w:u w:color="000000"/>
          <w:lang w:val="it-IT"/>
        </w:rPr>
      </w:pPr>
      <w:r>
        <w:rPr>
          <w:rFonts w:ascii="Arial" w:hAnsi="Arial" w:cs="Arial"/>
          <w:sz w:val="24"/>
          <w:szCs w:val="24"/>
          <w:u w:color="000000"/>
          <w:lang w:val="it-IT"/>
        </w:rPr>
        <w:t>Aldi - Balli - Censi - Corti - Filippini -</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hAnsi="Arial" w:cs="Arial"/>
          <w:sz w:val="24"/>
          <w:szCs w:val="24"/>
          <w:u w:color="000000"/>
          <w:lang w:val="it-IT"/>
        </w:rPr>
      </w:pPr>
      <w:r>
        <w:rPr>
          <w:rFonts w:ascii="Arial" w:hAnsi="Arial" w:cs="Arial"/>
          <w:sz w:val="24"/>
          <w:szCs w:val="24"/>
          <w:u w:color="000000"/>
          <w:lang w:val="it-IT"/>
        </w:rPr>
        <w:t>Gendotti - Ghisolfi - Isabella - Käppeli -</w:t>
      </w:r>
    </w:p>
    <w:p w:rsidR="009E5A4B" w:rsidRDefault="009E5A4B"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hAnsi="Arial" w:cs="Arial"/>
          <w:sz w:val="24"/>
          <w:szCs w:val="24"/>
          <w:u w:color="000000"/>
          <w:lang w:val="it-IT"/>
        </w:rPr>
      </w:pPr>
      <w:r>
        <w:rPr>
          <w:rFonts w:ascii="Arial" w:hAnsi="Arial" w:cs="Arial"/>
          <w:sz w:val="24"/>
          <w:szCs w:val="24"/>
          <w:u w:color="000000"/>
          <w:lang w:val="it-IT"/>
        </w:rPr>
        <w:t>Lurati Grassi - Rückert - Viscardi</w:t>
      </w:r>
    </w:p>
    <w:p w:rsidR="001C4A19" w:rsidRPr="00BA463D" w:rsidRDefault="001C4A19" w:rsidP="009E5A4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hAnsi="Arial" w:cs="Arial"/>
          <w:sz w:val="24"/>
          <w:szCs w:val="24"/>
          <w:u w:color="000000"/>
          <w:lang w:val="it-IT"/>
        </w:rPr>
      </w:pPr>
    </w:p>
    <w:p w:rsidR="009E5A4B" w:rsidRPr="00BA463D" w:rsidRDefault="009E5A4B" w:rsidP="009E5A4B">
      <w:pPr>
        <w:rPr>
          <w:rFonts w:eastAsia="Times New Roman" w:cs="Arial"/>
          <w:lang w:eastAsia="it-IT"/>
        </w:rPr>
      </w:pPr>
      <w:r w:rsidRPr="00BA463D">
        <w:rPr>
          <w:rFonts w:eastAsia="Times New Roman" w:cs="Arial"/>
          <w:lang w:eastAsia="it-IT"/>
        </w:rPr>
        <w:br w:type="page"/>
      </w:r>
    </w:p>
    <w:p w:rsidR="009E5A4B" w:rsidRPr="00EC3B27" w:rsidRDefault="009E5A4B" w:rsidP="009E5A4B">
      <w:r w:rsidRPr="00EC3B27">
        <w:t>Disegno di</w:t>
      </w:r>
    </w:p>
    <w:p w:rsidR="009E5A4B" w:rsidRPr="00EC3B27" w:rsidRDefault="009E5A4B" w:rsidP="009E5A4B">
      <w:pPr>
        <w:rPr>
          <w:rFonts w:eastAsia="Times New Roman"/>
          <w:szCs w:val="20"/>
          <w:lang w:val="it-IT" w:eastAsia="it-IT"/>
        </w:rPr>
      </w:pPr>
    </w:p>
    <w:p w:rsidR="009E5A4B" w:rsidRPr="00EC3B27" w:rsidRDefault="009E5A4B" w:rsidP="009E5A4B">
      <w:pPr>
        <w:spacing w:after="120"/>
        <w:rPr>
          <w:b/>
        </w:rPr>
      </w:pPr>
      <w:r w:rsidRPr="00EC3B27">
        <w:rPr>
          <w:b/>
        </w:rPr>
        <w:t xml:space="preserve">LEGGE </w:t>
      </w:r>
    </w:p>
    <w:p w:rsidR="009E5A4B" w:rsidRDefault="009E5A4B" w:rsidP="009E5A4B">
      <w:pPr>
        <w:pStyle w:val="Paragrafoelenco"/>
        <w:numPr>
          <w:ilvl w:val="0"/>
          <w:numId w:val="12"/>
        </w:numPr>
        <w:spacing w:before="120"/>
        <w:ind w:left="284" w:hanging="284"/>
        <w:rPr>
          <w:rFonts w:eastAsia="Calibri"/>
          <w:b/>
        </w:rPr>
      </w:pPr>
      <w:r w:rsidRPr="00EC3B27">
        <w:rPr>
          <w:b/>
        </w:rPr>
        <w:t>sull'ordine</w:t>
      </w:r>
      <w:r w:rsidRPr="00EC3B27">
        <w:rPr>
          <w:rFonts w:eastAsia="Calibri"/>
          <w:b/>
        </w:rPr>
        <w:t xml:space="preserve"> pubblico del 23 novembre 2015 (</w:t>
      </w:r>
      <w:proofErr w:type="spellStart"/>
      <w:r w:rsidRPr="00EC3B27">
        <w:rPr>
          <w:rFonts w:eastAsia="Calibri"/>
          <w:b/>
        </w:rPr>
        <w:t>LOrP</w:t>
      </w:r>
      <w:proofErr w:type="spellEnd"/>
      <w:r w:rsidRPr="00EC3B27">
        <w:rPr>
          <w:rFonts w:eastAsia="Calibri"/>
          <w:b/>
        </w:rPr>
        <w:t>); modifica</w:t>
      </w:r>
    </w:p>
    <w:p w:rsidR="009E5A4B" w:rsidRPr="00EC3B27" w:rsidRDefault="009E5A4B" w:rsidP="009E5A4B">
      <w:pPr>
        <w:pStyle w:val="Paragrafoelenco"/>
        <w:numPr>
          <w:ilvl w:val="0"/>
          <w:numId w:val="12"/>
        </w:numPr>
        <w:spacing w:before="120"/>
        <w:ind w:left="284" w:hanging="284"/>
        <w:rPr>
          <w:rFonts w:eastAsia="Calibri"/>
          <w:b/>
        </w:rPr>
      </w:pPr>
      <w:r w:rsidRPr="00EC3B27">
        <w:rPr>
          <w:rFonts w:eastAsia="Calibri"/>
          <w:b/>
        </w:rPr>
        <w:t xml:space="preserve">sulla </w:t>
      </w:r>
      <w:r w:rsidRPr="00EC3B27">
        <w:rPr>
          <w:b/>
        </w:rPr>
        <w:t>dissimulazione</w:t>
      </w:r>
      <w:r w:rsidRPr="00EC3B27">
        <w:rPr>
          <w:rFonts w:eastAsia="Calibri"/>
          <w:b/>
        </w:rPr>
        <w:t xml:space="preserve"> del volto negli spazi pubblici 23 </w:t>
      </w:r>
      <w:r w:rsidRPr="00EC3B27">
        <w:rPr>
          <w:b/>
        </w:rPr>
        <w:t>novembre</w:t>
      </w:r>
      <w:r w:rsidRPr="00EC3B27">
        <w:rPr>
          <w:rFonts w:eastAsia="Calibri"/>
          <w:b/>
        </w:rPr>
        <w:t xml:space="preserve"> 2015; modifica </w:t>
      </w:r>
    </w:p>
    <w:p w:rsidR="009E5A4B" w:rsidRDefault="009E5A4B" w:rsidP="009E5A4B">
      <w:pPr>
        <w:rPr>
          <w:rFonts w:eastAsia="Times New Roman" w:cs="Arial"/>
          <w:lang w:eastAsia="it-IT"/>
        </w:rPr>
      </w:pPr>
    </w:p>
    <w:p w:rsidR="009E5A4B" w:rsidRDefault="009E5A4B" w:rsidP="009E5A4B">
      <w:pPr>
        <w:rPr>
          <w:rFonts w:eastAsia="Times New Roman" w:cs="Arial"/>
          <w:lang w:eastAsia="it-IT"/>
        </w:rPr>
      </w:pPr>
    </w:p>
    <w:p w:rsidR="009E5A4B" w:rsidRDefault="009E5A4B" w:rsidP="009E5A4B">
      <w:pPr>
        <w:rPr>
          <w:rFonts w:eastAsia="Times New Roman"/>
          <w:szCs w:val="20"/>
          <w:lang w:val="it-IT" w:eastAsia="it-IT"/>
        </w:rPr>
      </w:pPr>
      <w:r w:rsidRPr="00EC3B27">
        <w:rPr>
          <w:rFonts w:eastAsia="Times New Roman"/>
          <w:szCs w:val="20"/>
          <w:lang w:val="it-IT" w:eastAsia="it-IT"/>
        </w:rPr>
        <w:t>IL GRAN CONSIGLIO</w:t>
      </w:r>
    </w:p>
    <w:p w:rsidR="009E5A4B" w:rsidRDefault="009E5A4B" w:rsidP="009E5A4B">
      <w:pPr>
        <w:rPr>
          <w:rFonts w:eastAsia="Times New Roman"/>
          <w:szCs w:val="20"/>
          <w:lang w:val="it-IT" w:eastAsia="it-IT"/>
        </w:rPr>
      </w:pPr>
      <w:r w:rsidRPr="00EC3B27">
        <w:rPr>
          <w:rFonts w:eastAsia="Times New Roman"/>
          <w:szCs w:val="20"/>
          <w:lang w:val="it-IT" w:eastAsia="it-IT"/>
        </w:rPr>
        <w:t>DE</w:t>
      </w:r>
      <w:r>
        <w:rPr>
          <w:rFonts w:eastAsia="Times New Roman"/>
          <w:szCs w:val="20"/>
          <w:lang w:val="it-IT" w:eastAsia="it-IT"/>
        </w:rPr>
        <w:t>LLA REPUBBLICA E CANTONE TICINO</w:t>
      </w:r>
    </w:p>
    <w:p w:rsidR="009E5A4B" w:rsidRPr="00EC3B27" w:rsidRDefault="009E5A4B" w:rsidP="009E5A4B">
      <w:pPr>
        <w:rPr>
          <w:rFonts w:eastAsia="Times New Roman"/>
          <w:szCs w:val="20"/>
          <w:lang w:val="it-IT" w:eastAsia="it-IT"/>
        </w:rPr>
      </w:pPr>
    </w:p>
    <w:p w:rsidR="009E5A4B" w:rsidRDefault="009E5A4B" w:rsidP="009E5A4B">
      <w:pPr>
        <w:tabs>
          <w:tab w:val="left" w:pos="284"/>
        </w:tabs>
        <w:rPr>
          <w:rFonts w:eastAsia="Times New Roman"/>
          <w:szCs w:val="20"/>
          <w:lang w:val="it-IT" w:eastAsia="it-IT"/>
        </w:rPr>
      </w:pPr>
      <w:r>
        <w:rPr>
          <w:rFonts w:eastAsia="Times New Roman"/>
          <w:szCs w:val="20"/>
          <w:lang w:val="it-IT" w:eastAsia="it-IT"/>
        </w:rPr>
        <w:t>-</w:t>
      </w:r>
      <w:r>
        <w:rPr>
          <w:rFonts w:eastAsia="Times New Roman"/>
          <w:szCs w:val="20"/>
          <w:lang w:val="it-IT" w:eastAsia="it-IT"/>
        </w:rPr>
        <w:tab/>
      </w:r>
      <w:r w:rsidRPr="00EC3B27">
        <w:rPr>
          <w:rFonts w:eastAsia="Times New Roman"/>
          <w:szCs w:val="20"/>
          <w:lang w:val="it-IT" w:eastAsia="it-IT"/>
        </w:rPr>
        <w:t xml:space="preserve">visto il messaggio 16 gennaio 2019 </w:t>
      </w:r>
      <w:r>
        <w:rPr>
          <w:rFonts w:eastAsia="Times New Roman"/>
          <w:szCs w:val="20"/>
          <w:lang w:val="it-IT" w:eastAsia="it-IT"/>
        </w:rPr>
        <w:t>n. 7624 del Consiglio di Stato,</w:t>
      </w:r>
    </w:p>
    <w:p w:rsidR="009E5A4B" w:rsidRPr="00EC3B27" w:rsidRDefault="009E5A4B" w:rsidP="009E5A4B">
      <w:pPr>
        <w:tabs>
          <w:tab w:val="left" w:pos="284"/>
        </w:tabs>
        <w:spacing w:before="120"/>
        <w:rPr>
          <w:rFonts w:eastAsia="Times New Roman"/>
          <w:szCs w:val="20"/>
          <w:lang w:val="it-IT" w:eastAsia="it-IT"/>
        </w:rPr>
      </w:pPr>
      <w:r>
        <w:rPr>
          <w:rFonts w:eastAsia="Times New Roman"/>
          <w:szCs w:val="20"/>
          <w:lang w:val="it-IT" w:eastAsia="it-IT"/>
        </w:rPr>
        <w:t>-</w:t>
      </w:r>
      <w:r>
        <w:rPr>
          <w:rFonts w:eastAsia="Times New Roman"/>
          <w:szCs w:val="20"/>
          <w:lang w:val="it-IT" w:eastAsia="it-IT"/>
        </w:rPr>
        <w:tab/>
        <w:t>visto il rapporto 3 settembre 2019 n. 7624 R della Commissione Costituzione e leggi,</w:t>
      </w:r>
    </w:p>
    <w:p w:rsidR="009E5A4B" w:rsidRPr="005125CC" w:rsidRDefault="009E5A4B" w:rsidP="009E5A4B">
      <w:pPr>
        <w:rPr>
          <w:rFonts w:eastAsia="Calibri"/>
          <w:sz w:val="20"/>
          <w:szCs w:val="20"/>
        </w:rPr>
      </w:pPr>
    </w:p>
    <w:p w:rsidR="009E5A4B" w:rsidRPr="005125CC" w:rsidRDefault="009E5A4B" w:rsidP="009E5A4B">
      <w:pPr>
        <w:rPr>
          <w:rFonts w:eastAsia="Calibri"/>
          <w:sz w:val="20"/>
          <w:szCs w:val="20"/>
        </w:rPr>
      </w:pPr>
    </w:p>
    <w:p w:rsidR="009E5A4B" w:rsidRPr="00EC3B27" w:rsidRDefault="009E5A4B" w:rsidP="009E5A4B">
      <w:pPr>
        <w:rPr>
          <w:rFonts w:eastAsia="Calibri"/>
          <w:b/>
        </w:rPr>
      </w:pPr>
      <w:r w:rsidRPr="00EC3B27">
        <w:rPr>
          <w:rFonts w:eastAsia="Calibri"/>
          <w:b/>
        </w:rPr>
        <w:t>d</w:t>
      </w:r>
      <w:r>
        <w:rPr>
          <w:rFonts w:eastAsia="Calibri"/>
          <w:b/>
        </w:rPr>
        <w:t xml:space="preserve"> </w:t>
      </w:r>
      <w:r w:rsidRPr="00EC3B27">
        <w:rPr>
          <w:rFonts w:eastAsia="Calibri"/>
          <w:b/>
        </w:rPr>
        <w:t>e</w:t>
      </w:r>
      <w:r>
        <w:rPr>
          <w:rFonts w:eastAsia="Calibri"/>
          <w:b/>
        </w:rPr>
        <w:t xml:space="preserve"> </w:t>
      </w:r>
      <w:r w:rsidRPr="00EC3B27">
        <w:rPr>
          <w:rFonts w:eastAsia="Calibri"/>
          <w:b/>
        </w:rPr>
        <w:t>c</w:t>
      </w:r>
      <w:r>
        <w:rPr>
          <w:rFonts w:eastAsia="Calibri"/>
          <w:b/>
        </w:rPr>
        <w:t xml:space="preserve"> </w:t>
      </w:r>
      <w:r w:rsidRPr="00EC3B27">
        <w:rPr>
          <w:rFonts w:eastAsia="Calibri"/>
          <w:b/>
        </w:rPr>
        <w:t>r</w:t>
      </w:r>
      <w:r>
        <w:rPr>
          <w:rFonts w:eastAsia="Calibri"/>
          <w:b/>
        </w:rPr>
        <w:t xml:space="preserve"> </w:t>
      </w:r>
      <w:r w:rsidRPr="00EC3B27">
        <w:rPr>
          <w:rFonts w:eastAsia="Calibri"/>
          <w:b/>
        </w:rPr>
        <w:t>e</w:t>
      </w:r>
      <w:r>
        <w:rPr>
          <w:rFonts w:eastAsia="Calibri"/>
          <w:b/>
        </w:rPr>
        <w:t xml:space="preserve"> </w:t>
      </w:r>
      <w:r w:rsidRPr="00EC3B27">
        <w:rPr>
          <w:rFonts w:eastAsia="Calibri"/>
          <w:b/>
        </w:rPr>
        <w:t>t</w:t>
      </w:r>
      <w:r>
        <w:rPr>
          <w:rFonts w:eastAsia="Calibri"/>
          <w:b/>
        </w:rPr>
        <w:t xml:space="preserve"> </w:t>
      </w:r>
      <w:r w:rsidRPr="00EC3B27">
        <w:rPr>
          <w:rFonts w:eastAsia="Calibri"/>
          <w:b/>
        </w:rPr>
        <w:t>a</w:t>
      </w:r>
      <w:r>
        <w:rPr>
          <w:rFonts w:eastAsia="Calibri"/>
          <w:b/>
        </w:rPr>
        <w:t xml:space="preserve"> </w:t>
      </w:r>
      <w:r w:rsidRPr="00EC3B27">
        <w:rPr>
          <w:rFonts w:eastAsia="Calibri"/>
          <w:b/>
        </w:rPr>
        <w:t xml:space="preserve">: </w:t>
      </w:r>
    </w:p>
    <w:p w:rsidR="009E5A4B" w:rsidRPr="005125CC" w:rsidRDefault="009E5A4B" w:rsidP="009E5A4B">
      <w:pPr>
        <w:rPr>
          <w:rFonts w:eastAsia="Calibri"/>
          <w:sz w:val="20"/>
          <w:szCs w:val="20"/>
        </w:rPr>
      </w:pPr>
    </w:p>
    <w:p w:rsidR="009E5A4B" w:rsidRPr="005125CC" w:rsidRDefault="009E5A4B" w:rsidP="009E5A4B">
      <w:pPr>
        <w:rPr>
          <w:rFonts w:eastAsia="Calibri"/>
          <w:sz w:val="20"/>
          <w:szCs w:val="20"/>
        </w:rPr>
      </w:pPr>
    </w:p>
    <w:p w:rsidR="009E5A4B" w:rsidRPr="00EC3B27" w:rsidRDefault="009E5A4B" w:rsidP="009E5A4B">
      <w:pPr>
        <w:rPr>
          <w:rFonts w:eastAsia="Times New Roman"/>
          <w:b/>
          <w:szCs w:val="20"/>
          <w:lang w:val="it-IT" w:eastAsia="it-IT"/>
        </w:rPr>
      </w:pPr>
      <w:r w:rsidRPr="00EC3B27">
        <w:rPr>
          <w:rFonts w:eastAsia="Times New Roman"/>
          <w:b/>
          <w:szCs w:val="20"/>
          <w:lang w:val="it-IT" w:eastAsia="it-IT"/>
        </w:rPr>
        <w:t>I.</w:t>
      </w:r>
    </w:p>
    <w:p w:rsidR="009E5A4B" w:rsidRDefault="009E5A4B" w:rsidP="009E5A4B">
      <w:pPr>
        <w:spacing w:before="120"/>
        <w:rPr>
          <w:rFonts w:eastAsia="Times New Roman"/>
          <w:szCs w:val="20"/>
          <w:lang w:val="it-IT" w:eastAsia="it-IT"/>
        </w:rPr>
      </w:pPr>
      <w:r w:rsidRPr="00EC3B27">
        <w:rPr>
          <w:rFonts w:eastAsia="Times New Roman"/>
          <w:szCs w:val="20"/>
          <w:lang w:val="it-IT" w:eastAsia="it-IT"/>
        </w:rPr>
        <w:t>La legge sull'ordine pubblico del 23 novembre 2015 (</w:t>
      </w:r>
      <w:proofErr w:type="spellStart"/>
      <w:r w:rsidRPr="00EC3B27">
        <w:rPr>
          <w:rFonts w:eastAsia="Times New Roman"/>
          <w:szCs w:val="20"/>
          <w:lang w:val="it-IT" w:eastAsia="it-IT"/>
        </w:rPr>
        <w:t>LOrP</w:t>
      </w:r>
      <w:proofErr w:type="spellEnd"/>
      <w:r w:rsidRPr="00EC3B27">
        <w:rPr>
          <w:rFonts w:eastAsia="Times New Roman"/>
          <w:szCs w:val="20"/>
          <w:lang w:val="it-IT" w:eastAsia="it-IT"/>
        </w:rPr>
        <w:t xml:space="preserve">) è così modificata: </w:t>
      </w:r>
    </w:p>
    <w:p w:rsidR="009E5A4B" w:rsidRDefault="009E5A4B" w:rsidP="009E5A4B">
      <w:pPr>
        <w:rPr>
          <w:rFonts w:eastAsia="Times New Roman"/>
          <w:szCs w:val="20"/>
          <w:lang w:val="it-IT" w:eastAsia="it-IT"/>
        </w:rPr>
      </w:pPr>
    </w:p>
    <w:tbl>
      <w:tblPr>
        <w:tblW w:w="0" w:type="auto"/>
        <w:tblLayout w:type="fixed"/>
        <w:tblCellMar>
          <w:left w:w="70" w:type="dxa"/>
          <w:right w:w="70" w:type="dxa"/>
        </w:tblCellMar>
        <w:tblLook w:val="0000" w:firstRow="0" w:lastRow="0" w:firstColumn="0" w:lastColumn="0" w:noHBand="0" w:noVBand="0"/>
      </w:tblPr>
      <w:tblGrid>
        <w:gridCol w:w="1771"/>
        <w:gridCol w:w="7938"/>
      </w:tblGrid>
      <w:tr w:rsidR="009E5A4B" w:rsidRPr="00EC3B27" w:rsidTr="00323184">
        <w:tc>
          <w:tcPr>
            <w:tcW w:w="1771" w:type="dxa"/>
          </w:tcPr>
          <w:p w:rsidR="009E5A4B" w:rsidRPr="00EC3B27" w:rsidRDefault="009E5A4B" w:rsidP="00323184">
            <w:pPr>
              <w:rPr>
                <w:rFonts w:cs="Arial"/>
                <w:b/>
                <w:sz w:val="22"/>
              </w:rPr>
            </w:pPr>
          </w:p>
        </w:tc>
        <w:tc>
          <w:tcPr>
            <w:tcW w:w="7938" w:type="dxa"/>
          </w:tcPr>
          <w:p w:rsidR="009E5A4B" w:rsidRPr="00EC3B27" w:rsidRDefault="009E5A4B" w:rsidP="00323184">
            <w:pPr>
              <w:spacing w:line="360" w:lineRule="auto"/>
              <w:rPr>
                <w:rFonts w:cs="Arial"/>
                <w:b/>
                <w:sz w:val="22"/>
              </w:rPr>
            </w:pPr>
            <w:r w:rsidRPr="00EC3B27">
              <w:rPr>
                <w:rFonts w:cs="Arial"/>
                <w:b/>
                <w:sz w:val="22"/>
              </w:rPr>
              <w:t>Art. 2 cpv. 2</w:t>
            </w:r>
          </w:p>
          <w:p w:rsidR="009E5A4B" w:rsidRPr="00EC3B27" w:rsidRDefault="009E5A4B" w:rsidP="00323184">
            <w:pPr>
              <w:rPr>
                <w:rFonts w:cs="Arial"/>
                <w:sz w:val="22"/>
              </w:rPr>
            </w:pPr>
            <w:r w:rsidRPr="00EC3B27">
              <w:rPr>
                <w:rFonts w:cs="Arial"/>
                <w:sz w:val="22"/>
                <w:vertAlign w:val="superscript"/>
              </w:rPr>
              <w:t>2</w:t>
            </w:r>
            <w:r w:rsidRPr="00EC3B27">
              <w:rPr>
                <w:rFonts w:eastAsia="Times New Roman" w:cs="Arial"/>
                <w:sz w:val="22"/>
                <w:lang w:eastAsia="it-IT"/>
              </w:rPr>
              <w:t>Il divieto di cui al capoverso 1 lettere i) e l) non si applica, in particolare, all'uso di copricapi e di mezzi protettivi o difensivi consoni all'esercizio di una funzione pubblica o prescritti dalla legge o da altre norme particolari, per motivi di salute, di sicurezza, professionali, di pratica sportiva, oppure in occasione di feste e manifestazioni religiose, tradizionali, culturali, artistiche, ricreative o commemorative o per usanze locali, o per motivi di carattere politico o commerciale.</w:t>
            </w:r>
          </w:p>
          <w:p w:rsidR="009E5A4B" w:rsidRPr="00EC3B27" w:rsidRDefault="009E5A4B" w:rsidP="00323184">
            <w:pPr>
              <w:rPr>
                <w:rFonts w:cs="Arial"/>
                <w:sz w:val="22"/>
              </w:rPr>
            </w:pPr>
          </w:p>
        </w:tc>
      </w:tr>
    </w:tbl>
    <w:p w:rsidR="009E5A4B" w:rsidRPr="00EC3B27" w:rsidRDefault="009E5A4B" w:rsidP="009E5A4B">
      <w:pPr>
        <w:rPr>
          <w:rFonts w:eastAsia="Times New Roman"/>
          <w:szCs w:val="20"/>
          <w:lang w:val="it-IT" w:eastAsia="it-IT"/>
        </w:rPr>
      </w:pPr>
    </w:p>
    <w:p w:rsidR="009E5A4B" w:rsidRPr="00EC3B27" w:rsidRDefault="009E5A4B" w:rsidP="009E5A4B">
      <w:pPr>
        <w:rPr>
          <w:rFonts w:eastAsia="Times New Roman"/>
          <w:b/>
          <w:szCs w:val="20"/>
          <w:lang w:val="it-IT" w:eastAsia="it-IT"/>
        </w:rPr>
      </w:pPr>
      <w:r w:rsidRPr="00EC3B27">
        <w:rPr>
          <w:rFonts w:eastAsia="Times New Roman"/>
          <w:b/>
          <w:szCs w:val="20"/>
          <w:lang w:val="it-IT" w:eastAsia="it-IT"/>
        </w:rPr>
        <w:t>II.</w:t>
      </w:r>
    </w:p>
    <w:p w:rsidR="009E5A4B" w:rsidRDefault="009E5A4B" w:rsidP="009E5A4B">
      <w:pPr>
        <w:spacing w:before="120"/>
        <w:rPr>
          <w:rFonts w:eastAsia="Times New Roman"/>
          <w:szCs w:val="20"/>
          <w:lang w:val="it-IT" w:eastAsia="it-IT"/>
        </w:rPr>
      </w:pPr>
      <w:r w:rsidRPr="00EC3B27">
        <w:rPr>
          <w:rFonts w:eastAsia="Times New Roman"/>
          <w:szCs w:val="20"/>
          <w:lang w:val="it-IT" w:eastAsia="it-IT"/>
        </w:rPr>
        <w:t>La legge sulla dissimulazione del volto negli spazi pubblici del 23 nov</w:t>
      </w:r>
      <w:r>
        <w:rPr>
          <w:rFonts w:eastAsia="Times New Roman"/>
          <w:szCs w:val="20"/>
          <w:lang w:val="it-IT" w:eastAsia="it-IT"/>
        </w:rPr>
        <w:t>embre 2015 è così modificata:</w:t>
      </w:r>
    </w:p>
    <w:p w:rsidR="009E5A4B" w:rsidRDefault="009E5A4B" w:rsidP="009E5A4B">
      <w:pPr>
        <w:rPr>
          <w:rFonts w:eastAsia="Times New Roman"/>
          <w:szCs w:val="20"/>
          <w:lang w:val="it-IT" w:eastAsia="it-IT"/>
        </w:rPr>
      </w:pPr>
    </w:p>
    <w:tbl>
      <w:tblPr>
        <w:tblW w:w="0" w:type="auto"/>
        <w:tblLayout w:type="fixed"/>
        <w:tblCellMar>
          <w:left w:w="70" w:type="dxa"/>
          <w:right w:w="70" w:type="dxa"/>
        </w:tblCellMar>
        <w:tblLook w:val="0000" w:firstRow="0" w:lastRow="0" w:firstColumn="0" w:lastColumn="0" w:noHBand="0" w:noVBand="0"/>
      </w:tblPr>
      <w:tblGrid>
        <w:gridCol w:w="1771"/>
        <w:gridCol w:w="7938"/>
      </w:tblGrid>
      <w:tr w:rsidR="009E5A4B" w:rsidRPr="00EC3B27" w:rsidTr="00323184">
        <w:tc>
          <w:tcPr>
            <w:tcW w:w="1771" w:type="dxa"/>
          </w:tcPr>
          <w:p w:rsidR="009E5A4B" w:rsidRPr="00EC3B27" w:rsidRDefault="009E5A4B" w:rsidP="00323184">
            <w:pPr>
              <w:rPr>
                <w:rFonts w:cs="Arial"/>
                <w:b/>
                <w:sz w:val="20"/>
              </w:rPr>
            </w:pPr>
          </w:p>
        </w:tc>
        <w:tc>
          <w:tcPr>
            <w:tcW w:w="7938" w:type="dxa"/>
          </w:tcPr>
          <w:p w:rsidR="009E5A4B" w:rsidRPr="00EC3B27" w:rsidRDefault="009E5A4B" w:rsidP="00323184">
            <w:pPr>
              <w:spacing w:line="360" w:lineRule="auto"/>
              <w:rPr>
                <w:rFonts w:cs="Arial"/>
                <w:b/>
                <w:sz w:val="22"/>
              </w:rPr>
            </w:pPr>
            <w:r w:rsidRPr="00EC3B27">
              <w:rPr>
                <w:rFonts w:cs="Arial"/>
                <w:b/>
                <w:sz w:val="22"/>
              </w:rPr>
              <w:t xml:space="preserve">Introduzione dell'abbreviazione del titolo: </w:t>
            </w:r>
            <w:proofErr w:type="spellStart"/>
            <w:r w:rsidRPr="00EC3B27">
              <w:rPr>
                <w:rFonts w:cs="Arial"/>
                <w:b/>
                <w:sz w:val="22"/>
              </w:rPr>
              <w:t>LDiss</w:t>
            </w:r>
            <w:proofErr w:type="spellEnd"/>
          </w:p>
          <w:p w:rsidR="009E5A4B" w:rsidRPr="00EC3B27" w:rsidRDefault="009E5A4B" w:rsidP="00323184">
            <w:pPr>
              <w:spacing w:line="360" w:lineRule="auto"/>
              <w:rPr>
                <w:rFonts w:cs="Arial"/>
                <w:b/>
                <w:sz w:val="22"/>
              </w:rPr>
            </w:pPr>
            <w:r w:rsidRPr="00EC3B27">
              <w:rPr>
                <w:rFonts w:cs="Arial"/>
                <w:b/>
                <w:sz w:val="22"/>
              </w:rPr>
              <w:t>Art. 4</w:t>
            </w:r>
          </w:p>
          <w:p w:rsidR="009E5A4B" w:rsidRPr="00EC3B27" w:rsidRDefault="009E5A4B" w:rsidP="00323184">
            <w:pPr>
              <w:autoSpaceDE w:val="0"/>
              <w:autoSpaceDN w:val="0"/>
              <w:adjustRightInd w:val="0"/>
              <w:rPr>
                <w:rFonts w:cs="Arial"/>
                <w:sz w:val="22"/>
              </w:rPr>
            </w:pPr>
            <w:r w:rsidRPr="00EC3B27">
              <w:rPr>
                <w:rFonts w:cs="Arial"/>
                <w:sz w:val="22"/>
              </w:rPr>
              <w:t>Il divieto di cui all'articolo 2 non si applica, in particolare, all'uso di copricapi e di mezzi protettivi o difensivi consoni all'esercizio di una funzione pubblica o prescritti dalla legge o da altre norme particolari, per motivi di salute, di sicurezza, professionali o di pratica sportiva, oppure in occasione di feste e manifestazioni religiose, tradizionali, culturali, artistiche, ricreative o commemorative o per usanze locali, o per motivi di carattere politico o commerciale.</w:t>
            </w:r>
          </w:p>
          <w:p w:rsidR="009E5A4B" w:rsidRPr="00EC3B27" w:rsidRDefault="009E5A4B" w:rsidP="00323184">
            <w:pPr>
              <w:rPr>
                <w:rFonts w:cs="Arial"/>
                <w:sz w:val="22"/>
              </w:rPr>
            </w:pPr>
          </w:p>
        </w:tc>
      </w:tr>
    </w:tbl>
    <w:p w:rsidR="009E5A4B" w:rsidRPr="00EC3B27" w:rsidRDefault="009E5A4B" w:rsidP="009E5A4B">
      <w:pPr>
        <w:rPr>
          <w:rFonts w:eastAsia="Times New Roman"/>
          <w:szCs w:val="20"/>
          <w:lang w:val="it-IT" w:eastAsia="it-IT"/>
        </w:rPr>
      </w:pPr>
    </w:p>
    <w:p w:rsidR="009E5A4B" w:rsidRPr="00EC3B27" w:rsidRDefault="009E5A4B" w:rsidP="009E5A4B">
      <w:pPr>
        <w:rPr>
          <w:rFonts w:eastAsia="Times New Roman"/>
          <w:b/>
          <w:szCs w:val="20"/>
          <w:lang w:val="it-IT" w:eastAsia="it-IT"/>
        </w:rPr>
      </w:pPr>
      <w:r w:rsidRPr="00EC3B27">
        <w:rPr>
          <w:rFonts w:eastAsia="Times New Roman"/>
          <w:b/>
          <w:szCs w:val="20"/>
          <w:lang w:val="it-IT" w:eastAsia="it-IT"/>
        </w:rPr>
        <w:t>III</w:t>
      </w:r>
      <w:r>
        <w:rPr>
          <w:rFonts w:eastAsia="Times New Roman"/>
          <w:b/>
          <w:szCs w:val="20"/>
          <w:lang w:val="it-IT" w:eastAsia="it-IT"/>
        </w:rPr>
        <w:t>.</w:t>
      </w:r>
    </w:p>
    <w:p w:rsidR="009E5A4B" w:rsidRDefault="009E5A4B" w:rsidP="009E5A4B">
      <w:pPr>
        <w:spacing w:before="60"/>
        <w:rPr>
          <w:rFonts w:eastAsia="Times New Roman"/>
          <w:szCs w:val="20"/>
          <w:lang w:val="it-IT" w:eastAsia="it-IT"/>
        </w:rPr>
      </w:pPr>
      <w:r w:rsidRPr="00EC3B27">
        <w:rPr>
          <w:rFonts w:eastAsia="Times New Roman"/>
          <w:szCs w:val="20"/>
          <w:vertAlign w:val="superscript"/>
          <w:lang w:val="it-IT" w:eastAsia="it-IT"/>
        </w:rPr>
        <w:t>1</w:t>
      </w:r>
      <w:r w:rsidRPr="00EC3B27">
        <w:rPr>
          <w:rFonts w:eastAsia="Times New Roman"/>
          <w:szCs w:val="20"/>
          <w:lang w:val="it-IT" w:eastAsia="it-IT"/>
        </w:rPr>
        <w:t>Trascorsi i termini per l'esercizio del diritto di referendum, la presente modifica di legge è pubblicata nel Bo</w:t>
      </w:r>
      <w:r>
        <w:rPr>
          <w:rFonts w:eastAsia="Times New Roman"/>
          <w:szCs w:val="20"/>
          <w:lang w:val="it-IT" w:eastAsia="it-IT"/>
        </w:rPr>
        <w:t>llettino ufficiale delle leggi.</w:t>
      </w:r>
    </w:p>
    <w:p w:rsidR="009E5A4B" w:rsidRPr="006B6D5B" w:rsidRDefault="009E5A4B" w:rsidP="009E5A4B">
      <w:pPr>
        <w:spacing w:before="60"/>
        <w:rPr>
          <w:rFonts w:eastAsia="Times New Roman" w:cs="Arial"/>
          <w:lang w:eastAsia="it-IT"/>
        </w:rPr>
      </w:pPr>
      <w:r w:rsidRPr="00EC3B27">
        <w:rPr>
          <w:rFonts w:eastAsia="Times New Roman" w:cs="Arial"/>
          <w:vertAlign w:val="superscript"/>
          <w:lang w:eastAsia="it-IT"/>
        </w:rPr>
        <w:t>2</w:t>
      </w:r>
      <w:r w:rsidRPr="00BA463D">
        <w:rPr>
          <w:rFonts w:eastAsia="Times New Roman" w:cs="Arial"/>
          <w:lang w:eastAsia="it-IT"/>
        </w:rPr>
        <w:t>Il Consiglio di Stato ne fissa l</w:t>
      </w:r>
      <w:r>
        <w:rPr>
          <w:rFonts w:eastAsia="Times New Roman" w:cs="Arial"/>
          <w:lang w:eastAsia="it-IT"/>
        </w:rPr>
        <w:t>'</w:t>
      </w:r>
      <w:r w:rsidRPr="00BA463D">
        <w:rPr>
          <w:rFonts w:eastAsia="Times New Roman" w:cs="Arial"/>
          <w:lang w:eastAsia="it-IT"/>
        </w:rPr>
        <w:t>entrata in vigore.</w:t>
      </w:r>
    </w:p>
    <w:p w:rsidR="00B860C2" w:rsidRDefault="00B860C2" w:rsidP="00B860C2"/>
    <w:bookmarkEnd w:id="1"/>
    <w:sectPr w:rsid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67CE9" w:rsidRPr="00A67CE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E18423D"/>
    <w:multiLevelType w:val="hybridMultilevel"/>
    <w:tmpl w:val="E10E8F50"/>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C4A19"/>
    <w:rsid w:val="00260C8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9E5A4B"/>
    <w:rsid w:val="00A5465F"/>
    <w:rsid w:val="00A67CE9"/>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Corpo">
    <w:name w:val="Corpo"/>
    <w:rsid w:val="009E5A4B"/>
    <w:pPr>
      <w:pBdr>
        <w:top w:val="nil"/>
        <w:left w:val="nil"/>
        <w:bottom w:val="nil"/>
        <w:right w:val="nil"/>
        <w:between w:val="nil"/>
        <w:bar w:val="nil"/>
      </w:pBdr>
      <w:jc w:val="left"/>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Didefault">
    <w:name w:val="Di default"/>
    <w:rsid w:val="009E5A4B"/>
    <w:pPr>
      <w:pBdr>
        <w:top w:val="nil"/>
        <w:left w:val="nil"/>
        <w:bottom w:val="nil"/>
        <w:right w:val="nil"/>
        <w:between w:val="nil"/>
        <w:bar w:val="nil"/>
      </w:pBdr>
      <w:jc w:val="left"/>
    </w:pPr>
    <w:rPr>
      <w:rFonts w:ascii="Helvetica Neue" w:eastAsia="Helvetica Neue" w:hAnsi="Helvetica Neue" w:cs="Helvetica Neue"/>
      <w:color w:val="000000"/>
      <w:bdr w:val="nil"/>
      <w:lang w:eastAsia="it-IT"/>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Corpo">
    <w:name w:val="Corpo"/>
    <w:rsid w:val="009E5A4B"/>
    <w:pPr>
      <w:pBdr>
        <w:top w:val="nil"/>
        <w:left w:val="nil"/>
        <w:bottom w:val="nil"/>
        <w:right w:val="nil"/>
        <w:between w:val="nil"/>
        <w:bar w:val="nil"/>
      </w:pBdr>
      <w:jc w:val="left"/>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Didefault">
    <w:name w:val="Di default"/>
    <w:rsid w:val="009E5A4B"/>
    <w:pPr>
      <w:pBdr>
        <w:top w:val="nil"/>
        <w:left w:val="nil"/>
        <w:bottom w:val="nil"/>
        <w:right w:val="nil"/>
        <w:between w:val="nil"/>
        <w:bar w:val="nil"/>
      </w:pBdr>
      <w:jc w:val="left"/>
    </w:pPr>
    <w:rPr>
      <w:rFonts w:ascii="Helvetica Neue" w:eastAsia="Helvetica Neue" w:hAnsi="Helvetica Neue" w:cs="Helvetica Neue"/>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le24o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D9F6-B096-4A39-8E5C-3E3FBF32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2019-09-04T09:49:00Z</cp:lastPrinted>
  <dcterms:created xsi:type="dcterms:W3CDTF">2019-09-04T09:49:00Z</dcterms:created>
  <dcterms:modified xsi:type="dcterms:W3CDTF">2019-09-04T09:49:00Z</dcterms:modified>
</cp:coreProperties>
</file>