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CA2F6E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CA2F6E">
        <w:rPr>
          <w:rFonts w:ascii="Gill Sans MT" w:hAnsi="Gill Sans MT"/>
          <w:b/>
          <w:sz w:val="56"/>
          <w:szCs w:val="56"/>
        </w:rPr>
        <w:t>Rapporto</w:t>
      </w:r>
      <w:r w:rsidRPr="00CA2F6E">
        <w:rPr>
          <w:rFonts w:ascii="Gill Sans MT" w:hAnsi="Gill Sans MT"/>
          <w:b/>
          <w:sz w:val="56"/>
          <w:szCs w:val="56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160AAB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7442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F242E5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17 giugno 2019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981570" w:rsidRPr="003F1B6C" w:rsidRDefault="00981570" w:rsidP="00981570">
      <w:pPr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 xml:space="preserve">della Commissione </w:t>
      </w:r>
      <w:r>
        <w:rPr>
          <w:b/>
          <w:snapToGrid w:val="0"/>
          <w:sz w:val="28"/>
          <w:szCs w:val="28"/>
        </w:rPr>
        <w:t>giustizia e diritti</w:t>
      </w:r>
    </w:p>
    <w:p w:rsidR="00981570" w:rsidRPr="003B08FC" w:rsidRDefault="00981570" w:rsidP="00981570">
      <w:pPr>
        <w:rPr>
          <w:b/>
          <w:sz w:val="28"/>
          <w:szCs w:val="28"/>
        </w:rPr>
      </w:pPr>
      <w:r w:rsidRPr="003B08FC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 xml:space="preserve">ll'iniziativa popolare </w:t>
      </w:r>
      <w:r w:rsidR="006B0424">
        <w:rPr>
          <w:b/>
          <w:sz w:val="28"/>
          <w:szCs w:val="28"/>
        </w:rPr>
        <w:t xml:space="preserve">legislativa </w:t>
      </w:r>
      <w:r>
        <w:rPr>
          <w:b/>
          <w:sz w:val="28"/>
          <w:szCs w:val="28"/>
        </w:rPr>
        <w:t>elaborata del 22 marzo 2016</w:t>
      </w:r>
      <w:r w:rsidR="001E3A45">
        <w:rPr>
          <w:b/>
          <w:sz w:val="28"/>
          <w:szCs w:val="28"/>
        </w:rPr>
        <w:t xml:space="preserve"> denominata</w:t>
      </w:r>
      <w:r w:rsidRPr="003B0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1E3A45">
        <w:rPr>
          <w:b/>
          <w:i/>
          <w:sz w:val="28"/>
          <w:szCs w:val="28"/>
        </w:rPr>
        <w:t>Le vittime di aggressioni non devono pagare i costi di una legittima difesa</w:t>
      </w:r>
      <w:r w:rsidRPr="001E3A45">
        <w:rPr>
          <w:b/>
          <w:sz w:val="28"/>
          <w:szCs w:val="28"/>
        </w:rPr>
        <w:t>”</w:t>
      </w:r>
    </w:p>
    <w:p w:rsidR="00981570" w:rsidRPr="00981570" w:rsidRDefault="00981570" w:rsidP="00981570">
      <w:pPr>
        <w:spacing w:before="100"/>
        <w:rPr>
          <w:b/>
          <w:sz w:val="26"/>
          <w:szCs w:val="26"/>
        </w:rPr>
      </w:pPr>
      <w:r w:rsidRPr="00981570">
        <w:rPr>
          <w:b/>
          <w:sz w:val="26"/>
          <w:szCs w:val="26"/>
        </w:rPr>
        <w:t>(v. messaggio 11 ottobre 2017 n. 7442)</w:t>
      </w: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160AAB" w:rsidRDefault="00160AAB" w:rsidP="00160AAB">
      <w:r>
        <w:t xml:space="preserve">L'iniziativa popolare, che ha raccolto 9'248 firme, è stata presentata il 22 marzo 2016; essa chiede l'adozione di una nuova legge cantonale denominata </w:t>
      </w:r>
      <w:r w:rsidRPr="00761274">
        <w:rPr>
          <w:i/>
        </w:rPr>
        <w:t>Legge sul rimborso spese per i procedimenti connessi alla legittima difesa</w:t>
      </w:r>
      <w:r>
        <w:t>.</w:t>
      </w:r>
    </w:p>
    <w:p w:rsidR="00160AAB" w:rsidRDefault="00160AAB" w:rsidP="00160AAB"/>
    <w:p w:rsidR="00160AAB" w:rsidRDefault="00160AAB" w:rsidP="00160AAB">
      <w:r>
        <w:t>I suoi promotori prendono spunto da un caso di autodifesa del 2005 avvenuto a Brissago dove una persona, per fronteggiare l'aggressione di un rapinatore, lo ha ucciso. La vittima dell'aggressione è stata processata e poi assolta e, secondo il primo firmatario Giorgio Ghiringhelli, ha dovuto far fronte a elevati costi legali.</w:t>
      </w:r>
    </w:p>
    <w:p w:rsidR="00160AAB" w:rsidRDefault="00160AAB" w:rsidP="00160AAB"/>
    <w:p w:rsidR="00160AAB" w:rsidRPr="005704CC" w:rsidRDefault="00160AAB" w:rsidP="00160AAB">
      <w:pPr>
        <w:ind w:right="-1"/>
        <w:rPr>
          <w:szCs w:val="24"/>
        </w:rPr>
      </w:pPr>
      <w:r>
        <w:t>L'iniziativa nasce anche dalla preoccupazione per l'aumento della violenza utilizzata dai delinquenti che penetrano, a scopo di rapina, in abitazioni private e negli appartamenti come succede spesso nella vicina penisola.</w:t>
      </w:r>
    </w:p>
    <w:p w:rsidR="00160AAB" w:rsidRPr="00B91001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 w:val="20"/>
          <w:szCs w:val="20"/>
        </w:rPr>
      </w:pPr>
    </w:p>
    <w:p w:rsidR="00B91001" w:rsidRPr="00B91001" w:rsidRDefault="00B91001" w:rsidP="00160AAB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 w:val="20"/>
          <w:szCs w:val="20"/>
        </w:rPr>
      </w:pPr>
    </w:p>
    <w:p w:rsidR="00160AAB" w:rsidRPr="00B91001" w:rsidRDefault="00160AAB" w:rsidP="00160AAB">
      <w:pPr>
        <w:ind w:right="-1"/>
        <w:rPr>
          <w:sz w:val="20"/>
          <w:szCs w:val="20"/>
        </w:rPr>
      </w:pPr>
    </w:p>
    <w:p w:rsidR="00160AAB" w:rsidRPr="00665149" w:rsidRDefault="00160AAB" w:rsidP="001E3A45">
      <w:pPr>
        <w:tabs>
          <w:tab w:val="left" w:pos="567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il testo dell'iniziativa</w:t>
      </w:r>
    </w:p>
    <w:p w:rsidR="00160AAB" w:rsidRPr="00B91001" w:rsidRDefault="00160AAB" w:rsidP="00160AAB">
      <w:pPr>
        <w:ind w:left="567" w:right="567"/>
        <w:rPr>
          <w:b/>
          <w:i/>
          <w:sz w:val="22"/>
        </w:rPr>
      </w:pPr>
      <w:r w:rsidRPr="00B91001">
        <w:rPr>
          <w:b/>
          <w:i/>
          <w:sz w:val="22"/>
        </w:rPr>
        <w:t>Art. 1</w:t>
      </w:r>
    </w:p>
    <w:p w:rsidR="00160AAB" w:rsidRPr="00B91001" w:rsidRDefault="00160AAB" w:rsidP="00160AAB">
      <w:pPr>
        <w:spacing w:before="120"/>
        <w:ind w:left="567" w:right="567"/>
        <w:rPr>
          <w:i/>
          <w:sz w:val="22"/>
        </w:rPr>
      </w:pPr>
      <w:r w:rsidRPr="00B91001">
        <w:rPr>
          <w:i/>
          <w:sz w:val="22"/>
        </w:rPr>
        <w:t xml:space="preserve">Il Cantone ad ogni persona residente in Ticino che è stata assolta o contro cui il procedimento nei suoi confronti è stato abbandonato da un'autorità penale svizzera per i reati commessi in stato di legittima difesa, in stato di necessità o </w:t>
      </w:r>
      <w:r w:rsidR="00B91001" w:rsidRPr="00B91001">
        <w:rPr>
          <w:i/>
          <w:sz w:val="22"/>
        </w:rPr>
        <w:t>più</w:t>
      </w:r>
      <w:r w:rsidRPr="00B91001">
        <w:rPr>
          <w:i/>
          <w:sz w:val="22"/>
        </w:rPr>
        <w:t xml:space="preserve"> in generale per essere stata indotta dalle circostanze a commettere un'azione per respingere un'aggressione ingiusta o la minaccia di un'aggressione imminente fatta a sé o ad altri, rimborsa a tariffa piena l'integralità di tutte le spese procedurali, i disborsi e le spese per la difesa di fiducia causati dalla procedura dinnanzi alle autorità di perseguimento penale, alle autorità giudicanti penali, e al Tribunale federale, ivi comprese le procedure per i casi </w:t>
      </w:r>
      <w:proofErr w:type="spellStart"/>
      <w:r w:rsidRPr="00B91001">
        <w:rPr>
          <w:i/>
          <w:sz w:val="22"/>
        </w:rPr>
        <w:t>bagatellari</w:t>
      </w:r>
      <w:proofErr w:type="spellEnd"/>
      <w:r w:rsidRPr="00B91001">
        <w:rPr>
          <w:i/>
          <w:sz w:val="22"/>
        </w:rPr>
        <w:t xml:space="preserve"> e per i casi semplici.</w:t>
      </w:r>
    </w:p>
    <w:p w:rsidR="00160AAB" w:rsidRPr="00B91001" w:rsidRDefault="00160AAB" w:rsidP="00160AAB">
      <w:pPr>
        <w:ind w:left="567" w:right="567"/>
        <w:rPr>
          <w:i/>
          <w:sz w:val="22"/>
        </w:rPr>
      </w:pPr>
    </w:p>
    <w:p w:rsidR="00160AAB" w:rsidRPr="00B91001" w:rsidRDefault="00160AAB" w:rsidP="00160AAB">
      <w:pPr>
        <w:ind w:left="567" w:right="567"/>
        <w:rPr>
          <w:b/>
          <w:i/>
          <w:sz w:val="22"/>
        </w:rPr>
      </w:pPr>
      <w:r w:rsidRPr="00B91001">
        <w:rPr>
          <w:b/>
          <w:i/>
          <w:sz w:val="22"/>
        </w:rPr>
        <w:t>Art. 2</w:t>
      </w:r>
    </w:p>
    <w:p w:rsidR="00160AAB" w:rsidRPr="00B91001" w:rsidRDefault="00160AAB" w:rsidP="00160AAB">
      <w:pPr>
        <w:spacing w:before="120"/>
        <w:ind w:left="567" w:right="567"/>
        <w:rPr>
          <w:i/>
          <w:sz w:val="22"/>
        </w:rPr>
      </w:pPr>
      <w:r w:rsidRPr="00B91001">
        <w:rPr>
          <w:i/>
          <w:sz w:val="22"/>
          <w:vertAlign w:val="superscript"/>
        </w:rPr>
        <w:t>1</w:t>
      </w:r>
      <w:r w:rsidRPr="00B91001">
        <w:rPr>
          <w:i/>
          <w:sz w:val="22"/>
        </w:rPr>
        <w:t>Se il Gran Consiglio accoglie l'iniziativa popolare, scaduti i termini per l'esercizio del diritto di referendum, la presente legge entra in vigore immediatamente.</w:t>
      </w:r>
    </w:p>
    <w:p w:rsidR="00160AAB" w:rsidRPr="00B91001" w:rsidRDefault="00160AAB" w:rsidP="00160AAB">
      <w:pPr>
        <w:spacing w:before="120"/>
        <w:ind w:left="567" w:right="567"/>
        <w:rPr>
          <w:i/>
          <w:sz w:val="22"/>
        </w:rPr>
      </w:pPr>
      <w:r w:rsidRPr="00B91001">
        <w:rPr>
          <w:i/>
          <w:sz w:val="22"/>
          <w:vertAlign w:val="superscript"/>
        </w:rPr>
        <w:t>2</w:t>
      </w:r>
      <w:r w:rsidRPr="00B91001">
        <w:rPr>
          <w:i/>
          <w:sz w:val="22"/>
        </w:rPr>
        <w:t xml:space="preserve">Se il Gran Consiglio respinge l'iniziativa popolare o se l'accetta, ma è lanciato un referendum popolare, la presente legge entra in vigore il giorno stesso </w:t>
      </w:r>
      <w:r w:rsidR="006B0424" w:rsidRPr="00B91001">
        <w:rPr>
          <w:i/>
          <w:sz w:val="22"/>
        </w:rPr>
        <w:t>i</w:t>
      </w:r>
      <w:r w:rsidRPr="00B91001">
        <w:rPr>
          <w:i/>
          <w:sz w:val="22"/>
        </w:rPr>
        <w:t>n cui è accettata dal Popolo.</w:t>
      </w:r>
    </w:p>
    <w:p w:rsidR="00160AAB" w:rsidRPr="00761274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981570" w:rsidRDefault="00981570">
      <w:pPr>
        <w:rPr>
          <w:rFonts w:ascii="Arial Grassetto" w:eastAsia="MS Mincho" w:hAnsi="Arial Grassetto" w:cs="Arial" w:hint="eastAsia"/>
          <w:b/>
          <w:caps/>
          <w:szCs w:val="24"/>
        </w:rPr>
      </w:pPr>
      <w:r>
        <w:rPr>
          <w:rFonts w:ascii="Arial Grassetto" w:eastAsia="MS Mincho" w:hAnsi="Arial Grassetto" w:cs="Arial" w:hint="eastAsia"/>
          <w:b/>
          <w:caps/>
          <w:szCs w:val="24"/>
        </w:rPr>
        <w:br w:type="page"/>
      </w:r>
    </w:p>
    <w:p w:rsidR="00160AAB" w:rsidRDefault="00160AAB" w:rsidP="001E3A45">
      <w:pPr>
        <w:tabs>
          <w:tab w:val="left" w:pos="567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lastRenderedPageBreak/>
        <w:t>I</w:t>
      </w: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il messaggio del consiglio di stato</w:t>
      </w:r>
    </w:p>
    <w:p w:rsidR="00160AAB" w:rsidRDefault="00160AAB" w:rsidP="00160AAB">
      <w:r>
        <w:t xml:space="preserve">Il Governo sottolinea come le attuali disposizioni del Codice di procedura penale contemplino già la questione sollevata dall'iniziativa popolare. Infatti l'art. 426 cpv. 2 CPP prevede l'esclusione del carico delle spese procedurali all'imputato in caso di abbandono del procedimento o di assoluzione. Inoltre l'imputato assolto ha diritto a un'indennità per le spese sostenute ai fini di un adeguato esercizio dei suoi diritti procedurali e anche a un'indennità per il danno economico risultante dalla partecipazione necessaria al procedimento penale (art. 429 CPP). È </w:t>
      </w:r>
      <w:r w:rsidR="006B0424">
        <w:t>altresì</w:t>
      </w:r>
      <w:r>
        <w:t xml:space="preserve"> prevista una riparazione del torto morale per lesioni particolarmente gravi dei suoi interessi personali, segnatamente in caso di privazione della libertà.</w:t>
      </w:r>
    </w:p>
    <w:p w:rsidR="00160AAB" w:rsidRDefault="00160AAB" w:rsidP="00160AAB"/>
    <w:p w:rsidR="00160AAB" w:rsidRDefault="00160AAB" w:rsidP="00160AAB">
      <w:r>
        <w:t xml:space="preserve">Il Consiglio di Stato precisa che la legislazione federale vigente è </w:t>
      </w:r>
      <w:r w:rsidR="00B91001">
        <w:t>più</w:t>
      </w:r>
      <w:r>
        <w:t xml:space="preserve"> ampia dell'iniziativa che, contrariamente all'art. 429 CPP, non prevede la copertura del torto morale e del danno economico subito dalla persona assolta.</w:t>
      </w:r>
    </w:p>
    <w:p w:rsidR="00160AAB" w:rsidRDefault="00160AAB" w:rsidP="00160AAB"/>
    <w:p w:rsidR="00160AAB" w:rsidRDefault="00160AAB" w:rsidP="00160AAB">
      <w:r>
        <w:t>Le persone con una situazione finanziaria precaria possono in ogni caso far capo all'assistenza giudiziaria per le spese legali.</w:t>
      </w:r>
    </w:p>
    <w:p w:rsidR="00160AAB" w:rsidRDefault="00160AAB" w:rsidP="00160AAB"/>
    <w:p w:rsidR="00160AAB" w:rsidRDefault="00160AAB" w:rsidP="00160AAB">
      <w:r>
        <w:t>In sostanza il sistema vigente garantisce già a tutti i cittadini l'accessibilità della giustizia.</w:t>
      </w:r>
    </w:p>
    <w:p w:rsidR="00160AAB" w:rsidRDefault="00160AAB" w:rsidP="00160AAB"/>
    <w:p w:rsidR="00160AAB" w:rsidRDefault="00160AAB" w:rsidP="00160AAB">
      <w:r>
        <w:t>Secondo il Governo l'iniziativa potrebbe far nascere la falsa credenza che difendendosi da sé, andando magari oltre la proporzionalità dell'autodifesa, si sarebbe tutelati dallo Stato, inducendo peraltro le persone a commettere un eccesso di legittima difesa.</w:t>
      </w:r>
    </w:p>
    <w:p w:rsidR="00160AAB" w:rsidRDefault="00160AAB" w:rsidP="00160AAB"/>
    <w:p w:rsidR="00160AAB" w:rsidRPr="008C4B1A" w:rsidRDefault="00160AAB" w:rsidP="00160AAB">
      <w:pPr>
        <w:ind w:right="-1"/>
        <w:rPr>
          <w:szCs w:val="24"/>
        </w:rPr>
      </w:pPr>
      <w:r>
        <w:t>Il Consiglio di Stato invita il Parlamento a non voler accettare l'iniziativa.</w:t>
      </w:r>
    </w:p>
    <w:p w:rsidR="00160AAB" w:rsidRPr="004D78B1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160AAB" w:rsidRDefault="00160AAB" w:rsidP="00160AAB">
      <w:pPr>
        <w:ind w:right="-1"/>
        <w:rPr>
          <w:szCs w:val="24"/>
        </w:rPr>
      </w:pPr>
    </w:p>
    <w:p w:rsidR="00981570" w:rsidRPr="004D78B1" w:rsidRDefault="00981570" w:rsidP="00160AAB">
      <w:pPr>
        <w:ind w:right="-1"/>
        <w:rPr>
          <w:szCs w:val="24"/>
        </w:rPr>
      </w:pPr>
    </w:p>
    <w:p w:rsidR="00160AAB" w:rsidRDefault="00160AAB" w:rsidP="001E3A45">
      <w:pPr>
        <w:tabs>
          <w:tab w:val="left" w:pos="567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iii.</w:t>
      </w:r>
      <w:r>
        <w:rPr>
          <w:rFonts w:ascii="Arial Grassetto" w:eastAsia="MS Mincho" w:hAnsi="Arial Grassetto" w:cs="Arial"/>
          <w:b/>
          <w:caps/>
          <w:szCs w:val="24"/>
        </w:rPr>
        <w:tab/>
        <w:t xml:space="preserve">il rapporto di </w:t>
      </w:r>
      <w:r w:rsidR="00981570" w:rsidRPr="00981570">
        <w:rPr>
          <w:b/>
        </w:rPr>
        <w:t>MINORANZA</w:t>
      </w:r>
    </w:p>
    <w:p w:rsidR="00160AAB" w:rsidRDefault="00160AAB" w:rsidP="00160AAB">
      <w:r>
        <w:t xml:space="preserve">La collega Sabrina Aldi ha </w:t>
      </w:r>
      <w:r w:rsidR="00981570">
        <w:t>sottopost</w:t>
      </w:r>
      <w:r w:rsidR="006B0424">
        <w:t>o</w:t>
      </w:r>
      <w:r w:rsidR="00981570">
        <w:t xml:space="preserve"> alla commissione </w:t>
      </w:r>
      <w:r>
        <w:t>il rapporto che propone di respingere l'iniziativa perché il testo presenta una serie di lacune sia dal profilo della tecnica legislativa sia della formulazione. Infatti</w:t>
      </w:r>
      <w:r w:rsidR="00981570">
        <w:t>,</w:t>
      </w:r>
      <w:r>
        <w:t xml:space="preserve"> essa enuncia quanto auspicato dai fautori (ossia ottenere il rimborso dell'integralità di tutte le spese procedurali, i disborsi e le spese per la difesa di fiducia), ma non definisce i dettagli essenziali e utili alla sua attuazione (ovvero termini e modalità per ottenere il rimborso, le autorità competenti, la procedura applicabile e le autorità di ricorso).</w:t>
      </w:r>
    </w:p>
    <w:p w:rsidR="00160AAB" w:rsidRDefault="00160AAB" w:rsidP="00160AAB"/>
    <w:p w:rsidR="00160AAB" w:rsidRDefault="00160AAB" w:rsidP="00160AAB">
      <w:r>
        <w:t>Il testo proposto dall'iniziativa popolare prevede un rimborso integrale, che è applicabile però soltanto in caso di assoluzione o abbandono del procedimento, e cumulativamente in presenza di una legittima difesa.</w:t>
      </w:r>
    </w:p>
    <w:p w:rsidR="00160AAB" w:rsidRDefault="00160AAB" w:rsidP="00160AAB"/>
    <w:p w:rsidR="00160AAB" w:rsidRDefault="00160AAB" w:rsidP="00160AAB">
      <w:r>
        <w:t>Questo significa che in caso di eccesso di legittima difesa, la quale comporta soltanto una riduzione della pena, ma non un proscioglimento, il rimborso previsto dall'iniziativa non entra in considerazione.</w:t>
      </w:r>
    </w:p>
    <w:p w:rsidR="00160AAB" w:rsidRDefault="00160AAB" w:rsidP="00160AAB"/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</w:pPr>
      <w:r>
        <w:t>È stato quindi elaborato un controprogetto che propone una sorta di fattore di correzione, il quale darebbe all'autorità competente la possibilità di stabilire un freno all'indennizzo integrale delle spese.</w:t>
      </w:r>
    </w:p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</w:pPr>
    </w:p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</w:pPr>
    </w:p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</w:pPr>
    </w:p>
    <w:p w:rsidR="006B0424" w:rsidRDefault="006B0424">
      <w:pPr>
        <w:rPr>
          <w:b/>
        </w:rPr>
      </w:pPr>
      <w:r>
        <w:rPr>
          <w:b/>
        </w:rPr>
        <w:br w:type="page"/>
      </w:r>
    </w:p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b/>
        </w:rPr>
      </w:pPr>
      <w:r w:rsidRPr="00761274">
        <w:rPr>
          <w:b/>
        </w:rPr>
        <w:lastRenderedPageBreak/>
        <w:t>Controprogetto</w:t>
      </w:r>
    </w:p>
    <w:p w:rsidR="00981570" w:rsidRPr="00761274" w:rsidRDefault="00981570" w:rsidP="00160AAB">
      <w:pPr>
        <w:tabs>
          <w:tab w:val="left" w:pos="284"/>
          <w:tab w:val="left" w:pos="426"/>
          <w:tab w:val="left" w:pos="4962"/>
        </w:tabs>
        <w:ind w:right="-1"/>
        <w:rPr>
          <w:b/>
        </w:rPr>
      </w:pPr>
    </w:p>
    <w:p w:rsidR="00160AAB" w:rsidRPr="006B0424" w:rsidRDefault="00160AAB" w:rsidP="00160AAB">
      <w:pPr>
        <w:rPr>
          <w:rFonts w:eastAsia="Calibri" w:cs="Arial"/>
          <w:b/>
          <w:sz w:val="22"/>
        </w:rPr>
      </w:pPr>
      <w:r w:rsidRPr="006B0424">
        <w:rPr>
          <w:rFonts w:eastAsia="Calibri" w:cs="Arial"/>
          <w:b/>
          <w:sz w:val="22"/>
        </w:rPr>
        <w:t>Legge concernente il rimborso delle spese di patrocinio in caso di legittima difesa</w:t>
      </w:r>
    </w:p>
    <w:p w:rsidR="00160AAB" w:rsidRPr="006B0424" w:rsidRDefault="00160AAB" w:rsidP="00160AAB">
      <w:pPr>
        <w:rPr>
          <w:rFonts w:eastAsia="Calibri" w:cs="Arial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160AAB" w:rsidRPr="00EA3F97" w:rsidTr="000E5C32">
        <w:tc>
          <w:tcPr>
            <w:tcW w:w="2197" w:type="dxa"/>
          </w:tcPr>
          <w:p w:rsidR="00160AAB" w:rsidRPr="00EA3F97" w:rsidRDefault="00160AAB" w:rsidP="000E5C32">
            <w:pPr>
              <w:rPr>
                <w:rFonts w:eastAsia="Calibri" w:cs="Arial"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  <w:r w:rsidRPr="00EA3F97">
              <w:rPr>
                <w:rFonts w:eastAsia="Calibri" w:cs="Arial"/>
                <w:b/>
                <w:sz w:val="20"/>
              </w:rPr>
              <w:t>Pretese</w:t>
            </w:r>
          </w:p>
        </w:tc>
        <w:tc>
          <w:tcPr>
            <w:tcW w:w="7654" w:type="dxa"/>
          </w:tcPr>
          <w:p w:rsidR="00160AAB" w:rsidRPr="006B0424" w:rsidRDefault="00160AAB" w:rsidP="000E5C32">
            <w:pPr>
              <w:spacing w:line="360" w:lineRule="auto"/>
              <w:rPr>
                <w:rFonts w:eastAsia="Calibri" w:cs="Arial"/>
                <w:b/>
                <w:sz w:val="22"/>
                <w:u w:val="single"/>
              </w:rPr>
            </w:pPr>
            <w:r w:rsidRPr="006B0424">
              <w:rPr>
                <w:rFonts w:eastAsia="Calibri" w:cs="Arial"/>
                <w:b/>
                <w:sz w:val="22"/>
                <w:u w:val="single"/>
              </w:rPr>
              <w:t>Art. 1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</w:rPr>
            </w:pPr>
            <w:r w:rsidRPr="006B0424">
              <w:rPr>
                <w:rFonts w:eastAsia="Calibri" w:cs="Arial"/>
                <w:sz w:val="22"/>
                <w:vertAlign w:val="superscript"/>
              </w:rPr>
              <w:t>1</w:t>
            </w:r>
            <w:r w:rsidRPr="006B0424">
              <w:rPr>
                <w:rFonts w:eastAsia="Calibri" w:cs="Arial"/>
                <w:sz w:val="22"/>
              </w:rPr>
              <w:t xml:space="preserve">Se per legittima difesa, stato di necessità o </w:t>
            </w:r>
            <w:r w:rsidR="00B91001" w:rsidRPr="006B0424">
              <w:rPr>
                <w:rFonts w:eastAsia="Calibri" w:cs="Arial"/>
                <w:sz w:val="22"/>
              </w:rPr>
              <w:t>più</w:t>
            </w:r>
            <w:r w:rsidRPr="006B0424">
              <w:rPr>
                <w:rFonts w:eastAsia="Calibri" w:cs="Arial"/>
                <w:sz w:val="22"/>
              </w:rPr>
              <w:t xml:space="preserve"> in generale per essere stato indotto dalle circostanze a commettere un'azione per respingere un'aggressione ingiusta o la minaccia di un'aggressione imminente fatta a sé o ad altri, è assolto o se il procedimento nei suoi confronti è stato abbandonato, l'imputato ha diritto a un indennizzo che copra integralmente e a tariffa piena le spese sostenute ai fini dei suoi diritti procedurali.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</w:rPr>
            </w:pPr>
            <w:r w:rsidRPr="006B0424">
              <w:rPr>
                <w:rFonts w:eastAsia="Calibri" w:cs="Arial"/>
                <w:sz w:val="22"/>
                <w:vertAlign w:val="superscript"/>
              </w:rPr>
              <w:t>2</w:t>
            </w:r>
            <w:r w:rsidRPr="006B0424">
              <w:rPr>
                <w:rFonts w:eastAsia="Calibri" w:cs="Arial"/>
                <w:sz w:val="22"/>
              </w:rPr>
              <w:t xml:space="preserve">L'indennizzo comprende l'integralità di tutte le spese procedurali, i disborsi e le spese per la difesa di fiducia causati dalla procedura dinnanzi alle autorità di perseguimento penale, alle autorità giudicanti penali e al Tribunale federale, ivi comprese le procedure per i casi </w:t>
            </w:r>
            <w:proofErr w:type="spellStart"/>
            <w:r w:rsidRPr="006B0424">
              <w:rPr>
                <w:rFonts w:eastAsia="Calibri" w:cs="Arial"/>
                <w:sz w:val="22"/>
              </w:rPr>
              <w:t>bagatellari</w:t>
            </w:r>
            <w:proofErr w:type="spellEnd"/>
            <w:r w:rsidRPr="006B0424">
              <w:rPr>
                <w:rFonts w:eastAsia="Calibri" w:cs="Arial"/>
                <w:sz w:val="22"/>
              </w:rPr>
              <w:t xml:space="preserve"> e per i casi semplici.</w:t>
            </w:r>
          </w:p>
          <w:p w:rsidR="00160AAB" w:rsidRPr="006B0424" w:rsidRDefault="00160AAB" w:rsidP="000E5C32">
            <w:pPr>
              <w:rPr>
                <w:rFonts w:eastAsia="Calibri" w:cs="Arial"/>
                <w:sz w:val="20"/>
                <w:szCs w:val="20"/>
              </w:rPr>
            </w:pPr>
          </w:p>
          <w:p w:rsidR="00160AAB" w:rsidRPr="006B0424" w:rsidRDefault="00160AAB" w:rsidP="000E5C3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160AAB" w:rsidRPr="00EA3F97" w:rsidTr="000E5C32">
        <w:tc>
          <w:tcPr>
            <w:tcW w:w="2197" w:type="dxa"/>
          </w:tcPr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0"/>
              </w:rPr>
            </w:pPr>
            <w:r w:rsidRPr="00EA3F97">
              <w:rPr>
                <w:rFonts w:eastAsia="Calibri" w:cs="Arial"/>
                <w:b/>
                <w:bCs/>
                <w:sz w:val="20"/>
              </w:rPr>
              <w:t>Riduzione dell</w:t>
            </w:r>
            <w:r>
              <w:rPr>
                <w:rFonts w:eastAsia="Calibri" w:cs="Arial"/>
                <w:b/>
                <w:bCs/>
                <w:sz w:val="20"/>
              </w:rPr>
              <w:t>'</w:t>
            </w:r>
            <w:r w:rsidRPr="00EA3F97">
              <w:rPr>
                <w:rFonts w:eastAsia="Calibri" w:cs="Arial"/>
                <w:b/>
                <w:bCs/>
                <w:sz w:val="20"/>
              </w:rPr>
              <w:t>indennizzo</w:t>
            </w: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654" w:type="dxa"/>
          </w:tcPr>
          <w:p w:rsidR="00160AAB" w:rsidRPr="006B0424" w:rsidRDefault="00160AAB" w:rsidP="000E5C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2"/>
                <w:u w:val="single"/>
              </w:rPr>
            </w:pPr>
            <w:r w:rsidRPr="006B0424">
              <w:rPr>
                <w:rFonts w:eastAsia="Calibri" w:cs="Arial"/>
                <w:b/>
                <w:bCs/>
                <w:sz w:val="22"/>
                <w:u w:val="single"/>
              </w:rPr>
              <w:t>Art. 2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</w:rPr>
              <w:t>L'autorità penale può ridurre l'indennizzo:</w:t>
            </w:r>
          </w:p>
          <w:p w:rsidR="00160AAB" w:rsidRPr="006B0424" w:rsidRDefault="00160AAB" w:rsidP="006B0424">
            <w:pPr>
              <w:autoSpaceDE w:val="0"/>
              <w:autoSpaceDN w:val="0"/>
              <w:adjustRightInd w:val="0"/>
              <w:spacing w:before="40"/>
              <w:ind w:left="454" w:hanging="454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</w:rPr>
              <w:t>a)</w:t>
            </w:r>
            <w:r w:rsidRPr="006B0424">
              <w:rPr>
                <w:rFonts w:eastAsia="Calibri" w:cs="Arial"/>
                <w:bCs/>
                <w:sz w:val="22"/>
              </w:rPr>
              <w:tab/>
              <w:t>se la pretesa dell'imputato risulta manifestamente eccessiva o abusiva;</w:t>
            </w:r>
          </w:p>
          <w:p w:rsidR="00160AAB" w:rsidRPr="006B0424" w:rsidRDefault="00160AAB" w:rsidP="006B0424">
            <w:pPr>
              <w:autoSpaceDE w:val="0"/>
              <w:autoSpaceDN w:val="0"/>
              <w:adjustRightInd w:val="0"/>
              <w:spacing w:before="40"/>
              <w:ind w:left="454" w:hanging="454"/>
              <w:rPr>
                <w:rFonts w:eastAsia="Calibri" w:cs="Arial"/>
                <w:b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</w:rPr>
              <w:t>b)</w:t>
            </w:r>
            <w:r w:rsidRPr="006B0424">
              <w:rPr>
                <w:rFonts w:eastAsia="Calibri" w:cs="Arial"/>
                <w:bCs/>
                <w:sz w:val="22"/>
              </w:rPr>
              <w:tab/>
              <w:t>l'imputato ha provocato in modo illecito e colpevole l'apertura del procedimento penale o ne ha ostacolato lo svolgimento.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  <w:p w:rsidR="00160AAB" w:rsidRPr="006B0424" w:rsidRDefault="00160AAB" w:rsidP="000E5C3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0AAB" w:rsidRPr="00EA3F97" w:rsidTr="000E5C32">
        <w:tc>
          <w:tcPr>
            <w:tcW w:w="2197" w:type="dxa"/>
          </w:tcPr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  <w:r w:rsidRPr="00EA3F97">
              <w:rPr>
                <w:rFonts w:eastAsia="Calibri" w:cs="Arial"/>
                <w:b/>
                <w:sz w:val="20"/>
              </w:rPr>
              <w:t>Procedura</w:t>
            </w:r>
          </w:p>
        </w:tc>
        <w:tc>
          <w:tcPr>
            <w:tcW w:w="7654" w:type="dxa"/>
          </w:tcPr>
          <w:p w:rsidR="00160AAB" w:rsidRPr="006B0424" w:rsidRDefault="00160AAB" w:rsidP="000E5C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2"/>
                <w:u w:val="single"/>
              </w:rPr>
            </w:pPr>
            <w:r w:rsidRPr="006B0424">
              <w:rPr>
                <w:rFonts w:eastAsia="Calibri" w:cs="Arial"/>
                <w:b/>
                <w:bCs/>
                <w:sz w:val="22"/>
                <w:u w:val="single"/>
              </w:rPr>
              <w:t>Art. 3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  <w:vertAlign w:val="superscript"/>
              </w:rPr>
              <w:t>1</w:t>
            </w:r>
            <w:r w:rsidRPr="006B0424">
              <w:rPr>
                <w:rFonts w:eastAsia="Calibri" w:cs="Arial"/>
                <w:bCs/>
                <w:sz w:val="22"/>
              </w:rPr>
              <w:t>L'autorità penale con la decisione finale o una decisione indipendente successiva esamina d'ufficio le pretese dell'imputato.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  <w:vertAlign w:val="superscript"/>
              </w:rPr>
              <w:t>2</w:t>
            </w:r>
            <w:r w:rsidRPr="006B0424">
              <w:rPr>
                <w:rFonts w:eastAsia="Calibri" w:cs="Arial"/>
                <w:bCs/>
                <w:sz w:val="22"/>
              </w:rPr>
              <w:t>Essa può invitare l'imputato a quantificare le proprie pretese e a comprovarle.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  <w:vertAlign w:val="superscript"/>
              </w:rPr>
              <w:t>3</w:t>
            </w:r>
            <w:r w:rsidRPr="006B0424">
              <w:rPr>
                <w:rFonts w:eastAsia="Calibri" w:cs="Arial"/>
                <w:bCs/>
                <w:sz w:val="22"/>
              </w:rPr>
              <w:t>Se l'autorità penale è collegiale, in caso di decisione indipendente successiva, la decisione può essere adottata dal presidente o da un membro da questi designato, quale giudice unico.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  <w:vertAlign w:val="superscript"/>
              </w:rPr>
              <w:t>4</w:t>
            </w:r>
            <w:r w:rsidRPr="006B0424">
              <w:rPr>
                <w:rFonts w:eastAsia="Calibri" w:cs="Arial"/>
                <w:bCs/>
                <w:sz w:val="22"/>
              </w:rPr>
              <w:t>La procedura davanti all'autorità penale e alle autorità di ricorso è retta dal codice di procedura penale del 5 ottobre 2007.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160AAB" w:rsidRPr="00EA3F97" w:rsidTr="000E5C32">
        <w:tc>
          <w:tcPr>
            <w:tcW w:w="2197" w:type="dxa"/>
          </w:tcPr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6B0424">
            <w:pPr>
              <w:jc w:val="left"/>
              <w:rPr>
                <w:rFonts w:eastAsia="Calibri" w:cs="Arial"/>
                <w:b/>
                <w:sz w:val="20"/>
              </w:rPr>
            </w:pPr>
            <w:r w:rsidRPr="00EA3F97">
              <w:rPr>
                <w:rFonts w:eastAsia="Calibri" w:cs="Arial"/>
                <w:b/>
                <w:sz w:val="20"/>
              </w:rPr>
              <w:t>Gratuità della procedura</w:t>
            </w:r>
          </w:p>
        </w:tc>
        <w:tc>
          <w:tcPr>
            <w:tcW w:w="7654" w:type="dxa"/>
          </w:tcPr>
          <w:p w:rsidR="00160AAB" w:rsidRPr="006B0424" w:rsidRDefault="00160AAB" w:rsidP="000E5C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2"/>
                <w:u w:val="single"/>
              </w:rPr>
            </w:pPr>
            <w:r w:rsidRPr="006B0424">
              <w:rPr>
                <w:rFonts w:eastAsia="Calibri" w:cs="Arial"/>
                <w:b/>
                <w:bCs/>
                <w:sz w:val="22"/>
                <w:u w:val="single"/>
              </w:rPr>
              <w:t>Art.4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</w:rPr>
              <w:t>La procedura decisionale e di ricorso di cui alla presente legge è gratuita.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  <w:p w:rsidR="00160AAB" w:rsidRPr="006B0424" w:rsidRDefault="00160AAB" w:rsidP="006B042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160AAB" w:rsidRPr="00EA3F97" w:rsidTr="000E5C32">
        <w:tc>
          <w:tcPr>
            <w:tcW w:w="2197" w:type="dxa"/>
          </w:tcPr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  <w:r w:rsidRPr="00EA3F97">
              <w:rPr>
                <w:rFonts w:eastAsia="Calibri" w:cs="Arial"/>
                <w:b/>
                <w:sz w:val="20"/>
              </w:rPr>
              <w:t>Prescrizione</w:t>
            </w:r>
          </w:p>
        </w:tc>
        <w:tc>
          <w:tcPr>
            <w:tcW w:w="7654" w:type="dxa"/>
          </w:tcPr>
          <w:p w:rsidR="00160AAB" w:rsidRPr="006B0424" w:rsidRDefault="00160AAB" w:rsidP="000E5C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2"/>
                <w:u w:val="single"/>
              </w:rPr>
            </w:pPr>
            <w:r w:rsidRPr="006B0424">
              <w:rPr>
                <w:rFonts w:eastAsia="Calibri" w:cs="Arial"/>
                <w:b/>
                <w:bCs/>
                <w:sz w:val="22"/>
                <w:u w:val="single"/>
              </w:rPr>
              <w:t>Art. 5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</w:rPr>
              <w:t>Le pretese di indennizzo si prescrivono in dieci anni a decorrere dal passaggio in giudicato della decisione penale finale.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  <w:p w:rsidR="00160AAB" w:rsidRPr="006B0424" w:rsidRDefault="00160AAB" w:rsidP="006B042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160AAB" w:rsidRPr="00EA3F97" w:rsidTr="000E5C32">
        <w:tc>
          <w:tcPr>
            <w:tcW w:w="2197" w:type="dxa"/>
          </w:tcPr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</w:p>
          <w:p w:rsidR="00160AAB" w:rsidRPr="00EA3F97" w:rsidRDefault="00160AAB" w:rsidP="000E5C32">
            <w:pPr>
              <w:rPr>
                <w:rFonts w:eastAsia="Calibri" w:cs="Arial"/>
                <w:b/>
                <w:sz w:val="20"/>
              </w:rPr>
            </w:pPr>
            <w:r w:rsidRPr="00EA3F97">
              <w:rPr>
                <w:rFonts w:eastAsia="Calibri" w:cs="Arial"/>
                <w:b/>
                <w:sz w:val="20"/>
              </w:rPr>
              <w:t>Entrata in vigore</w:t>
            </w:r>
          </w:p>
        </w:tc>
        <w:tc>
          <w:tcPr>
            <w:tcW w:w="7654" w:type="dxa"/>
          </w:tcPr>
          <w:p w:rsidR="00160AAB" w:rsidRPr="006B0424" w:rsidRDefault="00160AAB" w:rsidP="000E5C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2"/>
                <w:u w:val="single"/>
              </w:rPr>
            </w:pPr>
            <w:r w:rsidRPr="006B0424">
              <w:rPr>
                <w:rFonts w:eastAsia="Calibri" w:cs="Arial"/>
                <w:b/>
                <w:bCs/>
                <w:sz w:val="22"/>
                <w:u w:val="single"/>
              </w:rPr>
              <w:t>Art. 6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  <w:vertAlign w:val="superscript"/>
              </w:rPr>
              <w:t>1</w:t>
            </w:r>
            <w:r w:rsidRPr="006B0424">
              <w:rPr>
                <w:rFonts w:eastAsia="Calibri" w:cs="Arial"/>
                <w:bCs/>
                <w:sz w:val="22"/>
              </w:rPr>
              <w:t>La presente legge se accolta in votazione popolare è pubblicata nel Bollettino ufficiale ed entra immediatamente in vigore.</w:t>
            </w:r>
          </w:p>
          <w:p w:rsidR="00160AAB" w:rsidRPr="006B0424" w:rsidRDefault="00160AAB" w:rsidP="000E5C3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</w:p>
          <w:p w:rsidR="00160AAB" w:rsidRPr="006B0424" w:rsidRDefault="00160AAB" w:rsidP="006B042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</w:rPr>
            </w:pPr>
            <w:r w:rsidRPr="006B0424">
              <w:rPr>
                <w:rFonts w:eastAsia="Calibri" w:cs="Arial"/>
                <w:bCs/>
                <w:sz w:val="22"/>
                <w:vertAlign w:val="superscript"/>
              </w:rPr>
              <w:t>2</w:t>
            </w:r>
            <w:r w:rsidRPr="006B0424">
              <w:rPr>
                <w:rFonts w:eastAsia="Calibri" w:cs="Arial"/>
                <w:bCs/>
                <w:sz w:val="22"/>
              </w:rPr>
              <w:t>In caso di ritiro dell'iniziativa, la presente legge è pubblicata nel Foglio Ufficiale e, trascorso il termine per l'esercizio del diritto di referendum, è pubblicata nel Bollettino ufficiale ed entra immediatamente in vigore.</w:t>
            </w:r>
          </w:p>
        </w:tc>
      </w:tr>
    </w:tbl>
    <w:p w:rsidR="00160AAB" w:rsidRPr="006B0424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sz w:val="12"/>
          <w:szCs w:val="12"/>
        </w:rPr>
      </w:pPr>
    </w:p>
    <w:p w:rsidR="00160AAB" w:rsidRDefault="00160AAB" w:rsidP="001E3A45">
      <w:pPr>
        <w:tabs>
          <w:tab w:val="left" w:pos="567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IV.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>con</w:t>
      </w:r>
      <w:r>
        <w:rPr>
          <w:rFonts w:ascii="Arial Grassetto" w:eastAsia="MS Mincho" w:hAnsi="Arial Grassetto" w:cs="Arial"/>
          <w:b/>
          <w:caps/>
          <w:szCs w:val="24"/>
        </w:rPr>
        <w:t>sideraz</w:t>
      </w:r>
      <w:r w:rsidRPr="00665149">
        <w:rPr>
          <w:rFonts w:ascii="Arial Grassetto" w:eastAsia="MS Mincho" w:hAnsi="Arial Grassetto" w:cs="Arial"/>
          <w:b/>
          <w:caps/>
          <w:szCs w:val="24"/>
        </w:rPr>
        <w:t>ioni</w:t>
      </w:r>
      <w:r>
        <w:rPr>
          <w:rFonts w:ascii="Arial Grassetto" w:eastAsia="MS Mincho" w:hAnsi="Arial Grassetto" w:cs="Arial"/>
          <w:b/>
          <w:caps/>
          <w:szCs w:val="24"/>
        </w:rPr>
        <w:t xml:space="preserve"> commissionali</w:t>
      </w:r>
    </w:p>
    <w:p w:rsidR="00160AAB" w:rsidRDefault="00160AAB" w:rsidP="00160AAB">
      <w:r>
        <w:t xml:space="preserve">Anche per la </w:t>
      </w:r>
      <w:r w:rsidRPr="00981570">
        <w:t>m</w:t>
      </w:r>
      <w:r w:rsidR="00981570">
        <w:t>aggior</w:t>
      </w:r>
      <w:r w:rsidRPr="00981570">
        <w:t>anza</w:t>
      </w:r>
      <w:r>
        <w:t xml:space="preserve"> della Commissione giustizia e diritti le criticità tecniche del testo dell'iniziativa popolare sono evidenti e quindi l'iniziativa deve essere respinta. Le lacune sono sia di natura legislativa sia di formulazione, come evidenziato nel rapporto della collega Aldi.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Ci sono però altri motivi per i quali l'iniziativa e il controprogetto devono essere respinti.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Il primo è sicuramente quello della disparità di trattamento. L'iniziativa privilegia gli abbandoni/assoluzioni per reati commessi per legittima difesa rispetto a quelli emessi in tutti gli altri procedimenti, compresi quelli avviati nei confronti di persone che si rivelano estranee ai fatti. Ad esempio, una persona accusata di aver partecipato a un'aggressione o a una rissa che è poi pienamente scagionata (perché non ha commesso i fatti e non era magari nemmeno presente sul luogo del reato!) si vede sfavorita rispetto a una persona che ha partecipato effettivamente a quell'aggressione/ rissa ma che riesce a dimostrare di averlo fatto per difendere sé o altri.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Si crea una categoria privilegiata di persone assolte, ovvero coloro che commettono una fattispecie penalmente perseguibile per difender sé stessi o terzi. La loro posizione diventa paradossalmente migliore persino di chi è accusato a torto di tali fatti (magari a seguito di una denuncia mendace o campata in aria), rispettivamente se ne rivela completamente estraneo. Per coloro valgono infatti i disposti sull'indennizzo dei costi patiti (artt.429 e segg. CPP), meno generosi rispetto all'iniziativa.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La distinzione su questo punto non è giustificata e rischia di risultare lesiva della parità di trattamento: perché la posizione di chi non commette una fattispecie penale dovrebbe risultare sfavorita rispetto a chi quella fattispecie l'ha commessa, ma non risulta punibile poiché può avvalersi di un motivo giustificativo (la legittima difesa)?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 xml:space="preserve">L'iniziativa e il controprogetto propongono che l'indennizzo sia comprensivo dell'integralità di tutte le spese processuali, i disborsi e le spese per la difesa di fiducia causati dinnanzi alle autorità di perseguimento penale, alle autorità giudicanti penali e al Tribunale federale, ivi comprese le procedure per i casi </w:t>
      </w:r>
      <w:proofErr w:type="spellStart"/>
      <w:r>
        <w:t>bagatellari</w:t>
      </w:r>
      <w:proofErr w:type="spellEnd"/>
      <w:r>
        <w:t xml:space="preserve"> e per i casi semplici.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Il termine "integralità" non pare lasciare margine di apprezzamento alle autorità, come invece indica il controprogetto.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Vi è inoltre la questione della tariffa, che sia per l'iniziativa sia per il controprogetto deve essere "piena".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In caso di assoluzione o abbandono di un procedimento penale, il rimborso delle spese legali è di regola accordato a una tariffa di 250 franchi all'ora per le difese di fiducia. Con iniziativa e controprogetto lo Stato si troverebbe a dover rimborsare anche tariffe superiori, privilegiando di nuovo le procedure in cui è riconosciuta la legittima difesa per rapporto ad altri tipi di assoluzione o abbondono.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 xml:space="preserve">Per la procedura avanti al Tribunale federale si pone la questione a sapere chi debba applicare gli articoli in oggetto. Se per la procedura dinnanzi alle autorità cantonali potranno essere queste ultime a decidere sul risarcimento al danneggiato al momento del proscioglimento/abbandono del procedimento, </w:t>
      </w:r>
      <w:r w:rsidR="00981570">
        <w:t>così</w:t>
      </w:r>
      <w:r>
        <w:t xml:space="preserve"> non sarà per un ricorso al Tribunale federale che non potrà certamente applicare una legge cantonale per le spese relative alla propria procedura.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 xml:space="preserve">Secondo il diritto federale, i casi semplici e </w:t>
      </w:r>
      <w:proofErr w:type="spellStart"/>
      <w:r>
        <w:t>bagatellari</w:t>
      </w:r>
      <w:proofErr w:type="spellEnd"/>
      <w:r>
        <w:t>, senza alcuna difficoltà in fatto e in diritto e che non sono suscettibili di avere pesanti conseguenze sulla vita dell'imputato, non sono rimborsati nemmeno in caso di assoluzione dell'imputato. Con iniziativa e controprogetto non solo questi procedimenti dovrebbero essere rimborsati dallo Stato, ma lo dovrebbero essere integralmente e a qualsiasi tariffa!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L'iniziativa e il controprogetto prevedono dunque una soluzione che deroga al regime previsto dal diritto federale.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 xml:space="preserve">Il rimborso delle spese legali legate a reati </w:t>
      </w:r>
      <w:proofErr w:type="spellStart"/>
      <w:r>
        <w:t>bagatellari</w:t>
      </w:r>
      <w:proofErr w:type="spellEnd"/>
      <w:r>
        <w:t xml:space="preserve"> commessi in stato di legittima difesa lede il principio di parità di trattamento non solo con le altre assoluzioni per fattispecie di pari complessità, ma soprattutto con fattispecie </w:t>
      </w:r>
      <w:r w:rsidR="00981570">
        <w:t>più</w:t>
      </w:r>
      <w:r>
        <w:t xml:space="preserve"> complesse in cui l'imputato è pienamente assolto, venendo tuttavia risarcito ex art. 429 cpv. 1 CPP (dunque meno generosamente) in mancanza di elementi di legittima difesa.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Questa situazione non è in alcun modo giustificabile e lo è ancor meno se si considera che lo stesso caso da cui l'iniziativa prende spunto, ovvero l'omicidio di Brissago, non è certo un caso bagatellare, per cui non vi è ragione di estendere iniziativa e controprogetto anche a questa fattispecie.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 xml:space="preserve">La stessa relatrice di </w:t>
      </w:r>
      <w:r w:rsidRPr="00981570">
        <w:t>minoranza</w:t>
      </w:r>
      <w:r>
        <w:t xml:space="preserve"> si chiede se il privilegio previsto dall'iniziativa popolare teso a rimborsare l'integralità delle spese sia effettivamente giustificato rispetto ad altri casi di proscioglimento o abbandono che meriterebbero un analogo trattamento (per esempio persone ingiustamente accusate di reati infamanti).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Evidentemente però una visione estensiva farebbe esplodere i costi per l'erario.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Da un punto di vista pratico si rischia inoltre di legittimare comportamenti violenti e di incentivare i cittadini a farsi giustizia da sé, facendo libero uso delle armi.</w:t>
      </w:r>
      <w:r>
        <w:rPr>
          <w:rFonts w:ascii="Times New Roman" w:hAnsi="Times New Roman"/>
        </w:rPr>
        <w:t xml:space="preserve"> </w:t>
      </w:r>
      <w:r>
        <w:t>Chi si trova in mezzo a una rissa e rimane passivo o si difende soltanto, rischia paradossalmente di trovarsi in una posizione peggiore (dal punto di vista della copertura delle spese legali) di chi in quella rissa assume un ruolo attivo, contrattaccando e ferendo qualcun'altro, magari anche gravemente, se dimostra di averlo fatto per legittima difesa!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r>
        <w:t>È giusto precisare anche che il 13 marzo 2018 il Consiglio Nazionale, dopo breve discussione e con un'ampia maggioranza, ha respinto un'iniziativa parlamentare del deputato Lorenzo Quadri tesa a modificare l'art.16 CP sulla legittima difesa.</w:t>
      </w:r>
    </w:p>
    <w:p w:rsidR="00160AAB" w:rsidRPr="006B0424" w:rsidRDefault="00160AAB" w:rsidP="00160AAB">
      <w:pPr>
        <w:rPr>
          <w:sz w:val="18"/>
          <w:szCs w:val="18"/>
        </w:rPr>
      </w:pPr>
    </w:p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</w:pPr>
      <w:r>
        <w:t>Inoltre va precisato che nessuna legislazione cantonale prevede una norma come quella che l'iniziativa e il controprogetto propongono.</w:t>
      </w:r>
    </w:p>
    <w:p w:rsidR="00160AAB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B91001" w:rsidRDefault="00B91001" w:rsidP="00160AAB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160AAB" w:rsidRPr="008C4B1A" w:rsidRDefault="00160AAB" w:rsidP="00160AAB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160AAB" w:rsidRDefault="00160AAB" w:rsidP="001E3A45">
      <w:pPr>
        <w:tabs>
          <w:tab w:val="left" w:pos="567"/>
        </w:tabs>
        <w:spacing w:after="160"/>
        <w:ind w:right="-1"/>
        <w:rPr>
          <w:rFonts w:ascii="Arial Grassetto" w:eastAsia="MS Mincho" w:hAnsi="Arial Grassetto" w:cs="Arial" w:hint="eastAsia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V.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>conclusioni</w:t>
      </w:r>
    </w:p>
    <w:p w:rsidR="00160AAB" w:rsidRPr="00A87C62" w:rsidRDefault="00160AAB" w:rsidP="00160AAB">
      <w:pPr>
        <w:rPr>
          <w:szCs w:val="24"/>
        </w:rPr>
      </w:pPr>
      <w:r w:rsidRPr="00A87C62">
        <w:rPr>
          <w:szCs w:val="24"/>
        </w:rPr>
        <w:t xml:space="preserve">Sulla scorta delle considerazioni suesposte la </w:t>
      </w:r>
      <w:r w:rsidRPr="00981570">
        <w:t>maggioranza</w:t>
      </w:r>
      <w:r w:rsidRPr="00A87C62">
        <w:rPr>
          <w:szCs w:val="24"/>
        </w:rPr>
        <w:t xml:space="preserve"> della </w:t>
      </w:r>
      <w:r>
        <w:rPr>
          <w:szCs w:val="24"/>
        </w:rPr>
        <w:t>C</w:t>
      </w:r>
      <w:r w:rsidRPr="00A87C62">
        <w:rPr>
          <w:szCs w:val="24"/>
        </w:rPr>
        <w:t>ommissi</w:t>
      </w:r>
      <w:r>
        <w:rPr>
          <w:szCs w:val="24"/>
        </w:rPr>
        <w:t>one giustizia e diritti invita</w:t>
      </w:r>
      <w:r w:rsidRPr="00A87C62">
        <w:rPr>
          <w:szCs w:val="24"/>
        </w:rPr>
        <w:t xml:space="preserve"> a respingere l</w:t>
      </w:r>
      <w:r>
        <w:rPr>
          <w:szCs w:val="24"/>
        </w:rPr>
        <w:t>'</w:t>
      </w:r>
      <w:r w:rsidRPr="00A87C62">
        <w:rPr>
          <w:szCs w:val="24"/>
        </w:rPr>
        <w:t xml:space="preserve">iniziativa popolare elaborata del 22 marzo 2016 </w:t>
      </w:r>
      <w:r w:rsidR="00127568">
        <w:rPr>
          <w:szCs w:val="24"/>
        </w:rPr>
        <w:t>“</w:t>
      </w:r>
      <w:r w:rsidRPr="00127568">
        <w:rPr>
          <w:szCs w:val="24"/>
        </w:rPr>
        <w:t>Le vittime di aggressioni non devono pagare i costi di una legittima difesa</w:t>
      </w:r>
      <w:r w:rsidR="00127568">
        <w:rPr>
          <w:szCs w:val="24"/>
        </w:rPr>
        <w:t>“</w:t>
      </w:r>
      <w:r>
        <w:rPr>
          <w:szCs w:val="24"/>
        </w:rPr>
        <w:t>.</w:t>
      </w:r>
    </w:p>
    <w:p w:rsidR="00160AAB" w:rsidRDefault="00160AAB" w:rsidP="00160AAB">
      <w:pPr>
        <w:rPr>
          <w:szCs w:val="24"/>
        </w:rPr>
      </w:pPr>
    </w:p>
    <w:p w:rsidR="00160AAB" w:rsidRDefault="00160AAB" w:rsidP="00160AAB">
      <w:pPr>
        <w:ind w:right="-1"/>
        <w:rPr>
          <w:rFonts w:cs="Arial"/>
          <w:szCs w:val="24"/>
        </w:rPr>
      </w:pPr>
    </w:p>
    <w:p w:rsidR="00160AAB" w:rsidRPr="00665149" w:rsidRDefault="00160AAB" w:rsidP="00160AAB">
      <w:pPr>
        <w:ind w:right="-1"/>
        <w:rPr>
          <w:rFonts w:cs="Arial"/>
          <w:szCs w:val="24"/>
        </w:rPr>
      </w:pPr>
    </w:p>
    <w:p w:rsidR="00160AAB" w:rsidRPr="00665149" w:rsidRDefault="00160AAB" w:rsidP="00160AAB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szCs w:val="24"/>
        </w:rPr>
      </w:pPr>
      <w:r w:rsidRPr="00665149">
        <w:rPr>
          <w:rFonts w:cs="Arial"/>
          <w:szCs w:val="24"/>
        </w:rPr>
        <w:t xml:space="preserve">Per la </w:t>
      </w:r>
      <w:r w:rsidR="00981570">
        <w:rPr>
          <w:rFonts w:cs="Arial"/>
          <w:szCs w:val="24"/>
        </w:rPr>
        <w:t xml:space="preserve">maggioranza della </w:t>
      </w:r>
      <w:r w:rsidRPr="00665149">
        <w:rPr>
          <w:rFonts w:cs="Arial"/>
          <w:szCs w:val="24"/>
        </w:rPr>
        <w:t xml:space="preserve">Commissione </w:t>
      </w:r>
      <w:r>
        <w:rPr>
          <w:rFonts w:cs="Arial"/>
          <w:szCs w:val="24"/>
        </w:rPr>
        <w:t>giustizia e diritti</w:t>
      </w:r>
      <w:r w:rsidRPr="00665149">
        <w:rPr>
          <w:rFonts w:cs="Arial"/>
          <w:szCs w:val="24"/>
        </w:rPr>
        <w:t>:</w:t>
      </w:r>
    </w:p>
    <w:p w:rsidR="00160AAB" w:rsidRPr="00665149" w:rsidRDefault="00160AAB" w:rsidP="00160AAB">
      <w:pPr>
        <w:ind w:right="-1"/>
        <w:rPr>
          <w:rFonts w:cs="Arial"/>
          <w:szCs w:val="24"/>
        </w:rPr>
      </w:pPr>
      <w:r>
        <w:t>Giorgio Galusero</w:t>
      </w:r>
      <w:r w:rsidRPr="0066514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relator</w:t>
      </w:r>
      <w:r w:rsidRPr="00665149">
        <w:rPr>
          <w:rFonts w:cs="Arial"/>
          <w:szCs w:val="24"/>
        </w:rPr>
        <w:t>e</w:t>
      </w:r>
    </w:p>
    <w:p w:rsidR="00306A40" w:rsidRDefault="00981570" w:rsidP="00981570">
      <w:pPr>
        <w:rPr>
          <w:rFonts w:cs="Arial"/>
        </w:rPr>
      </w:pPr>
      <w:r>
        <w:rPr>
          <w:rFonts w:cs="Arial"/>
        </w:rPr>
        <w:t xml:space="preserve">Ay - Bertoli - Corti - Gendotti - Lepori - </w:t>
      </w:r>
    </w:p>
    <w:p w:rsidR="00160AAB" w:rsidRDefault="00981570" w:rsidP="006B0424">
      <w:pPr>
        <w:rPr>
          <w:szCs w:val="24"/>
        </w:rPr>
      </w:pPr>
      <w:r>
        <w:rPr>
          <w:rFonts w:cs="Arial"/>
        </w:rPr>
        <w:t>Maderni - Noi - Pagani - Ris - Viscardi</w:t>
      </w:r>
    </w:p>
    <w:p w:rsidR="00306A40" w:rsidRDefault="00306A4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27568" w:rsidRPr="00420ABC" w:rsidRDefault="00127568" w:rsidP="00127568">
      <w:pPr>
        <w:spacing w:after="120"/>
        <w:rPr>
          <w:rFonts w:cs="Arial"/>
          <w:b/>
        </w:rPr>
      </w:pPr>
      <w:r w:rsidRPr="00420ABC">
        <w:rPr>
          <w:rFonts w:cs="Arial"/>
          <w:b/>
        </w:rPr>
        <w:t xml:space="preserve">INIZIATIVA POPOLARE </w:t>
      </w:r>
      <w:r w:rsidR="00B91001">
        <w:rPr>
          <w:rFonts w:cs="Arial"/>
          <w:b/>
        </w:rPr>
        <w:t xml:space="preserve">LEGISLATIVA </w:t>
      </w:r>
      <w:r w:rsidRPr="00420ABC">
        <w:rPr>
          <w:rFonts w:cs="Arial"/>
          <w:b/>
        </w:rPr>
        <w:t>ELABORATA</w:t>
      </w:r>
    </w:p>
    <w:p w:rsidR="00127568" w:rsidRPr="00127568" w:rsidRDefault="00127568" w:rsidP="00127568">
      <w:pPr>
        <w:rPr>
          <w:b/>
        </w:rPr>
      </w:pPr>
      <w:r w:rsidRPr="00420ABC">
        <w:rPr>
          <w:rFonts w:cs="Arial"/>
          <w:b/>
        </w:rPr>
        <w:t xml:space="preserve">presentata il </w:t>
      </w:r>
      <w:r w:rsidRPr="00127568">
        <w:rPr>
          <w:b/>
        </w:rPr>
        <w:t>22 marzo 2016 denominata “Le vittime di aggressioni non devono pagare i costi di una legittima difesa”</w:t>
      </w:r>
    </w:p>
    <w:p w:rsidR="00127568" w:rsidRPr="00420ABC" w:rsidRDefault="00127568" w:rsidP="00127568">
      <w:pPr>
        <w:rPr>
          <w:rFonts w:cs="Arial"/>
          <w:szCs w:val="24"/>
        </w:rPr>
      </w:pPr>
    </w:p>
    <w:p w:rsidR="00127568" w:rsidRPr="00420ABC" w:rsidRDefault="00127568" w:rsidP="00127568">
      <w:pPr>
        <w:rPr>
          <w:rFonts w:cs="Arial"/>
          <w:szCs w:val="24"/>
        </w:rPr>
      </w:pPr>
    </w:p>
    <w:p w:rsidR="00127568" w:rsidRPr="00420ABC" w:rsidRDefault="00127568" w:rsidP="00127568">
      <w:pPr>
        <w:rPr>
          <w:rFonts w:cs="Arial"/>
        </w:rPr>
      </w:pPr>
      <w:smartTag w:uri="urn:schemas-microsoft-com:office:smarttags" w:element="PersonName">
        <w:smartTagPr>
          <w:attr w:name="ProductID" w:val="il Gran Consiglio"/>
        </w:smartTagPr>
        <w:r w:rsidRPr="00420ABC">
          <w:rPr>
            <w:rFonts w:cs="Arial"/>
          </w:rPr>
          <w:t>Il Gran Consiglio</w:t>
        </w:r>
      </w:smartTag>
    </w:p>
    <w:p w:rsidR="00127568" w:rsidRPr="00420ABC" w:rsidRDefault="00127568" w:rsidP="00127568">
      <w:pPr>
        <w:rPr>
          <w:rFonts w:cs="Arial"/>
        </w:rPr>
      </w:pPr>
      <w:r w:rsidRPr="00420ABC">
        <w:rPr>
          <w:rFonts w:cs="Arial"/>
        </w:rPr>
        <w:t>della Repubblica e Cantone Ticino</w:t>
      </w:r>
    </w:p>
    <w:p w:rsidR="00127568" w:rsidRPr="006316E1" w:rsidRDefault="00127568" w:rsidP="00127568">
      <w:pPr>
        <w:pStyle w:val="Intestazione"/>
        <w:tabs>
          <w:tab w:val="clear" w:pos="4819"/>
          <w:tab w:val="clear" w:pos="9638"/>
        </w:tabs>
        <w:rPr>
          <w:rFonts w:cs="Arial"/>
          <w:sz w:val="20"/>
          <w:szCs w:val="20"/>
        </w:rPr>
      </w:pPr>
    </w:p>
    <w:p w:rsidR="00127568" w:rsidRPr="006316E1" w:rsidRDefault="00127568" w:rsidP="00127568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</w:p>
    <w:p w:rsidR="00127568" w:rsidRPr="00127568" w:rsidRDefault="00127568" w:rsidP="00127568">
      <w:pPr>
        <w:tabs>
          <w:tab w:val="left" w:pos="284"/>
        </w:tabs>
        <w:ind w:left="284" w:hanging="284"/>
      </w:pPr>
      <w:r>
        <w:t>-</w:t>
      </w:r>
      <w:r>
        <w:tab/>
        <w:t xml:space="preserve">vista l’iniziativa popolare </w:t>
      </w:r>
      <w:r w:rsidRPr="00127568">
        <w:t>22 marzo 2016 denominata “Le vittime di aggressioni non devono pagare i costi di una legittima difesa”</w:t>
      </w:r>
      <w:r>
        <w:t xml:space="preserve"> </w:t>
      </w:r>
      <w:r w:rsidR="00BD46F5">
        <w:t xml:space="preserve">volta a </w:t>
      </w:r>
      <w:r>
        <w:t>chiede</w:t>
      </w:r>
      <w:r w:rsidR="00BD46F5">
        <w:t>re</w:t>
      </w:r>
      <w:r>
        <w:t xml:space="preserve"> l’adozione di una nuova legge cantonale del seguente tenore:</w:t>
      </w:r>
    </w:p>
    <w:p w:rsidR="00127568" w:rsidRPr="00416904" w:rsidRDefault="00127568" w:rsidP="00127568">
      <w:pPr>
        <w:rPr>
          <w:sz w:val="18"/>
          <w:szCs w:val="18"/>
        </w:rPr>
      </w:pPr>
    </w:p>
    <w:p w:rsidR="00127568" w:rsidRPr="00416904" w:rsidRDefault="00127568" w:rsidP="00127568">
      <w:pPr>
        <w:ind w:left="567" w:right="567"/>
        <w:rPr>
          <w:b/>
          <w:i/>
          <w:sz w:val="20"/>
          <w:szCs w:val="20"/>
        </w:rPr>
      </w:pPr>
      <w:r w:rsidRPr="00416904">
        <w:rPr>
          <w:b/>
          <w:i/>
          <w:sz w:val="20"/>
          <w:szCs w:val="20"/>
        </w:rPr>
        <w:t>Art. 1</w:t>
      </w:r>
    </w:p>
    <w:p w:rsidR="00127568" w:rsidRPr="00416904" w:rsidRDefault="00127568" w:rsidP="006316E1">
      <w:pPr>
        <w:spacing w:before="80"/>
        <w:ind w:left="567" w:right="567"/>
        <w:rPr>
          <w:i/>
          <w:sz w:val="20"/>
          <w:szCs w:val="20"/>
        </w:rPr>
      </w:pPr>
      <w:r w:rsidRPr="00416904">
        <w:rPr>
          <w:i/>
          <w:sz w:val="20"/>
          <w:szCs w:val="20"/>
        </w:rPr>
        <w:t xml:space="preserve">Il Cantone ad ogni persona residente in Ticino che è stata assolta o contro cui il procedimento nei suoi confronti è stato abbandonato da un'autorità penale svizzera per i reati commessi in stato di legittima difesa, in stato di necessità o </w:t>
      </w:r>
      <w:r w:rsidR="00B91001" w:rsidRPr="00416904">
        <w:rPr>
          <w:i/>
          <w:sz w:val="20"/>
          <w:szCs w:val="20"/>
        </w:rPr>
        <w:t>più</w:t>
      </w:r>
      <w:r w:rsidRPr="00416904">
        <w:rPr>
          <w:i/>
          <w:sz w:val="20"/>
          <w:szCs w:val="20"/>
        </w:rPr>
        <w:t xml:space="preserve"> in generale per essere stata indotta dalle circostanze a commettere un'azione per respingere un'aggressione ingiusta o la minaccia di un'aggressione imminente fatta a sé o ad altri, rimborsa a tariffa piena l'integralità di tutte le spese procedurali, i disborsi e le spese per la difesa di fiducia causati dalla procedura dinnanzi alle autorità di perseguimento penale, alle autorità giudicanti penali, e al Tribunale federale, ivi comprese le procedure per i casi </w:t>
      </w:r>
      <w:proofErr w:type="spellStart"/>
      <w:r w:rsidRPr="00416904">
        <w:rPr>
          <w:i/>
          <w:sz w:val="20"/>
          <w:szCs w:val="20"/>
        </w:rPr>
        <w:t>bagatellari</w:t>
      </w:r>
      <w:proofErr w:type="spellEnd"/>
      <w:r w:rsidRPr="00416904">
        <w:rPr>
          <w:i/>
          <w:sz w:val="20"/>
          <w:szCs w:val="20"/>
        </w:rPr>
        <w:t xml:space="preserve"> e per i casi semplici.</w:t>
      </w:r>
    </w:p>
    <w:p w:rsidR="00127568" w:rsidRPr="00416904" w:rsidRDefault="00127568" w:rsidP="00127568">
      <w:pPr>
        <w:ind w:left="567" w:right="567"/>
        <w:rPr>
          <w:i/>
          <w:sz w:val="20"/>
          <w:szCs w:val="20"/>
        </w:rPr>
      </w:pPr>
    </w:p>
    <w:p w:rsidR="00127568" w:rsidRPr="00416904" w:rsidRDefault="00127568" w:rsidP="00127568">
      <w:pPr>
        <w:ind w:left="567" w:right="567"/>
        <w:rPr>
          <w:b/>
          <w:i/>
          <w:sz w:val="20"/>
          <w:szCs w:val="20"/>
        </w:rPr>
      </w:pPr>
      <w:r w:rsidRPr="00416904">
        <w:rPr>
          <w:b/>
          <w:i/>
          <w:sz w:val="20"/>
          <w:szCs w:val="20"/>
        </w:rPr>
        <w:t>Art. 2</w:t>
      </w:r>
    </w:p>
    <w:p w:rsidR="00127568" w:rsidRPr="00416904" w:rsidRDefault="00127568" w:rsidP="006316E1">
      <w:pPr>
        <w:spacing w:before="80"/>
        <w:ind w:left="567" w:right="567"/>
        <w:rPr>
          <w:i/>
          <w:sz w:val="20"/>
          <w:szCs w:val="20"/>
        </w:rPr>
      </w:pPr>
      <w:r w:rsidRPr="00416904">
        <w:rPr>
          <w:i/>
          <w:sz w:val="20"/>
          <w:szCs w:val="20"/>
          <w:vertAlign w:val="superscript"/>
        </w:rPr>
        <w:t>1</w:t>
      </w:r>
      <w:r w:rsidRPr="00416904">
        <w:rPr>
          <w:i/>
          <w:sz w:val="20"/>
          <w:szCs w:val="20"/>
        </w:rPr>
        <w:t>Se il Gran Consiglio accoglie l'iniziativa popolare, scaduti i termini per l'esercizio del diritto di referendum, la presente legge entra in vigore immediatamente.</w:t>
      </w:r>
    </w:p>
    <w:p w:rsidR="00127568" w:rsidRPr="00416904" w:rsidRDefault="00127568" w:rsidP="006316E1">
      <w:pPr>
        <w:spacing w:before="80"/>
        <w:ind w:left="567" w:right="567"/>
        <w:rPr>
          <w:i/>
          <w:sz w:val="20"/>
          <w:szCs w:val="20"/>
        </w:rPr>
      </w:pPr>
      <w:r w:rsidRPr="00416904">
        <w:rPr>
          <w:i/>
          <w:sz w:val="20"/>
          <w:szCs w:val="20"/>
          <w:vertAlign w:val="superscript"/>
        </w:rPr>
        <w:t>2</w:t>
      </w:r>
      <w:r w:rsidRPr="00416904">
        <w:rPr>
          <w:i/>
          <w:sz w:val="20"/>
          <w:szCs w:val="20"/>
        </w:rPr>
        <w:t>Se il Gran Consiglio respinge l'iniziativa popolare o se l'accetta, ma è lanciato un referendum popolare, la presente legge entra in vigore il giorno stesso in cui è accettata dal Popolo.</w:t>
      </w:r>
    </w:p>
    <w:p w:rsidR="00127568" w:rsidRPr="006316E1" w:rsidRDefault="00127568" w:rsidP="00127568">
      <w:pPr>
        <w:rPr>
          <w:rFonts w:cs="Arial"/>
          <w:sz w:val="20"/>
          <w:szCs w:val="20"/>
        </w:rPr>
      </w:pPr>
    </w:p>
    <w:p w:rsidR="00127568" w:rsidRPr="006316E1" w:rsidRDefault="00127568" w:rsidP="00127568">
      <w:pPr>
        <w:rPr>
          <w:rFonts w:cs="Arial"/>
          <w:sz w:val="20"/>
          <w:szCs w:val="20"/>
        </w:rPr>
      </w:pPr>
    </w:p>
    <w:p w:rsidR="00127568" w:rsidRDefault="00127568" w:rsidP="00127568">
      <w:pPr>
        <w:pStyle w:val="Rientrocorpodeltesto"/>
        <w:tabs>
          <w:tab w:val="left" w:pos="284"/>
        </w:tabs>
        <w:ind w:left="284" w:hanging="284"/>
      </w:pPr>
      <w:r>
        <w:t>-</w:t>
      </w:r>
      <w:r>
        <w:tab/>
        <w:t xml:space="preserve">richiamati gli artt. 37 segg. della Costituzione cantonale e </w:t>
      </w:r>
      <w:smartTag w:uri="urn:schemas-microsoft-com:office:smarttags" w:element="PersonName">
        <w:smartTagPr>
          <w:attr w:name="ProductID" w:val="la Legge"/>
        </w:smartTagPr>
        <w:r>
          <w:t>la Legge</w:t>
        </w:r>
      </w:smartTag>
      <w:r>
        <w:t xml:space="preserve"> sull'esercizio dei diritti politici del 7 ottobre 1998,</w:t>
      </w:r>
    </w:p>
    <w:p w:rsidR="00127568" w:rsidRDefault="00127568" w:rsidP="00127568">
      <w:pPr>
        <w:tabs>
          <w:tab w:val="left" w:pos="284"/>
        </w:tabs>
        <w:ind w:left="284" w:hanging="284"/>
      </w:pPr>
    </w:p>
    <w:p w:rsidR="00127568" w:rsidRDefault="00127568" w:rsidP="00127568">
      <w:pPr>
        <w:tabs>
          <w:tab w:val="left" w:pos="284"/>
        </w:tabs>
        <w:ind w:left="284" w:hanging="284"/>
      </w:pPr>
      <w:r>
        <w:t>-</w:t>
      </w:r>
      <w:r>
        <w:tab/>
        <w:t>visto il rapporto 17 giugno 2019 n. 7442 R1 della maggioranza della Commissione giustizia e diritti,</w:t>
      </w:r>
    </w:p>
    <w:p w:rsidR="00127568" w:rsidRPr="00F41ECB" w:rsidRDefault="00127568" w:rsidP="00127568">
      <w:pPr>
        <w:rPr>
          <w:szCs w:val="24"/>
        </w:rPr>
      </w:pPr>
    </w:p>
    <w:p w:rsidR="00127568" w:rsidRPr="00F41ECB" w:rsidRDefault="00127568" w:rsidP="00127568">
      <w:pPr>
        <w:rPr>
          <w:szCs w:val="24"/>
        </w:rPr>
      </w:pPr>
    </w:p>
    <w:p w:rsidR="00127568" w:rsidRPr="00F41ECB" w:rsidRDefault="00127568" w:rsidP="00127568">
      <w:pPr>
        <w:tabs>
          <w:tab w:val="left" w:pos="284"/>
        </w:tabs>
        <w:rPr>
          <w:b/>
          <w:szCs w:val="24"/>
        </w:rPr>
      </w:pPr>
      <w:r w:rsidRPr="00F41ECB">
        <w:rPr>
          <w:b/>
          <w:szCs w:val="24"/>
        </w:rPr>
        <w:t>d e c r e t a :</w:t>
      </w:r>
    </w:p>
    <w:p w:rsidR="00127568" w:rsidRPr="00F41ECB" w:rsidRDefault="00127568" w:rsidP="00127568">
      <w:pPr>
        <w:rPr>
          <w:szCs w:val="24"/>
        </w:rPr>
      </w:pPr>
    </w:p>
    <w:p w:rsidR="00127568" w:rsidRPr="00F41ECB" w:rsidRDefault="00127568" w:rsidP="00127568">
      <w:pPr>
        <w:rPr>
          <w:szCs w:val="24"/>
        </w:rPr>
      </w:pPr>
    </w:p>
    <w:p w:rsidR="00127568" w:rsidRPr="00F41ECB" w:rsidRDefault="00127568" w:rsidP="00127568">
      <w:pPr>
        <w:tabs>
          <w:tab w:val="left" w:pos="284"/>
        </w:tabs>
        <w:rPr>
          <w:b/>
          <w:szCs w:val="24"/>
        </w:rPr>
      </w:pPr>
      <w:r w:rsidRPr="00F41ECB">
        <w:rPr>
          <w:b/>
          <w:szCs w:val="24"/>
        </w:rPr>
        <w:t>I.</w:t>
      </w:r>
    </w:p>
    <w:p w:rsidR="00127568" w:rsidRPr="00F41ECB" w:rsidRDefault="00127568" w:rsidP="00127568">
      <w:pPr>
        <w:tabs>
          <w:tab w:val="left" w:pos="240"/>
        </w:tabs>
        <w:spacing w:before="120"/>
        <w:rPr>
          <w:rFonts w:cs="Arial"/>
          <w:b/>
          <w:szCs w:val="24"/>
        </w:rPr>
      </w:pPr>
      <w:r w:rsidRPr="00F41ECB">
        <w:rPr>
          <w:rFonts w:cs="Arial"/>
          <w:szCs w:val="24"/>
        </w:rPr>
        <w:t xml:space="preserve">L’iniziativa popolare </w:t>
      </w:r>
      <w:r w:rsidR="00B91001" w:rsidRPr="00F41ECB">
        <w:rPr>
          <w:rFonts w:cs="Arial"/>
          <w:szCs w:val="24"/>
        </w:rPr>
        <w:t xml:space="preserve">legislativa </w:t>
      </w:r>
      <w:r w:rsidRPr="00F41ECB">
        <w:rPr>
          <w:rFonts w:cs="Arial"/>
          <w:szCs w:val="24"/>
        </w:rPr>
        <w:t xml:space="preserve">elaborata </w:t>
      </w:r>
      <w:r w:rsidR="00B91001" w:rsidRPr="00F41ECB">
        <w:rPr>
          <w:rFonts w:cs="Arial"/>
          <w:szCs w:val="24"/>
        </w:rPr>
        <w:t>presentata i</w:t>
      </w:r>
      <w:r w:rsidRPr="00F41ECB">
        <w:rPr>
          <w:rFonts w:cs="Arial"/>
          <w:szCs w:val="24"/>
        </w:rPr>
        <w:t xml:space="preserve">l </w:t>
      </w:r>
      <w:r w:rsidRPr="00F41ECB">
        <w:rPr>
          <w:szCs w:val="24"/>
        </w:rPr>
        <w:t xml:space="preserve">22 marzo 2016 denominata “Le vittime di aggressioni non devono pagare i costi di una legittima difesa” </w:t>
      </w:r>
      <w:r w:rsidRPr="00F41ECB">
        <w:rPr>
          <w:rFonts w:cs="Arial"/>
          <w:szCs w:val="24"/>
        </w:rPr>
        <w:t>è respinta.</w:t>
      </w:r>
    </w:p>
    <w:p w:rsidR="00127568" w:rsidRPr="00F41ECB" w:rsidRDefault="00127568" w:rsidP="00127568">
      <w:pPr>
        <w:tabs>
          <w:tab w:val="left" w:pos="1701"/>
        </w:tabs>
        <w:ind w:left="1701" w:hanging="1701"/>
        <w:rPr>
          <w:szCs w:val="24"/>
        </w:rPr>
      </w:pPr>
    </w:p>
    <w:p w:rsidR="00127568" w:rsidRPr="00F41ECB" w:rsidRDefault="00127568" w:rsidP="00127568">
      <w:pPr>
        <w:tabs>
          <w:tab w:val="left" w:pos="1701"/>
        </w:tabs>
        <w:ind w:left="1701" w:hanging="1701"/>
        <w:rPr>
          <w:szCs w:val="24"/>
        </w:rPr>
      </w:pPr>
    </w:p>
    <w:p w:rsidR="00127568" w:rsidRPr="00F41ECB" w:rsidRDefault="00127568" w:rsidP="00127568">
      <w:pPr>
        <w:tabs>
          <w:tab w:val="left" w:pos="1701"/>
        </w:tabs>
        <w:ind w:left="1701" w:hanging="1701"/>
        <w:rPr>
          <w:b/>
          <w:szCs w:val="24"/>
        </w:rPr>
      </w:pPr>
      <w:r w:rsidRPr="00F41ECB">
        <w:rPr>
          <w:b/>
          <w:szCs w:val="24"/>
        </w:rPr>
        <w:t>II.</w:t>
      </w:r>
    </w:p>
    <w:p w:rsidR="00127568" w:rsidRPr="00F41ECB" w:rsidRDefault="00127568" w:rsidP="00127568">
      <w:pPr>
        <w:spacing w:before="120"/>
        <w:rPr>
          <w:szCs w:val="24"/>
        </w:rPr>
      </w:pPr>
      <w:r w:rsidRPr="00F41ECB">
        <w:rPr>
          <w:szCs w:val="24"/>
        </w:rPr>
        <w:t>È raccomandato al popolo di respingere l’iniziativa.</w:t>
      </w:r>
    </w:p>
    <w:p w:rsidR="00127568" w:rsidRPr="00F41ECB" w:rsidRDefault="00127568" w:rsidP="00127568">
      <w:pPr>
        <w:rPr>
          <w:szCs w:val="24"/>
        </w:rPr>
      </w:pPr>
    </w:p>
    <w:sectPr w:rsidR="00127568" w:rsidRPr="00F41ECB" w:rsidSect="006B0424">
      <w:footerReference w:type="default" r:id="rId9"/>
      <w:pgSz w:w="11906" w:h="16838" w:code="9"/>
      <w:pgMar w:top="1134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CA2F6E" w:rsidRPr="00CA2F6E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B2940"/>
    <w:rsid w:val="00127568"/>
    <w:rsid w:val="00160AAB"/>
    <w:rsid w:val="001E3A45"/>
    <w:rsid w:val="002E5E40"/>
    <w:rsid w:val="00306A40"/>
    <w:rsid w:val="003B7935"/>
    <w:rsid w:val="00416904"/>
    <w:rsid w:val="0052425A"/>
    <w:rsid w:val="0057039F"/>
    <w:rsid w:val="00586A8D"/>
    <w:rsid w:val="005F4380"/>
    <w:rsid w:val="006316E1"/>
    <w:rsid w:val="006B0424"/>
    <w:rsid w:val="006D7A3B"/>
    <w:rsid w:val="007B5462"/>
    <w:rsid w:val="008034BD"/>
    <w:rsid w:val="00876352"/>
    <w:rsid w:val="008B4137"/>
    <w:rsid w:val="008C767A"/>
    <w:rsid w:val="008E77C6"/>
    <w:rsid w:val="009770BB"/>
    <w:rsid w:val="00981570"/>
    <w:rsid w:val="009E008D"/>
    <w:rsid w:val="00A5465F"/>
    <w:rsid w:val="00A77678"/>
    <w:rsid w:val="00B91001"/>
    <w:rsid w:val="00BC4C95"/>
    <w:rsid w:val="00BD46F5"/>
    <w:rsid w:val="00BD5944"/>
    <w:rsid w:val="00CA2F6E"/>
    <w:rsid w:val="00CB127C"/>
    <w:rsid w:val="00CF6858"/>
    <w:rsid w:val="00D377B5"/>
    <w:rsid w:val="00D93B31"/>
    <w:rsid w:val="00F242E5"/>
    <w:rsid w:val="00F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75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7568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75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7568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7BE1-95CE-4B68-8C3B-AD4C237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2350</Words>
  <Characters>13514</Characters>
  <Application>Microsoft Office Word</Application>
  <DocSecurity>0</DocSecurity>
  <Lines>314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2019-09-04T10:01:00Z</cp:lastPrinted>
  <dcterms:created xsi:type="dcterms:W3CDTF">2019-09-04T10:02:00Z</dcterms:created>
  <dcterms:modified xsi:type="dcterms:W3CDTF">2019-09-04T10:02:00Z</dcterms:modified>
</cp:coreProperties>
</file>