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2" w:rsidRDefault="00680DC1" w:rsidP="00B860C2">
      <w:r w:rsidRPr="00095977">
        <w:rPr>
          <w:rFonts w:ascii="Gill Sans" w:hAnsi="Gill Sans" w:cs="Arial"/>
          <w:b/>
          <w:sz w:val="52"/>
          <w:szCs w:val="52"/>
        </w:rPr>
        <w:t>Rapporto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566545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7581</w:t>
      </w:r>
      <w:r w:rsidR="00B860C2" w:rsidRPr="008B4137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1° ottobre 2019</w:t>
      </w:r>
      <w:r w:rsidR="00B860C2" w:rsidRPr="008B4137">
        <w:rPr>
          <w:rFonts w:cs="Arial"/>
          <w:sz w:val="28"/>
          <w:szCs w:val="28"/>
        </w:rPr>
        <w:tab/>
      </w:r>
      <w:r>
        <w:rPr>
          <w:sz w:val="28"/>
        </w:rPr>
        <w:t>TERRITORIO</w:t>
      </w:r>
    </w:p>
    <w:p w:rsidR="00B860C2" w:rsidRPr="00680DC1" w:rsidRDefault="00B860C2" w:rsidP="00B860C2">
      <w:pPr>
        <w:rPr>
          <w:rFonts w:cs="Arial"/>
          <w:sz w:val="20"/>
          <w:szCs w:val="20"/>
        </w:rPr>
      </w:pPr>
    </w:p>
    <w:p w:rsidR="00B860C2" w:rsidRPr="00680DC1" w:rsidRDefault="00B860C2" w:rsidP="00B860C2">
      <w:pPr>
        <w:rPr>
          <w:rFonts w:cs="Arial"/>
          <w:sz w:val="20"/>
          <w:szCs w:val="20"/>
        </w:rPr>
      </w:pPr>
    </w:p>
    <w:p w:rsidR="00B860C2" w:rsidRPr="00680DC1" w:rsidRDefault="00B860C2" w:rsidP="00B860C2">
      <w:pPr>
        <w:rPr>
          <w:rFonts w:cs="Arial"/>
          <w:sz w:val="20"/>
          <w:szCs w:val="20"/>
        </w:rPr>
      </w:pPr>
    </w:p>
    <w:p w:rsidR="00B860C2" w:rsidRPr="00341D37" w:rsidRDefault="00B860C2" w:rsidP="00B860C2">
      <w:pPr>
        <w:rPr>
          <w:rFonts w:cs="Arial"/>
          <w:b/>
          <w:sz w:val="28"/>
          <w:szCs w:val="28"/>
        </w:rPr>
      </w:pPr>
      <w:r w:rsidRPr="00341D37">
        <w:rPr>
          <w:rFonts w:cs="Arial"/>
          <w:b/>
          <w:sz w:val="28"/>
          <w:szCs w:val="28"/>
        </w:rPr>
        <w:t>della Commissione gestione e finanze</w:t>
      </w:r>
    </w:p>
    <w:p w:rsidR="00B860C2" w:rsidRPr="00341D37" w:rsidRDefault="00B860C2" w:rsidP="00B860C2">
      <w:pPr>
        <w:rPr>
          <w:rFonts w:cs="Arial"/>
          <w:b/>
          <w:sz w:val="28"/>
          <w:szCs w:val="28"/>
        </w:rPr>
      </w:pPr>
      <w:r w:rsidRPr="00341D37">
        <w:rPr>
          <w:rFonts w:cs="Arial"/>
          <w:b/>
          <w:sz w:val="28"/>
          <w:szCs w:val="28"/>
        </w:rPr>
        <w:t xml:space="preserve">sul messaggio </w:t>
      </w:r>
      <w:r w:rsidR="00566545" w:rsidRPr="00341D37">
        <w:rPr>
          <w:rFonts w:cs="Arial"/>
          <w:b/>
          <w:sz w:val="28"/>
          <w:szCs w:val="28"/>
        </w:rPr>
        <w:t xml:space="preserve">19 settembre 2018 concernente la </w:t>
      </w:r>
      <w:r w:rsidR="00566545" w:rsidRPr="00341D37">
        <w:rPr>
          <w:b/>
          <w:sz w:val="28"/>
          <w:szCs w:val="28"/>
        </w:rPr>
        <w:t xml:space="preserve">richiesta di un credito </w:t>
      </w:r>
      <w:r w:rsidR="00566545" w:rsidRPr="00341D37">
        <w:rPr>
          <w:b/>
          <w:sz w:val="28"/>
          <w:szCs w:val="28"/>
        </w:rPr>
        <w:br/>
        <w:t>di 4'334'128 franchi per il sussidiamento dell’ampliamento e dell’</w:t>
      </w:r>
      <w:proofErr w:type="spellStart"/>
      <w:r w:rsidR="00566545" w:rsidRPr="00341D37">
        <w:rPr>
          <w:b/>
          <w:sz w:val="28"/>
          <w:szCs w:val="28"/>
        </w:rPr>
        <w:t>ot</w:t>
      </w:r>
      <w:r w:rsidR="00341D37" w:rsidRPr="00341D37">
        <w:rPr>
          <w:b/>
          <w:sz w:val="28"/>
          <w:szCs w:val="28"/>
        </w:rPr>
        <w:t>ti</w:t>
      </w:r>
      <w:r w:rsidR="00566545" w:rsidRPr="00341D37">
        <w:rPr>
          <w:b/>
          <w:sz w:val="28"/>
          <w:szCs w:val="28"/>
        </w:rPr>
        <w:t>-mizzazione</w:t>
      </w:r>
      <w:proofErr w:type="spellEnd"/>
      <w:r w:rsidR="00566545" w:rsidRPr="00341D37">
        <w:rPr>
          <w:b/>
          <w:sz w:val="28"/>
          <w:szCs w:val="28"/>
        </w:rPr>
        <w:t xml:space="preserve"> della stazione di depurazione Madonna del Piano (IDA </w:t>
      </w:r>
      <w:proofErr w:type="spellStart"/>
      <w:r w:rsidR="00566545" w:rsidRPr="00341D37">
        <w:rPr>
          <w:b/>
          <w:sz w:val="28"/>
          <w:szCs w:val="28"/>
        </w:rPr>
        <w:t>Croglio</w:t>
      </w:r>
      <w:proofErr w:type="spellEnd"/>
      <w:r w:rsidR="00566545" w:rsidRPr="00341D37">
        <w:rPr>
          <w:b/>
          <w:sz w:val="28"/>
          <w:szCs w:val="28"/>
        </w:rPr>
        <w:t xml:space="preserve">) del Consorzio depurazione acque della </w:t>
      </w:r>
      <w:proofErr w:type="spellStart"/>
      <w:r w:rsidR="00566545" w:rsidRPr="00341D37">
        <w:rPr>
          <w:b/>
          <w:sz w:val="28"/>
          <w:szCs w:val="28"/>
        </w:rPr>
        <w:t>Magliasina</w:t>
      </w:r>
      <w:proofErr w:type="spellEnd"/>
      <w:r w:rsidR="00566545" w:rsidRPr="00341D37">
        <w:rPr>
          <w:b/>
          <w:sz w:val="28"/>
          <w:szCs w:val="28"/>
        </w:rPr>
        <w:t xml:space="preserve"> (CDAM)</w:t>
      </w:r>
    </w:p>
    <w:p w:rsidR="00B860C2" w:rsidRPr="00680DC1" w:rsidRDefault="00B860C2" w:rsidP="00B860C2">
      <w:pPr>
        <w:rPr>
          <w:rFonts w:cs="Arial"/>
          <w:sz w:val="20"/>
          <w:szCs w:val="20"/>
        </w:rPr>
      </w:pPr>
      <w:bookmarkStart w:id="0" w:name="_GoBack"/>
    </w:p>
    <w:p w:rsidR="00B860C2" w:rsidRPr="00680DC1" w:rsidRDefault="00B860C2" w:rsidP="00B860C2">
      <w:pPr>
        <w:rPr>
          <w:rFonts w:cs="Arial"/>
          <w:sz w:val="20"/>
          <w:szCs w:val="20"/>
        </w:rPr>
      </w:pPr>
    </w:p>
    <w:p w:rsidR="00B860C2" w:rsidRPr="00680DC1" w:rsidRDefault="00B860C2" w:rsidP="00B860C2">
      <w:pPr>
        <w:rPr>
          <w:rFonts w:cs="Arial"/>
          <w:sz w:val="20"/>
          <w:szCs w:val="20"/>
        </w:rPr>
      </w:pPr>
    </w:p>
    <w:p w:rsidR="00566545" w:rsidRDefault="00566545" w:rsidP="00566545">
      <w:pPr>
        <w:pStyle w:val="NormaleWeb"/>
        <w:numPr>
          <w:ilvl w:val="0"/>
          <w:numId w:val="13"/>
        </w:numPr>
        <w:tabs>
          <w:tab w:val="left" w:pos="567"/>
        </w:tabs>
        <w:spacing w:after="120"/>
        <w:ind w:left="567" w:hanging="567"/>
        <w:rPr>
          <w:rFonts w:ascii="Arial" w:hAnsi="Arial" w:cs="Arial"/>
          <w:b/>
          <w:bCs/>
          <w:color w:val="000000" w:themeColor="text1"/>
        </w:rPr>
      </w:pPr>
      <w:bookmarkStart w:id="1" w:name="_Toc532286235"/>
      <w:bookmarkEnd w:id="0"/>
      <w:r>
        <w:rPr>
          <w:rFonts w:ascii="Arial" w:hAnsi="Arial" w:cs="Arial"/>
          <w:b/>
          <w:bCs/>
          <w:color w:val="000000" w:themeColor="text1"/>
        </w:rPr>
        <w:t>RICHIESTA E SCOPI DEL</w:t>
      </w:r>
      <w:r w:rsidRPr="00AA2457">
        <w:rPr>
          <w:rFonts w:ascii="Arial" w:hAnsi="Arial" w:cs="Arial"/>
          <w:b/>
          <w:bCs/>
          <w:color w:val="000000" w:themeColor="text1"/>
        </w:rPr>
        <w:t xml:space="preserve"> MESSAGGI</w:t>
      </w:r>
      <w:r>
        <w:rPr>
          <w:rFonts w:ascii="Arial" w:hAnsi="Arial" w:cs="Arial"/>
          <w:b/>
          <w:bCs/>
          <w:color w:val="000000" w:themeColor="text1"/>
        </w:rPr>
        <w:t>O</w:t>
      </w:r>
    </w:p>
    <w:p w:rsidR="00566545" w:rsidRPr="004E3796" w:rsidRDefault="00566545" w:rsidP="00566545">
      <w:pPr>
        <w:pStyle w:val="NormaleWeb"/>
        <w:tabs>
          <w:tab w:val="left" w:pos="567"/>
        </w:tabs>
        <w:spacing w:after="120"/>
        <w:ind w:left="567" w:hanging="567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1.1</w:t>
      </w:r>
      <w:r>
        <w:rPr>
          <w:rFonts w:ascii="Arial" w:hAnsi="Arial" w:cs="Arial"/>
          <w:b/>
          <w:bCs/>
          <w:color w:val="000000" w:themeColor="text1"/>
        </w:rPr>
        <w:tab/>
        <w:t>Quadro generale della situazione</w:t>
      </w:r>
    </w:p>
    <w:p w:rsidR="00566545" w:rsidRDefault="00566545" w:rsidP="00566545">
      <w:r>
        <w:t xml:space="preserve">L’impianto di depurazione di Madonna del Piano (IDA </w:t>
      </w:r>
      <w:proofErr w:type="spellStart"/>
      <w:r>
        <w:t>Croglio</w:t>
      </w:r>
      <w:proofErr w:type="spellEnd"/>
      <w:r>
        <w:t xml:space="preserve">) è attualmente dimensionato per 15'000 abitanti equivalenti (AE). L’impianto è entrato in servizio nel 1987 e da quella data depura le acque luride di 11 Comuni consorziati. In considerazione della vetustà degli impianti, dei nuovi 6 Comuni recentemente consorziati (Alto Malcantone, </w:t>
      </w:r>
      <w:proofErr w:type="spellStart"/>
      <w:r>
        <w:t>Aranno</w:t>
      </w:r>
      <w:proofErr w:type="spellEnd"/>
      <w:r>
        <w:t xml:space="preserve">, </w:t>
      </w:r>
      <w:proofErr w:type="spellStart"/>
      <w:r>
        <w:t>Bioggio</w:t>
      </w:r>
      <w:proofErr w:type="spellEnd"/>
      <w:r>
        <w:t xml:space="preserve">, Curio, </w:t>
      </w:r>
      <w:proofErr w:type="spellStart"/>
      <w:r>
        <w:t>Miglieglia</w:t>
      </w:r>
      <w:proofErr w:type="spellEnd"/>
      <w:r>
        <w:t xml:space="preserve"> e </w:t>
      </w:r>
      <w:proofErr w:type="spellStart"/>
      <w:r>
        <w:t>Novaggio</w:t>
      </w:r>
      <w:proofErr w:type="spellEnd"/>
      <w:r>
        <w:t xml:space="preserve">) e soprattutto dall’aumento considerevole della popolazione che fa capo a questo servizio (attualmente corrispondente a 21'000 AE), si rende necessario un investimento per permettere all’impianto di soddisfare i requisiti funzionali e ambientali definiti dalle varie leggi. </w:t>
      </w:r>
    </w:p>
    <w:p w:rsidR="00566545" w:rsidRPr="00341D37" w:rsidRDefault="00566545" w:rsidP="00566545">
      <w:pPr>
        <w:rPr>
          <w:sz w:val="20"/>
          <w:szCs w:val="20"/>
        </w:rPr>
      </w:pPr>
    </w:p>
    <w:p w:rsidR="00566545" w:rsidRDefault="00566545" w:rsidP="00566545">
      <w:r>
        <w:t>Gli impianti attuali, seppur ancora funzionanti, presentano diverse lacune tecniche e funzionali. Il dissabbiatore ha una bassa efficacia di separazione della sabbia dagli oli e i compressori hanno superato l’età utile. Nella decantazione primaria costituita da due linee è ora impossibile il prelievo dei materiali flottanti nel canale di distribuzione, con la conseguente formazione di odori nei canali di raccolta e nel bacino di fanghi freschi. L’impianto di aerazione presenta diverse problematiche legate alla vetustà dell’impianto e all’impossibilità di gestire al meglio la ventilazione degli impianti. Molte altre strutture e impianti, come ad esempio i raschiatori della decantazione finale e le pompe per il trasporto del fango, non sono più efficienti e causano spesso guasti e interruzioni del servizio.</w:t>
      </w:r>
    </w:p>
    <w:p w:rsidR="00566545" w:rsidRPr="00341D37" w:rsidRDefault="00566545" w:rsidP="00566545">
      <w:pPr>
        <w:rPr>
          <w:sz w:val="20"/>
          <w:szCs w:val="20"/>
        </w:rPr>
      </w:pPr>
    </w:p>
    <w:p w:rsidR="00566545" w:rsidRDefault="00566545" w:rsidP="00566545">
      <w:r>
        <w:t>Allo stesso modo gli impianti elettrici, di misura, di comando, di controllo e automazione (EMCRA) hanno superato la loro durata di vita e necessitano di essere sostituiti.</w:t>
      </w:r>
    </w:p>
    <w:p w:rsidR="00566545" w:rsidRPr="00341D37" w:rsidRDefault="00566545" w:rsidP="00566545">
      <w:pPr>
        <w:rPr>
          <w:sz w:val="20"/>
          <w:szCs w:val="20"/>
        </w:rPr>
      </w:pPr>
    </w:p>
    <w:p w:rsidR="00566545" w:rsidRDefault="00566545" w:rsidP="00566545">
      <w:r>
        <w:t xml:space="preserve">L’approvvigionamento dell’acqua industriale avviene mediante l’acqua di falda, che è gestita tramite un impianto di pressurizzazione eseguito nel 1987. Il pozzo è carente e gli impianti per la sua gestione vanno sostituiti. </w:t>
      </w:r>
    </w:p>
    <w:p w:rsidR="00566545" w:rsidRPr="00341D37" w:rsidRDefault="00566545" w:rsidP="00566545">
      <w:pPr>
        <w:rPr>
          <w:sz w:val="20"/>
          <w:szCs w:val="20"/>
        </w:rPr>
      </w:pPr>
    </w:p>
    <w:p w:rsidR="00566545" w:rsidRPr="00341D37" w:rsidRDefault="00566545" w:rsidP="00566545">
      <w:pPr>
        <w:rPr>
          <w:sz w:val="20"/>
          <w:szCs w:val="20"/>
        </w:rPr>
      </w:pPr>
    </w:p>
    <w:p w:rsidR="00566545" w:rsidRDefault="00566545" w:rsidP="00566545">
      <w:pPr>
        <w:pStyle w:val="NormaleWeb"/>
        <w:numPr>
          <w:ilvl w:val="1"/>
          <w:numId w:val="13"/>
        </w:numPr>
        <w:tabs>
          <w:tab w:val="left" w:pos="567"/>
        </w:tabs>
        <w:spacing w:after="120"/>
        <w:ind w:left="567" w:hanging="567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Procedura</w:t>
      </w:r>
    </w:p>
    <w:p w:rsidR="00566545" w:rsidRDefault="00566545" w:rsidP="00566545">
      <w:r>
        <w:t xml:space="preserve">In seguito all’analisi dello stato della tecnica eseguito dal Consorzio e dai consulenti tecnici, la Delegazione consortile ha conferito mandato al </w:t>
      </w:r>
      <w:proofErr w:type="spellStart"/>
      <w:r>
        <w:t>MagliasIDA</w:t>
      </w:r>
      <w:proofErr w:type="spellEnd"/>
      <w:r>
        <w:t xml:space="preserve">, composto dalla ditta capofila TBF + Partner AG, l’allestimento di un progetto definitivo e direzione lavori. In </w:t>
      </w:r>
      <w:r>
        <w:lastRenderedPageBreak/>
        <w:t xml:space="preserve">ossequio all’art. 60 del </w:t>
      </w:r>
      <w:proofErr w:type="spellStart"/>
      <w:r>
        <w:t>RLCPubb</w:t>
      </w:r>
      <w:proofErr w:type="spellEnd"/>
      <w:r>
        <w:t xml:space="preserve"> è stato dato mandato a un consulente indipendente per verificare le procedure di appalto e di aggiudicazione dei vari mandati relativi al progetto di ampliamento e ottimizzazione dell’impianto.</w:t>
      </w:r>
    </w:p>
    <w:p w:rsidR="00566545" w:rsidRPr="00341D37" w:rsidRDefault="00566545" w:rsidP="00566545">
      <w:pPr>
        <w:rPr>
          <w:sz w:val="20"/>
          <w:szCs w:val="20"/>
        </w:rPr>
      </w:pPr>
    </w:p>
    <w:p w:rsidR="00566545" w:rsidRPr="00F26875" w:rsidRDefault="00566545" w:rsidP="00566545">
      <w:r>
        <w:t>I lavori sono iniziati a settembre 2018, dopo le regolari procedure d’appalto e si protrarranno per 4 anni.</w:t>
      </w:r>
    </w:p>
    <w:p w:rsidR="00566545" w:rsidRDefault="00566545" w:rsidP="00566545"/>
    <w:p w:rsidR="00566545" w:rsidRDefault="00566545" w:rsidP="00566545"/>
    <w:p w:rsidR="00566545" w:rsidRPr="000C5492" w:rsidRDefault="00566545" w:rsidP="00566545"/>
    <w:p w:rsidR="00566545" w:rsidRDefault="00566545" w:rsidP="00566545">
      <w:pPr>
        <w:pStyle w:val="NormaleWeb"/>
        <w:numPr>
          <w:ilvl w:val="0"/>
          <w:numId w:val="13"/>
        </w:numPr>
        <w:tabs>
          <w:tab w:val="left" w:pos="567"/>
        </w:tabs>
        <w:spacing w:after="120"/>
        <w:ind w:left="567" w:hanging="567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DESCRIZIONE DELLE OPERE, COSTI E PROGRAMMA DI REALIZZAZIONE</w:t>
      </w:r>
    </w:p>
    <w:p w:rsidR="00566545" w:rsidRDefault="00566545" w:rsidP="00566545">
      <w:r>
        <w:t>Come indicato precedentemente le opere principali si suddividono in due parti:</w:t>
      </w:r>
    </w:p>
    <w:p w:rsidR="00566545" w:rsidRDefault="00566545" w:rsidP="00566545">
      <w:pPr>
        <w:pStyle w:val="NormaleWeb"/>
        <w:numPr>
          <w:ilvl w:val="0"/>
          <w:numId w:val="14"/>
        </w:numPr>
        <w:tabs>
          <w:tab w:val="left" w:pos="426"/>
        </w:tabs>
        <w:spacing w:before="80"/>
        <w:ind w:left="284" w:hanging="284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Ampliamento ed esecuzione nuove strutture e impianti </w:t>
      </w:r>
    </w:p>
    <w:p w:rsidR="00566545" w:rsidRDefault="00566545" w:rsidP="00566545">
      <w:pPr>
        <w:pStyle w:val="NormaleWeb"/>
        <w:numPr>
          <w:ilvl w:val="0"/>
          <w:numId w:val="14"/>
        </w:numPr>
        <w:tabs>
          <w:tab w:val="left" w:pos="426"/>
        </w:tabs>
        <w:spacing w:before="80"/>
        <w:ind w:left="284" w:hanging="284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Ammodernamento e rifacimento impianti esistenti</w:t>
      </w:r>
    </w:p>
    <w:p w:rsidR="00566545" w:rsidRDefault="00566545" w:rsidP="00566545">
      <w:pPr>
        <w:pStyle w:val="NormaleWeb"/>
        <w:tabs>
          <w:tab w:val="left" w:pos="426"/>
        </w:tabs>
        <w:rPr>
          <w:rFonts w:ascii="Arial" w:hAnsi="Arial" w:cs="Arial"/>
          <w:bCs/>
          <w:color w:val="000000" w:themeColor="text1"/>
        </w:rPr>
      </w:pPr>
    </w:p>
    <w:p w:rsidR="00566545" w:rsidRDefault="00566545" w:rsidP="00341D37">
      <w:pPr>
        <w:pStyle w:val="NormaleWeb"/>
        <w:tabs>
          <w:tab w:val="left" w:pos="0"/>
        </w:tabs>
        <w:spacing w:after="12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  <w:lang w:eastAsia="it-CH"/>
        </w:rPr>
        <w:drawing>
          <wp:inline distT="0" distB="0" distL="0" distR="0" wp14:anchorId="50279E1D" wp14:editId="1AE98F89">
            <wp:extent cx="6120130" cy="4439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tur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545" w:rsidRDefault="00566545" w:rsidP="00566545"/>
    <w:p w:rsidR="00566545" w:rsidRDefault="00566545" w:rsidP="00566545"/>
    <w:p w:rsidR="00566545" w:rsidRDefault="00566545" w:rsidP="00566545">
      <w:pPr>
        <w:pStyle w:val="NormaleWeb"/>
        <w:numPr>
          <w:ilvl w:val="0"/>
          <w:numId w:val="13"/>
        </w:numPr>
        <w:tabs>
          <w:tab w:val="left" w:pos="567"/>
        </w:tabs>
        <w:spacing w:after="120"/>
        <w:ind w:left="567" w:hanging="567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STANZIAMENTO E VERSAMENTO DEI SUSSIDI</w:t>
      </w:r>
    </w:p>
    <w:p w:rsidR="00566545" w:rsidRDefault="00566545" w:rsidP="00566545">
      <w:r>
        <w:t>L’importo sussidiabile corrisponde all’81,53% dei costi del preventivo.</w:t>
      </w:r>
    </w:p>
    <w:p w:rsidR="00566545" w:rsidRPr="00341D37" w:rsidRDefault="00566545" w:rsidP="00566545">
      <w:pPr>
        <w:rPr>
          <w:sz w:val="20"/>
          <w:szCs w:val="20"/>
        </w:rPr>
      </w:pPr>
    </w:p>
    <w:p w:rsidR="00566545" w:rsidRDefault="00566545" w:rsidP="00566545">
      <w:r>
        <w:t xml:space="preserve">In considerazione del fatto che le opere attualmente in esercizio presso gli impianti di depurazione sono stati in passato oggetto di sussidio cantonale, l’importo sussidiato è composto unicamente dalle posizioni riguardanti le opere o le parti d’opera che comportano un’ottimizzazione, un adeguamento o un aggiornamento allo stato della tecnica. </w:t>
      </w:r>
    </w:p>
    <w:p w:rsidR="00566545" w:rsidRPr="00341D37" w:rsidRDefault="00566545" w:rsidP="00566545">
      <w:pPr>
        <w:rPr>
          <w:sz w:val="12"/>
          <w:szCs w:val="12"/>
        </w:rPr>
      </w:pPr>
    </w:p>
    <w:p w:rsidR="00566545" w:rsidRDefault="00566545" w:rsidP="00566545">
      <w:r>
        <w:lastRenderedPageBreak/>
        <w:t>Le percentuali di sussidio delle opere sono definite secondo la Legge d’applicazione della legge federale contro l’inquinamento delle acque (LALIA) che all’art. 116 cita:</w:t>
      </w:r>
    </w:p>
    <w:p w:rsidR="00566545" w:rsidRDefault="00566545" w:rsidP="00566545"/>
    <w:p w:rsidR="00566545" w:rsidRDefault="00566545" w:rsidP="00566545">
      <w:pPr>
        <w:pStyle w:val="NormaleWeb"/>
        <w:tabs>
          <w:tab w:val="left" w:pos="426"/>
        </w:tabs>
        <w:spacing w:after="120"/>
        <w:ind w:left="426"/>
        <w:rPr>
          <w:rFonts w:ascii="Arial" w:hAnsi="Arial" w:cs="Arial"/>
          <w:bCs/>
          <w:color w:val="000000" w:themeColor="text1"/>
        </w:rPr>
      </w:pPr>
      <w:r>
        <w:rPr>
          <w:noProof/>
          <w:lang w:eastAsia="it-CH"/>
        </w:rPr>
        <w:drawing>
          <wp:inline distT="0" distB="0" distL="0" distR="0" wp14:anchorId="0D343BD0" wp14:editId="27E74127">
            <wp:extent cx="5613980" cy="4000500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3370" cy="400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545" w:rsidRDefault="00566545" w:rsidP="00566545"/>
    <w:p w:rsidR="00566545" w:rsidRDefault="00566545" w:rsidP="00566545">
      <w:r>
        <w:t xml:space="preserve">Questo ha permesso di determinare una chiave di riparto definita dal Consorzio depurazione delle acque della </w:t>
      </w:r>
      <w:proofErr w:type="spellStart"/>
      <w:r>
        <w:t>Magliasina</w:t>
      </w:r>
      <w:proofErr w:type="spellEnd"/>
      <w:r>
        <w:t>, che verrà utilizzata per la ripartizione dei costi per le opere oggetto del Messaggio n. 7581.</w:t>
      </w:r>
    </w:p>
    <w:p w:rsidR="00566545" w:rsidRPr="00341D37" w:rsidRDefault="00566545" w:rsidP="00566545">
      <w:pPr>
        <w:rPr>
          <w:sz w:val="20"/>
          <w:szCs w:val="20"/>
        </w:rPr>
      </w:pPr>
    </w:p>
    <w:p w:rsidR="00566545" w:rsidRPr="00AC67B7" w:rsidRDefault="00566545" w:rsidP="00566545"/>
    <w:p w:rsidR="00566545" w:rsidRDefault="00566545" w:rsidP="00566545">
      <w:pPr>
        <w:pStyle w:val="NormaleWeb"/>
        <w:tabs>
          <w:tab w:val="left" w:pos="426"/>
        </w:tabs>
        <w:spacing w:after="120"/>
        <w:ind w:left="360"/>
        <w:rPr>
          <w:rFonts w:ascii="Arial" w:hAnsi="Arial" w:cs="Arial"/>
          <w:b/>
          <w:bCs/>
          <w:color w:val="000000" w:themeColor="text1"/>
        </w:rPr>
      </w:pPr>
      <w:r>
        <w:rPr>
          <w:noProof/>
          <w:lang w:eastAsia="it-CH"/>
        </w:rPr>
        <w:drawing>
          <wp:inline distT="0" distB="0" distL="0" distR="0" wp14:anchorId="6DBB3D8C" wp14:editId="43350F88">
            <wp:extent cx="5800725" cy="32385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545" w:rsidRPr="00341D37" w:rsidRDefault="00566545" w:rsidP="00566545">
      <w:pPr>
        <w:rPr>
          <w:sz w:val="12"/>
          <w:szCs w:val="12"/>
        </w:rPr>
      </w:pPr>
    </w:p>
    <w:p w:rsidR="00566545" w:rsidRDefault="00566545" w:rsidP="00566545">
      <w:pPr>
        <w:pStyle w:val="NormaleWeb"/>
        <w:numPr>
          <w:ilvl w:val="0"/>
          <w:numId w:val="13"/>
        </w:numPr>
        <w:tabs>
          <w:tab w:val="left" w:pos="567"/>
        </w:tabs>
        <w:spacing w:after="120"/>
        <w:ind w:left="567" w:hanging="567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RELAZIONE CON LE LINEE DIRETTIVE E IL PIANO FINANZIARIO</w:t>
      </w:r>
    </w:p>
    <w:p w:rsidR="00566545" w:rsidRDefault="00566545" w:rsidP="00566545">
      <w:r w:rsidRPr="00C22B76">
        <w:t>Come indicato nel messaggio governativo, il credito del presente messaggio è previsto nel PFI per il periodo 2016-2019 e 2020-2023,</w:t>
      </w:r>
      <w:r>
        <w:t xml:space="preserve"> </w:t>
      </w:r>
      <w:r w:rsidRPr="00C22B76">
        <w:t>al settore 52 "Depurazione acque, energia e protezione dell’aria", posizione 522 Consorzi,</w:t>
      </w:r>
      <w:r>
        <w:t xml:space="preserve"> collegamento WBS 731 52 </w:t>
      </w:r>
      <w:r w:rsidRPr="00C22B76">
        <w:t>1220.</w:t>
      </w:r>
    </w:p>
    <w:p w:rsidR="00566545" w:rsidRDefault="00566545" w:rsidP="00566545"/>
    <w:p w:rsidR="00566545" w:rsidRDefault="00566545" w:rsidP="00566545"/>
    <w:p w:rsidR="00566545" w:rsidRPr="00C22B76" w:rsidRDefault="00566545" w:rsidP="00566545"/>
    <w:p w:rsidR="00566545" w:rsidRDefault="00566545" w:rsidP="00566545">
      <w:pPr>
        <w:pStyle w:val="NormaleWeb"/>
        <w:numPr>
          <w:ilvl w:val="0"/>
          <w:numId w:val="13"/>
        </w:numPr>
        <w:tabs>
          <w:tab w:val="left" w:pos="567"/>
        </w:tabs>
        <w:spacing w:after="120"/>
        <w:ind w:left="567" w:hanging="567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CONCLUSIONI</w:t>
      </w:r>
    </w:p>
    <w:p w:rsidR="00566545" w:rsidRDefault="00566545" w:rsidP="00566545">
      <w:r w:rsidRPr="00785750">
        <w:t xml:space="preserve">Alla luce degli approfondimenti esperiti, la Commissione si dichiara favorevole al Messaggio e propone al Gran Consiglio di approvare il Decreto legislativo ad esso allegato. </w:t>
      </w:r>
    </w:p>
    <w:bookmarkEnd w:id="1"/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gestione e finanze:</w:t>
      </w:r>
    </w:p>
    <w:p w:rsidR="00B860C2" w:rsidRPr="00076E70" w:rsidRDefault="00566545" w:rsidP="00B860C2">
      <w:pPr>
        <w:rPr>
          <w:rFonts w:cs="Arial"/>
          <w:szCs w:val="24"/>
        </w:rPr>
      </w:pPr>
      <w:r>
        <w:rPr>
          <w:rFonts w:cs="Arial"/>
          <w:szCs w:val="24"/>
        </w:rPr>
        <w:t>Piero Marchesi</w:t>
      </w:r>
      <w:r w:rsidR="00B860C2" w:rsidRPr="00076E70">
        <w:rPr>
          <w:rFonts w:cs="Arial"/>
          <w:szCs w:val="24"/>
        </w:rPr>
        <w:t>, relatore</w:t>
      </w:r>
    </w:p>
    <w:p w:rsidR="00341D37" w:rsidRDefault="00341D37" w:rsidP="00341D37">
      <w:pPr>
        <w:rPr>
          <w:rFonts w:cs="Arial"/>
        </w:rPr>
      </w:pPr>
      <w:bookmarkStart w:id="2" w:name="OLE_LINK1"/>
      <w:bookmarkStart w:id="3" w:name="OLE_LINK2"/>
      <w:r>
        <w:rPr>
          <w:rFonts w:cs="Arial"/>
        </w:rPr>
        <w:t xml:space="preserve">Agustoni - Bignasca B. - Bourgoin - </w:t>
      </w:r>
    </w:p>
    <w:p w:rsidR="00341D37" w:rsidRDefault="00341D37" w:rsidP="00341D37">
      <w:pPr>
        <w:rPr>
          <w:rFonts w:cs="Arial"/>
        </w:rPr>
      </w:pPr>
      <w:r>
        <w:rPr>
          <w:rFonts w:cs="Arial"/>
        </w:rPr>
        <w:t xml:space="preserve">Caprara - Caverzasio - Dadò - Durisch - </w:t>
      </w:r>
    </w:p>
    <w:p w:rsidR="00341D37" w:rsidRDefault="00341D37" w:rsidP="00341D37">
      <w:pPr>
        <w:rPr>
          <w:rFonts w:cs="Arial"/>
        </w:rPr>
      </w:pPr>
      <w:r>
        <w:rPr>
          <w:rFonts w:cs="Arial"/>
        </w:rPr>
        <w:t xml:space="preserve">Farinelli - Ferrara - Foletti - Fonio - </w:t>
      </w:r>
    </w:p>
    <w:p w:rsidR="00341D37" w:rsidRDefault="00341D37" w:rsidP="00341D37">
      <w:pPr>
        <w:rPr>
          <w:rFonts w:cs="Arial"/>
        </w:rPr>
      </w:pPr>
      <w:r>
        <w:rPr>
          <w:rFonts w:cs="Arial"/>
        </w:rPr>
        <w:t>Guerra - Pini - Quadranti - Storni</w:t>
      </w:r>
    </w:p>
    <w:bookmarkEnd w:id="2"/>
    <w:bookmarkEnd w:id="3"/>
    <w:p w:rsidR="00B860C2" w:rsidRDefault="00B860C2" w:rsidP="00B860C2">
      <w:pPr>
        <w:tabs>
          <w:tab w:val="left" w:pos="284"/>
        </w:tabs>
      </w:pPr>
    </w:p>
    <w:sectPr w:rsidR="00B860C2" w:rsidSect="008B4137">
      <w:footerReference w:type="default" r:id="rId12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680DC1" w:rsidRPr="00680DC1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67769"/>
    <w:multiLevelType w:val="hybridMultilevel"/>
    <w:tmpl w:val="ACDE3EFE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C3C4491"/>
    <w:multiLevelType w:val="multilevel"/>
    <w:tmpl w:val="815E7C3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26A4080"/>
    <w:multiLevelType w:val="hybridMultilevel"/>
    <w:tmpl w:val="4BB845E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574D7"/>
    <w:rsid w:val="00260C8C"/>
    <w:rsid w:val="002E5E40"/>
    <w:rsid w:val="00341D37"/>
    <w:rsid w:val="0052425A"/>
    <w:rsid w:val="00566545"/>
    <w:rsid w:val="00586A8D"/>
    <w:rsid w:val="00680DC1"/>
    <w:rsid w:val="006C17AA"/>
    <w:rsid w:val="006D7A3B"/>
    <w:rsid w:val="006E4AE2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B860C2"/>
    <w:rsid w:val="00BC4C95"/>
    <w:rsid w:val="00BD5944"/>
    <w:rsid w:val="00CF6858"/>
    <w:rsid w:val="00D377B5"/>
    <w:rsid w:val="00D93B31"/>
    <w:rsid w:val="00E415BC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aliases w:val="List Paragraph 1,Elenco a colori - Colore 11"/>
    <w:basedOn w:val="Normale"/>
    <w:link w:val="ParagrafoelencoCaratter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66545"/>
    <w:rPr>
      <w:rFonts w:ascii="Times New Roman" w:eastAsia="Calibri" w:hAnsi="Times New Roman" w:cs="Times New Roman"/>
      <w:szCs w:val="24"/>
    </w:rPr>
  </w:style>
  <w:style w:type="character" w:customStyle="1" w:styleId="ParagrafoelencoCarattere">
    <w:name w:val="Paragrafo elenco Carattere"/>
    <w:aliases w:val="List Paragraph 1 Carattere,Elenco a colori - Colore 11 Carattere"/>
    <w:link w:val="Paragrafoelenco"/>
    <w:uiPriority w:val="34"/>
    <w:locked/>
    <w:rsid w:val="0056654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aliases w:val="List Paragraph 1,Elenco a colori - Colore 11"/>
    <w:basedOn w:val="Normale"/>
    <w:link w:val="ParagrafoelencoCaratter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66545"/>
    <w:rPr>
      <w:rFonts w:ascii="Times New Roman" w:eastAsia="Calibri" w:hAnsi="Times New Roman" w:cs="Times New Roman"/>
      <w:szCs w:val="24"/>
    </w:rPr>
  </w:style>
  <w:style w:type="character" w:customStyle="1" w:styleId="ParagrafoelencoCarattere">
    <w:name w:val="Paragrafo elenco Carattere"/>
    <w:aliases w:val="List Paragraph 1 Carattere,Elenco a colori - Colore 11 Carattere"/>
    <w:link w:val="Paragrafoelenco"/>
    <w:uiPriority w:val="34"/>
    <w:locked/>
    <w:rsid w:val="0056654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0ABA-C8F3-4AA3-A432-83EFAE0A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4109</Characters>
  <Application>Microsoft Office Word</Application>
  <DocSecurity>0</DocSecurity>
  <Lines>93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2</cp:revision>
  <cp:lastPrinted>2019-10-02T09:26:00Z</cp:lastPrinted>
  <dcterms:created xsi:type="dcterms:W3CDTF">2019-10-02T09:27:00Z</dcterms:created>
  <dcterms:modified xsi:type="dcterms:W3CDTF">2019-10-02T09:27:00Z</dcterms:modified>
</cp:coreProperties>
</file>