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Default="00D25C1B" w:rsidP="00B860C2">
      <w:r w:rsidRPr="00095977">
        <w:rPr>
          <w:rFonts w:ascii="Gill Sans" w:hAnsi="Gill Sans" w:cs="Arial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CE4C29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7649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1° ottobre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>
        <w:rPr>
          <w:rFonts w:cs="Arial"/>
          <w:b/>
          <w:sz w:val="28"/>
          <w:szCs w:val="28"/>
        </w:rPr>
        <w:t>gestione e finanze</w:t>
      </w:r>
    </w:p>
    <w:p w:rsidR="00B860C2" w:rsidRPr="008B2655" w:rsidRDefault="00B860C2" w:rsidP="00B860C2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>
        <w:rPr>
          <w:rFonts w:cs="Arial"/>
          <w:b/>
          <w:sz w:val="28"/>
          <w:szCs w:val="28"/>
        </w:rPr>
        <w:t xml:space="preserve"> messaggio</w:t>
      </w:r>
      <w:r>
        <w:rPr>
          <w:rFonts w:cs="Arial"/>
          <w:b/>
          <w:sz w:val="26"/>
          <w:szCs w:val="26"/>
        </w:rPr>
        <w:t xml:space="preserve"> </w:t>
      </w:r>
      <w:r w:rsidR="00CE4C29">
        <w:rPr>
          <w:rFonts w:cs="Arial"/>
          <w:b/>
          <w:sz w:val="26"/>
          <w:szCs w:val="26"/>
        </w:rPr>
        <w:t>3</w:t>
      </w:r>
      <w:r w:rsidR="004D041D">
        <w:rPr>
          <w:rFonts w:cs="Arial"/>
          <w:b/>
          <w:sz w:val="26"/>
          <w:szCs w:val="26"/>
        </w:rPr>
        <w:t xml:space="preserve"> </w:t>
      </w:r>
      <w:r w:rsidR="00CE4C29">
        <w:rPr>
          <w:rFonts w:cs="Arial"/>
          <w:b/>
          <w:sz w:val="26"/>
          <w:szCs w:val="26"/>
        </w:rPr>
        <w:t xml:space="preserve">aprile 2019 concernente la </w:t>
      </w:r>
      <w:r w:rsidR="00CE4C29" w:rsidRPr="00CE4C29">
        <w:rPr>
          <w:b/>
          <w:bCs/>
          <w:sz w:val="28"/>
          <w:szCs w:val="28"/>
          <w:lang w:val="it-IT"/>
        </w:rPr>
        <w:t xml:space="preserve">richiesta di stanziamento di un credito d’investimento di </w:t>
      </w:r>
      <w:proofErr w:type="spellStart"/>
      <w:r w:rsidR="00CE4C29" w:rsidRPr="00CE4C29">
        <w:rPr>
          <w:b/>
          <w:bCs/>
          <w:sz w:val="28"/>
          <w:szCs w:val="28"/>
          <w:lang w:val="it-IT"/>
        </w:rPr>
        <w:t>fr</w:t>
      </w:r>
      <w:proofErr w:type="spellEnd"/>
      <w:r w:rsidR="00CE4C29" w:rsidRPr="00CE4C29">
        <w:rPr>
          <w:b/>
          <w:bCs/>
          <w:sz w:val="28"/>
          <w:szCs w:val="28"/>
          <w:lang w:val="it-IT"/>
        </w:rPr>
        <w:t xml:space="preserve">. 1'627'500.- e di un credito di gestione corrente di </w:t>
      </w:r>
      <w:proofErr w:type="spellStart"/>
      <w:r w:rsidR="00CE4C29" w:rsidRPr="00CE4C29">
        <w:rPr>
          <w:b/>
          <w:bCs/>
          <w:sz w:val="28"/>
          <w:szCs w:val="28"/>
          <w:lang w:val="it-IT"/>
        </w:rPr>
        <w:t>fr</w:t>
      </w:r>
      <w:proofErr w:type="spellEnd"/>
      <w:r w:rsidR="00CE4C29" w:rsidRPr="00CE4C29">
        <w:rPr>
          <w:b/>
          <w:bCs/>
          <w:sz w:val="28"/>
          <w:szCs w:val="28"/>
          <w:lang w:val="it-IT"/>
        </w:rPr>
        <w:t>. 355'000.- per l’implementazione di un nuovo applicativo informatico di gestione delle imposte di successione e donazione presso l’Ufficio imposte di successione e donazione a Lugano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DC26E9" w:rsidRDefault="00DC26E9" w:rsidP="00DC26E9">
      <w:pPr>
        <w:pStyle w:val="Titolo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Toc532286235"/>
      <w:r>
        <w:t>INTRODUZIONE</w:t>
      </w: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>Dopo quasi 30 anni è giunto il momento di sostituire l’applicativo informatico utilizzato dall’Ufficio imposte di successione e donazione (UISD) giunto alla fine del suo ciclo, con un costante incremento dei costi di manutenzione e una insoddisfacente capacità di integrarsi con gli applicativi più moderni utilizzati dalla Divisione delle Contribuzioni Registro dei contribuenti e Sistema informatico di accertamento delle persone fisiche denominato “</w:t>
      </w:r>
      <w:proofErr w:type="spellStart"/>
      <w:r>
        <w:rPr>
          <w:lang w:val="it-IT"/>
        </w:rPr>
        <w:t>Tributum</w:t>
      </w:r>
      <w:proofErr w:type="spellEnd"/>
      <w:r>
        <w:rPr>
          <w:lang w:val="it-IT"/>
        </w:rPr>
        <w:t>”).</w:t>
      </w:r>
    </w:p>
    <w:p w:rsidR="00DC26E9" w:rsidRDefault="00DC26E9" w:rsidP="00DC26E9">
      <w:pPr>
        <w:rPr>
          <w:rFonts w:eastAsia="Arial" w:cs="Arial"/>
          <w:i/>
          <w:iCs/>
        </w:rPr>
      </w:pPr>
      <w:r>
        <w:rPr>
          <w:lang w:val="it-IT"/>
        </w:rPr>
        <w:t>Inoltre l’attuale sistema informatico non permette adeguamenti sostanziali e quindi non potrà essere utilizzato in caso di modifiche legislative come quella presentata il 18 aprile 2016 e intitolata “</w:t>
      </w:r>
      <w:r>
        <w:rPr>
          <w:i/>
          <w:iCs/>
          <w:lang w:val="it-IT"/>
        </w:rPr>
        <w:t>Imposte di successione e donazione al passo con la realtà delle nuove famiglie. Esenzione di imposte e riduzione significativa di coefficienti e aliquote per partner di fatto e figliastri”.</w:t>
      </w:r>
    </w:p>
    <w:p w:rsidR="00DC26E9" w:rsidRDefault="00DC26E9" w:rsidP="00DC26E9">
      <w:pPr>
        <w:rPr>
          <w:rFonts w:eastAsia="Arial" w:cs="Arial"/>
        </w:rPr>
      </w:pPr>
    </w:p>
    <w:p w:rsidR="00DC26E9" w:rsidRDefault="00902FAB" w:rsidP="00DC26E9">
      <w:pPr>
        <w:rPr>
          <w:rFonts w:eastAsia="Arial" w:cs="Arial"/>
        </w:rPr>
      </w:pPr>
      <w:r>
        <w:rPr>
          <w:lang w:val="it-IT"/>
        </w:rPr>
        <w:t>Lo stesso Controllo cantonale delle f</w:t>
      </w:r>
      <w:r w:rsidR="00DC26E9">
        <w:rPr>
          <w:lang w:val="it-IT"/>
        </w:rPr>
        <w:t>inanze (CCF) ha confermato la situazione critica in un suo rapporto di revisio</w:t>
      </w:r>
      <w:r>
        <w:rPr>
          <w:lang w:val="it-IT"/>
        </w:rPr>
        <w:t>ne per gli esercizi 2012 e 2013</w:t>
      </w:r>
      <w:r w:rsidR="00DC26E9">
        <w:rPr>
          <w:lang w:val="it-IT"/>
        </w:rPr>
        <w:t xml:space="preserve">, nel quale ha rilevato come il sistema informatico di tassazione dell’imposta di successione e di donazione è sufficientemente funzionale per i bisogni giornalieri dei tassatori, ma alquanto obsoleto e poco flessibile nel caso di modifiche più o meno importanti da implementare. Il CCF ha pertanto raccomandato alla Divisione delle contribuzioni di pianificare l’ammodernamento dell’applicazione informatica dell’UISD e la sua integrazione nel sistema informativo globale della Divisione. </w:t>
      </w:r>
    </w:p>
    <w:p w:rsidR="00DC26E9" w:rsidRDefault="00DC26E9" w:rsidP="00DC26E9">
      <w:pPr>
        <w:rPr>
          <w:rFonts w:eastAsia="Arial" w:cs="Arial"/>
        </w:rPr>
      </w:pP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 xml:space="preserve">Gli obiettivi prefissati con il </w:t>
      </w:r>
      <w:r w:rsidR="00902FAB">
        <w:rPr>
          <w:lang w:val="it-IT"/>
        </w:rPr>
        <w:t xml:space="preserve">presente </w:t>
      </w:r>
      <w:r>
        <w:rPr>
          <w:lang w:val="it-IT"/>
        </w:rPr>
        <w:t>progetto sono i seguenti: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a</w:t>
      </w:r>
      <w:r w:rsidR="00DC26E9">
        <w:rPr>
          <w:lang w:val="it-IT"/>
        </w:rPr>
        <w:t>utomazione e semplificazione delle procedure interne di lavoro (stampa automatica delle decisioni di esenzione; gestione automatizzata delle generalità dei contribuenti, sistema di c</w:t>
      </w:r>
      <w:r>
        <w:rPr>
          <w:lang w:val="it-IT"/>
        </w:rPr>
        <w:t>ontrollo interno automatizzato);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i</w:t>
      </w:r>
      <w:r w:rsidR="00DC26E9">
        <w:rPr>
          <w:lang w:val="it-IT"/>
        </w:rPr>
        <w:t>ntegrazione con altri applicativi informatici già aggiornati (interfacciamento con il Registro de</w:t>
      </w:r>
      <w:r>
        <w:rPr>
          <w:lang w:val="it-IT"/>
        </w:rPr>
        <w:t xml:space="preserve">i contribuenti e con </w:t>
      </w:r>
      <w:proofErr w:type="spellStart"/>
      <w:r>
        <w:rPr>
          <w:lang w:val="it-IT"/>
        </w:rPr>
        <w:t>Tributum</w:t>
      </w:r>
      <w:proofErr w:type="spellEnd"/>
      <w:r>
        <w:rPr>
          <w:lang w:val="it-IT"/>
        </w:rPr>
        <w:t>);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r</w:t>
      </w:r>
      <w:r w:rsidR="00DC26E9">
        <w:rPr>
          <w:lang w:val="it-IT"/>
        </w:rPr>
        <w:t>eportist</w:t>
      </w:r>
      <w:r>
        <w:rPr>
          <w:lang w:val="it-IT"/>
        </w:rPr>
        <w:t>ica completa e personalizzabile;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f</w:t>
      </w:r>
      <w:r w:rsidR="00DC26E9">
        <w:rPr>
          <w:lang w:val="it-IT"/>
        </w:rPr>
        <w:t>lessibilità e modularità del sistema (adeguamento del sistema informatico in caso d</w:t>
      </w:r>
      <w:r>
        <w:rPr>
          <w:lang w:val="it-IT"/>
        </w:rPr>
        <w:t>i modifiche legislative future);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lastRenderedPageBreak/>
        <w:t>t</w:t>
      </w:r>
      <w:r w:rsidR="00DC26E9">
        <w:rPr>
          <w:lang w:val="it-IT"/>
        </w:rPr>
        <w:t xml:space="preserve">ecnologia semplice </w:t>
      </w:r>
      <w:r>
        <w:rPr>
          <w:lang w:val="it-IT"/>
        </w:rPr>
        <w:t>e moderna;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a</w:t>
      </w:r>
      <w:r w:rsidR="00DC26E9">
        <w:rPr>
          <w:lang w:val="it-IT"/>
        </w:rPr>
        <w:t>lto grado di rintracciabilità e di storicizzazione dei dati in formato elettron</w:t>
      </w:r>
      <w:r>
        <w:rPr>
          <w:lang w:val="it-IT"/>
        </w:rPr>
        <w:t>ico (attualmente non possibili);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c</w:t>
      </w:r>
      <w:r w:rsidR="00DC26E9">
        <w:rPr>
          <w:lang w:val="it-IT"/>
        </w:rPr>
        <w:t>onservazione dei dati in modo elettronico e conforme</w:t>
      </w:r>
      <w:r>
        <w:rPr>
          <w:lang w:val="it-IT"/>
        </w:rPr>
        <w:t xml:space="preserve"> a tutti gli standard in vigore;</w:t>
      </w:r>
    </w:p>
    <w:p w:rsidR="00DC26E9" w:rsidRDefault="00902FAB" w:rsidP="00DC26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f</w:t>
      </w:r>
      <w:r w:rsidR="00DC26E9">
        <w:rPr>
          <w:lang w:val="it-IT"/>
        </w:rPr>
        <w:t>ormalizzazione e rafforzamento del sistema di controllo interno (</w:t>
      </w:r>
      <w:proofErr w:type="spellStart"/>
      <w:r w:rsidR="00DC26E9">
        <w:rPr>
          <w:lang w:val="it-IT"/>
        </w:rPr>
        <w:t>Vier-Augen-Prinzip</w:t>
      </w:r>
      <w:proofErr w:type="spellEnd"/>
      <w:r w:rsidR="00DC26E9">
        <w:rPr>
          <w:lang w:val="it-IT"/>
        </w:rPr>
        <w:t>).</w:t>
      </w:r>
    </w:p>
    <w:p w:rsidR="00DC26E9" w:rsidRDefault="00DC26E9" w:rsidP="00DC26E9">
      <w:pPr>
        <w:rPr>
          <w:rFonts w:eastAsia="Arial" w:cs="Arial"/>
        </w:rPr>
      </w:pPr>
    </w:p>
    <w:p w:rsidR="00DC26E9" w:rsidRDefault="00DC26E9" w:rsidP="00DC26E9">
      <w:pPr>
        <w:rPr>
          <w:rFonts w:eastAsia="Arial" w:cs="Arial"/>
        </w:rPr>
      </w:pPr>
    </w:p>
    <w:p w:rsidR="00CE4C29" w:rsidRDefault="00CE4C29" w:rsidP="00DC26E9">
      <w:pPr>
        <w:rPr>
          <w:rFonts w:eastAsia="Arial" w:cs="Arial"/>
        </w:rPr>
      </w:pPr>
    </w:p>
    <w:p w:rsidR="00DC26E9" w:rsidRDefault="00DC26E9" w:rsidP="00CE4C29">
      <w:pPr>
        <w:pStyle w:val="Titolo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LA SOLUZIONE PROPOSTA</w:t>
      </w: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>In collaborazione con il Centro sistemi informativi (CSI), la Divisione delle contribuzioni (</w:t>
      </w:r>
      <w:proofErr w:type="spellStart"/>
      <w:r>
        <w:rPr>
          <w:lang w:val="it-IT"/>
        </w:rPr>
        <w:t>DdC</w:t>
      </w:r>
      <w:proofErr w:type="spellEnd"/>
      <w:r>
        <w:rPr>
          <w:lang w:val="it-IT"/>
        </w:rPr>
        <w:t>) ha scelto di scartare l’ipotesi di uno sviluppo ad hoc ex novo da parte di un fornitore esterno o da parte del CSI.</w:t>
      </w: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 xml:space="preserve">L’UISD ha provveduto pertanto ad effettuare un sondaggio presso i Cantoni dotati di una legislazione fiscale in materia di successione e donazione simile a quella ticinese - in particolare Berna, Zurigo e </w:t>
      </w:r>
      <w:proofErr w:type="spellStart"/>
      <w:r>
        <w:rPr>
          <w:lang w:val="it-IT"/>
        </w:rPr>
        <w:t>Friborgo</w:t>
      </w:r>
      <w:proofErr w:type="spellEnd"/>
      <w:r>
        <w:rPr>
          <w:lang w:val="it-IT"/>
        </w:rPr>
        <w:t xml:space="preserve"> </w:t>
      </w:r>
      <w:r w:rsidR="00902FAB">
        <w:rPr>
          <w:lang w:val="it-IT"/>
        </w:rPr>
        <w:t>-</w:t>
      </w:r>
      <w:r>
        <w:rPr>
          <w:lang w:val="it-IT"/>
        </w:rPr>
        <w:t xml:space="preserve"> al fine di identificare quale potesse essere la soluzione informatica più adeguata in termini tecnici, legislativi e finanziari al nostro Cantone.</w:t>
      </w: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>Alla fine della verifica è risultato</w:t>
      </w:r>
      <w:r w:rsidR="00CE4C29">
        <w:rPr>
          <w:lang w:val="it-IT"/>
        </w:rPr>
        <w:t xml:space="preserve"> che il sistema utilizzato nel C</w:t>
      </w:r>
      <w:r>
        <w:rPr>
          <w:lang w:val="it-IT"/>
        </w:rPr>
        <w:t>anton Berna e sviluppato dalla ditta DV Bern AG è il più adeguato alle nostre esigenze per i seguenti motivi:</w:t>
      </w:r>
    </w:p>
    <w:p w:rsidR="00DC26E9" w:rsidRDefault="00DC26E9" w:rsidP="00CE4C29">
      <w:pPr>
        <w:spacing w:before="100"/>
        <w:ind w:left="284" w:hanging="284"/>
        <w:rPr>
          <w:rFonts w:eastAsia="Arial" w:cs="Arial"/>
        </w:rPr>
      </w:pPr>
      <w:r>
        <w:rPr>
          <w:lang w:val="it-IT"/>
        </w:rPr>
        <w:t>-</w:t>
      </w:r>
      <w:r>
        <w:rPr>
          <w:lang w:val="it-IT"/>
        </w:rPr>
        <w:tab/>
        <w:t>la struttura dell’Ufficio imposte di successione e donazione del Canton Berna è molto simile a quella dell’UISD;</w:t>
      </w:r>
    </w:p>
    <w:p w:rsidR="00DC26E9" w:rsidRDefault="00DC26E9" w:rsidP="00CE4C29">
      <w:pPr>
        <w:spacing w:before="100"/>
        <w:ind w:left="284" w:hanging="284"/>
        <w:rPr>
          <w:rFonts w:eastAsia="Arial" w:cs="Arial"/>
        </w:rPr>
      </w:pPr>
      <w:r>
        <w:rPr>
          <w:lang w:val="it-IT"/>
        </w:rPr>
        <w:t>-</w:t>
      </w:r>
      <w:r>
        <w:rPr>
          <w:lang w:val="it-IT"/>
        </w:rPr>
        <w:tab/>
        <w:t>i processi e le procedure interne adottate dal Canton Berna, fatta eccezione per la gestione dell’inventario successorio, sono molto affini;</w:t>
      </w:r>
    </w:p>
    <w:p w:rsidR="00DC26E9" w:rsidRDefault="00DC26E9" w:rsidP="00CE4C29">
      <w:pPr>
        <w:spacing w:before="100"/>
        <w:ind w:left="284" w:hanging="284"/>
        <w:rPr>
          <w:rFonts w:eastAsia="Arial" w:cs="Arial"/>
        </w:rPr>
      </w:pPr>
      <w:r>
        <w:rPr>
          <w:lang w:val="it-IT"/>
        </w:rPr>
        <w:t>-</w:t>
      </w:r>
      <w:r>
        <w:rPr>
          <w:lang w:val="it-IT"/>
        </w:rPr>
        <w:tab/>
        <w:t>l’applicativo informatico è di recente implementazione e tiene pertanto conto delle nuove esigenze in ambito di gestione delle imposte, incluse le esigenze di controllo interno.</w:t>
      </w:r>
    </w:p>
    <w:p w:rsidR="00DC26E9" w:rsidRDefault="00DC26E9" w:rsidP="00DC26E9">
      <w:pPr>
        <w:rPr>
          <w:rFonts w:eastAsia="Arial" w:cs="Arial"/>
        </w:rPr>
      </w:pPr>
    </w:p>
    <w:p w:rsidR="00DC26E9" w:rsidRDefault="00DC26E9" w:rsidP="00DC26E9">
      <w:pPr>
        <w:rPr>
          <w:rFonts w:eastAsia="Arial" w:cs="Arial"/>
          <w:b/>
          <w:bCs/>
        </w:rPr>
      </w:pPr>
      <w:r>
        <w:rPr>
          <w:lang w:val="it-IT"/>
        </w:rPr>
        <w:t xml:space="preserve">Inoltre non è da negligere il fatto che </w:t>
      </w:r>
      <w:r w:rsidRPr="00CE4C29">
        <w:rPr>
          <w:b/>
          <w:bCs/>
          <w:sz w:val="23"/>
          <w:szCs w:val="23"/>
          <w:lang w:val="it-IT"/>
        </w:rPr>
        <w:t>il Canton Berna si è dichiarato disposto a cedere gratuitamente al Canton Ticino il codice sorgente per l’utilizzo del programma informatico</w:t>
      </w:r>
      <w:r>
        <w:rPr>
          <w:b/>
          <w:bCs/>
          <w:lang w:val="it-IT"/>
        </w:rPr>
        <w:t>.</w:t>
      </w:r>
    </w:p>
    <w:p w:rsidR="00DC26E9" w:rsidRDefault="00DC26E9" w:rsidP="00DC26E9">
      <w:pPr>
        <w:rPr>
          <w:rFonts w:eastAsia="Arial" w:cs="Arial"/>
        </w:rPr>
      </w:pP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>I motivi della scelta sono sostanzialmente 4:</w:t>
      </w:r>
    </w:p>
    <w:p w:rsidR="00DC26E9" w:rsidRDefault="00DC26E9" w:rsidP="00902FA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84" w:hanging="284"/>
      </w:pPr>
      <w:r>
        <w:rPr>
          <w:lang w:val="it-IT"/>
        </w:rPr>
        <w:t>la soluzione informatica è recente e sviluppata su processi di lavoro simi</w:t>
      </w:r>
      <w:r w:rsidR="00902FAB">
        <w:rPr>
          <w:lang w:val="it-IT"/>
        </w:rPr>
        <w:t>li</w:t>
      </w:r>
      <w:r>
        <w:rPr>
          <w:lang w:val="it-IT"/>
        </w:rPr>
        <w:t xml:space="preserve"> a quelli ticinesi</w:t>
      </w:r>
      <w:r w:rsidR="00902FAB">
        <w:rPr>
          <w:lang w:val="it-IT"/>
        </w:rPr>
        <w:t>;</w:t>
      </w:r>
    </w:p>
    <w:p w:rsidR="00DC26E9" w:rsidRDefault="00902FAB" w:rsidP="00902FA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84" w:hanging="284"/>
      </w:pPr>
      <w:r>
        <w:rPr>
          <w:lang w:val="it-IT"/>
        </w:rPr>
        <w:t>i</w:t>
      </w:r>
      <w:r w:rsidR="00DC26E9">
        <w:rPr>
          <w:lang w:val="it-IT"/>
        </w:rPr>
        <w:t>l Canton Berna</w:t>
      </w:r>
      <w:r>
        <w:rPr>
          <w:lang w:val="it-IT"/>
        </w:rPr>
        <w:t xml:space="preserve"> cederà gratuitamente al nostro</w:t>
      </w:r>
      <w:r w:rsidR="00DC26E9">
        <w:rPr>
          <w:lang w:val="it-IT"/>
        </w:rPr>
        <w:t xml:space="preserve"> Cantone il codice sorgente dell’applicativo</w:t>
      </w:r>
      <w:r>
        <w:rPr>
          <w:lang w:val="it-IT"/>
        </w:rPr>
        <w:t>;</w:t>
      </w:r>
    </w:p>
    <w:p w:rsidR="00DC26E9" w:rsidRDefault="00902FAB" w:rsidP="00902FA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84" w:hanging="284"/>
      </w:pPr>
      <w:r>
        <w:rPr>
          <w:lang w:val="it-IT"/>
        </w:rPr>
        <w:t>c</w:t>
      </w:r>
      <w:r w:rsidR="00DC26E9">
        <w:rPr>
          <w:lang w:val="it-IT"/>
        </w:rPr>
        <w:t>i sono diverse similitudini tra le legislazioni tributarie dei due Cantoni</w:t>
      </w:r>
      <w:r>
        <w:rPr>
          <w:lang w:val="it-IT"/>
        </w:rPr>
        <w:t>;</w:t>
      </w:r>
    </w:p>
    <w:p w:rsidR="00DC26E9" w:rsidRDefault="00902FAB" w:rsidP="00902FAB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  <w:ind w:left="284" w:hanging="284"/>
      </w:pPr>
      <w:r>
        <w:rPr>
          <w:lang w:val="it-IT"/>
        </w:rPr>
        <w:t>i</w:t>
      </w:r>
      <w:r w:rsidR="00DC26E9">
        <w:rPr>
          <w:lang w:val="it-IT"/>
        </w:rPr>
        <w:t>l sistema informatico permette l’archiviazione elettronica dei documenti limitando le esigenze di spazi per l’archiviazione cartacea</w:t>
      </w:r>
      <w:r>
        <w:rPr>
          <w:lang w:val="it-IT"/>
        </w:rPr>
        <w:t>.</w:t>
      </w:r>
    </w:p>
    <w:p w:rsidR="00DC26E9" w:rsidRDefault="00DC26E9" w:rsidP="00DC26E9">
      <w:pPr>
        <w:rPr>
          <w:rFonts w:eastAsia="Arial" w:cs="Arial"/>
        </w:rPr>
      </w:pP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 xml:space="preserve">L’adattamento della soluzione bernese già esistente, a costi molto contenuti, presuppone </w:t>
      </w:r>
      <w:r w:rsidRPr="00CE4C29">
        <w:rPr>
          <w:b/>
          <w:bCs/>
          <w:sz w:val="23"/>
          <w:szCs w:val="23"/>
          <w:lang w:val="it-IT"/>
        </w:rPr>
        <w:t>l’assegnazione di un incarico diretto alla ditta DV Bern AG</w:t>
      </w:r>
      <w:r>
        <w:rPr>
          <w:lang w:val="it-IT"/>
        </w:rPr>
        <w:t xml:space="preserve"> affinché la soluzione informatica elaborata per il Canton Berna venga utilizzata anche per il nostro Cantone e unicamente adattata alle necessità dello stesso. </w:t>
      </w:r>
    </w:p>
    <w:p w:rsidR="00DC26E9" w:rsidRDefault="00DC26E9" w:rsidP="00DC26E9">
      <w:pPr>
        <w:rPr>
          <w:rFonts w:eastAsia="Arial" w:cs="Arial"/>
        </w:rPr>
      </w:pP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 xml:space="preserve">La soluzione del mandato diretto risulta, secondo le necessarie verifiche effettuate, conforme alla legislazione in materia di appalti pubblici, in particolare ai sensi dell’art. 13 </w:t>
      </w:r>
      <w:proofErr w:type="spellStart"/>
      <w:r>
        <w:rPr>
          <w:lang w:val="it-IT"/>
        </w:rPr>
        <w:lastRenderedPageBreak/>
        <w:t>lett</w:t>
      </w:r>
      <w:proofErr w:type="spellEnd"/>
      <w:r>
        <w:rPr>
          <w:lang w:val="it-IT"/>
        </w:rPr>
        <w:t xml:space="preserve">. c) e g) del Concordato internazionale sugli appalti pubblici (CIAP). A tal proposito si segnala che la fattispecie è stata oggetto di un’attenta analisi giuridica interna alla </w:t>
      </w:r>
      <w:proofErr w:type="spellStart"/>
      <w:r>
        <w:rPr>
          <w:lang w:val="it-IT"/>
        </w:rPr>
        <w:t>DdC</w:t>
      </w:r>
      <w:proofErr w:type="spellEnd"/>
      <w:r>
        <w:rPr>
          <w:lang w:val="it-IT"/>
        </w:rPr>
        <w:t>, in collaborazione con il CSI, poi condivisa e approvata dal consulente giuridico del Consiglio di Stato.</w:t>
      </w:r>
    </w:p>
    <w:p w:rsidR="00DC26E9" w:rsidRDefault="00DC26E9" w:rsidP="00DC26E9">
      <w:pPr>
        <w:rPr>
          <w:rFonts w:eastAsia="Arial" w:cs="Arial"/>
        </w:rPr>
      </w:pPr>
    </w:p>
    <w:p w:rsidR="00DC26E9" w:rsidRDefault="00DC26E9" w:rsidP="00DC26E9">
      <w:pPr>
        <w:rPr>
          <w:rFonts w:eastAsia="Arial" w:cs="Arial"/>
        </w:rPr>
      </w:pPr>
      <w:r>
        <w:rPr>
          <w:lang w:val="it-IT"/>
        </w:rPr>
        <w:t>Dall’analisi compiuta risultano i seguenti benefici per l’adempimento del lavoro dell’UISD:</w:t>
      </w:r>
    </w:p>
    <w:p w:rsidR="00DC26E9" w:rsidRDefault="00902FAB" w:rsidP="00DC26E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m</w:t>
      </w:r>
      <w:r w:rsidR="00DC26E9">
        <w:rPr>
          <w:lang w:val="it-IT"/>
        </w:rPr>
        <w:t>iglioramento del s</w:t>
      </w:r>
      <w:r>
        <w:rPr>
          <w:lang w:val="it-IT"/>
        </w:rPr>
        <w:t>ervizio offerto al contribuente;</w:t>
      </w:r>
    </w:p>
    <w:p w:rsidR="00DC26E9" w:rsidRDefault="00902FAB" w:rsidP="00DC26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o</w:t>
      </w:r>
      <w:r w:rsidR="00DC26E9">
        <w:rPr>
          <w:lang w:val="it-IT"/>
        </w:rPr>
        <w:t>ttimizzazione dell’attuale carico di lavoro mediante l’automazione d</w:t>
      </w:r>
      <w:r>
        <w:rPr>
          <w:lang w:val="it-IT"/>
        </w:rPr>
        <w:t>i procedure attualmente manuali;</w:t>
      </w:r>
    </w:p>
    <w:p w:rsidR="00DC26E9" w:rsidRDefault="00902FAB" w:rsidP="00DC26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o</w:t>
      </w:r>
      <w:r w:rsidR="00DC26E9">
        <w:rPr>
          <w:lang w:val="it-IT"/>
        </w:rPr>
        <w:t>ttimizzazione dei tempi di lavoro nello svo</w:t>
      </w:r>
      <w:r>
        <w:rPr>
          <w:lang w:val="it-IT"/>
        </w:rPr>
        <w:t>lgimento di operazioni semplici;</w:t>
      </w:r>
    </w:p>
    <w:p w:rsidR="00DC26E9" w:rsidRDefault="00902FAB" w:rsidP="00DC26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r</w:t>
      </w:r>
      <w:r w:rsidR="00DC26E9">
        <w:rPr>
          <w:lang w:val="it-IT"/>
        </w:rPr>
        <w:t>ecupero dei ritardi su</w:t>
      </w:r>
      <w:r>
        <w:rPr>
          <w:lang w:val="it-IT"/>
        </w:rPr>
        <w:t xml:space="preserve"> casi complessi (medio termine);</w:t>
      </w:r>
    </w:p>
    <w:p w:rsidR="00DC26E9" w:rsidRDefault="00902FAB" w:rsidP="00DC26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e</w:t>
      </w:r>
      <w:r w:rsidR="00DC26E9">
        <w:rPr>
          <w:lang w:val="it-IT"/>
        </w:rPr>
        <w:t>liminazione della doppia/tripla ripresa della stessa informazione (ad ese</w:t>
      </w:r>
      <w:r>
        <w:rPr>
          <w:lang w:val="it-IT"/>
        </w:rPr>
        <w:t>mpio nel Registro contribuenti);</w:t>
      </w:r>
    </w:p>
    <w:p w:rsidR="00DC26E9" w:rsidRDefault="00902FAB" w:rsidP="00DC26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r</w:t>
      </w:r>
      <w:r w:rsidR="00DC26E9">
        <w:rPr>
          <w:lang w:val="it-IT"/>
        </w:rPr>
        <w:t>iduzione del rischio di errore e migliore rintracciabilità delle fonti d’errore, per il tramite d</w:t>
      </w:r>
      <w:r>
        <w:rPr>
          <w:lang w:val="it-IT"/>
        </w:rPr>
        <w:t>el sistema di controllo interno;</w:t>
      </w:r>
    </w:p>
    <w:p w:rsidR="00DC26E9" w:rsidRDefault="00902FAB" w:rsidP="00DC26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c</w:t>
      </w:r>
      <w:r w:rsidR="00DC26E9">
        <w:rPr>
          <w:lang w:val="it-IT"/>
        </w:rPr>
        <w:t>on</w:t>
      </w:r>
      <w:r>
        <w:rPr>
          <w:lang w:val="it-IT"/>
        </w:rPr>
        <w:t>tenimento del traffico di carta;</w:t>
      </w:r>
    </w:p>
    <w:p w:rsidR="00DC26E9" w:rsidRDefault="00902FAB" w:rsidP="00DC26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r</w:t>
      </w:r>
      <w:r w:rsidR="00DC26E9">
        <w:rPr>
          <w:lang w:val="it-IT"/>
        </w:rPr>
        <w:t xml:space="preserve">iduzione dell’archiviazione cartacea in virtù di un’archiviazione elettronica in vista anche dell’imminente trasloco dell’UISD nei nuovi uffici a Lugano ove gli spazi per </w:t>
      </w:r>
      <w:r>
        <w:rPr>
          <w:lang w:val="it-IT"/>
        </w:rPr>
        <w:t>l’archiviazione saranno ridotti;</w:t>
      </w:r>
    </w:p>
    <w:p w:rsidR="00DC26E9" w:rsidRDefault="00902FAB" w:rsidP="00DC26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m</w:t>
      </w:r>
      <w:r w:rsidR="00DC26E9">
        <w:rPr>
          <w:lang w:val="it-IT"/>
        </w:rPr>
        <w:t>aggiori possibilità di effettuare analisi sui dati</w:t>
      </w:r>
      <w:r>
        <w:rPr>
          <w:lang w:val="it-IT"/>
        </w:rPr>
        <w:t>;</w:t>
      </w:r>
    </w:p>
    <w:p w:rsidR="00DC26E9" w:rsidRDefault="00902FAB" w:rsidP="00DC26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m</w:t>
      </w:r>
      <w:r w:rsidR="00DC26E9">
        <w:rPr>
          <w:lang w:val="it-IT"/>
        </w:rPr>
        <w:t>aggiore facilità nell’accesso diretto a informazi</w:t>
      </w:r>
      <w:r>
        <w:rPr>
          <w:lang w:val="it-IT"/>
        </w:rPr>
        <w:t xml:space="preserve">oni presenti su banche dati </w:t>
      </w:r>
      <w:proofErr w:type="spellStart"/>
      <w:r>
        <w:rPr>
          <w:lang w:val="it-IT"/>
        </w:rPr>
        <w:t>DdC</w:t>
      </w:r>
      <w:proofErr w:type="spellEnd"/>
      <w:r>
        <w:rPr>
          <w:lang w:val="it-IT"/>
        </w:rPr>
        <w:t>;</w:t>
      </w:r>
    </w:p>
    <w:p w:rsidR="00DC26E9" w:rsidRDefault="00902FAB" w:rsidP="00DC26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  <w:rPr>
          <w:b/>
          <w:bCs/>
        </w:rPr>
      </w:pPr>
      <w:r>
        <w:rPr>
          <w:lang w:val="it-IT"/>
        </w:rPr>
        <w:t>m</w:t>
      </w:r>
      <w:r w:rsidR="00DC26E9">
        <w:rPr>
          <w:lang w:val="it-IT"/>
        </w:rPr>
        <w:t xml:space="preserve">igliore modalità di comunicazione dati/interfacciamento con sistemi esistenti (Registro contribuenti, Esazione, ENVA, </w:t>
      </w:r>
      <w:proofErr w:type="spellStart"/>
      <w:r w:rsidR="00DC26E9">
        <w:rPr>
          <w:lang w:val="it-IT"/>
        </w:rPr>
        <w:t>Tributum</w:t>
      </w:r>
      <w:proofErr w:type="spellEnd"/>
      <w:r w:rsidR="00DC26E9">
        <w:rPr>
          <w:lang w:val="it-IT"/>
        </w:rPr>
        <w:t>) e, di conseguenza, migliore rintracciabilità</w:t>
      </w:r>
      <w:r>
        <w:rPr>
          <w:lang w:val="it-IT"/>
        </w:rPr>
        <w:t xml:space="preserve"> di casi imponibili (donazioni);</w:t>
      </w:r>
    </w:p>
    <w:p w:rsidR="00DC26E9" w:rsidRDefault="00902FAB" w:rsidP="00DC26E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3"/>
        </w:tabs>
        <w:spacing w:before="80"/>
      </w:pPr>
      <w:r>
        <w:rPr>
          <w:lang w:val="it-IT"/>
        </w:rPr>
        <w:t>m</w:t>
      </w:r>
      <w:r w:rsidR="00DC26E9">
        <w:rPr>
          <w:lang w:val="it-IT"/>
        </w:rPr>
        <w:t>aggiore omogeneità del sistema IT e dismissione di strumenti non più innovativi per i quali la manutenzione è diventata troppo comples</w:t>
      </w:r>
      <w:r>
        <w:rPr>
          <w:lang w:val="it-IT"/>
        </w:rPr>
        <w:t>sa a livello di tempo e risorse;</w:t>
      </w:r>
    </w:p>
    <w:p w:rsidR="00DC26E9" w:rsidRDefault="00902FAB" w:rsidP="00DC26E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/>
      </w:pPr>
      <w:r>
        <w:rPr>
          <w:lang w:val="it-IT"/>
        </w:rPr>
        <w:t>m</w:t>
      </w:r>
      <w:r w:rsidR="00DC26E9">
        <w:rPr>
          <w:lang w:val="it-IT"/>
        </w:rPr>
        <w:t>aggiore flessibilità del sistema a fronte di adeguamenti legislativi importanti, come quelli previsti a breve.</w:t>
      </w:r>
    </w:p>
    <w:p w:rsidR="00DC26E9" w:rsidRPr="00CE4C29" w:rsidRDefault="00DC26E9" w:rsidP="00CE4C29"/>
    <w:p w:rsidR="00DC26E9" w:rsidRPr="00CE4C29" w:rsidRDefault="00DC26E9" w:rsidP="00CE4C29">
      <w:r w:rsidRPr="00CE4C29">
        <w:t xml:space="preserve">Evidentemente si tratta di un progetto ambizioso ed impegnativo, sia per la necessità di intrecciamento con altri applicativi in uso alla </w:t>
      </w:r>
      <w:proofErr w:type="spellStart"/>
      <w:r w:rsidRPr="00CE4C29">
        <w:t>DdC</w:t>
      </w:r>
      <w:proofErr w:type="spellEnd"/>
      <w:r w:rsidRPr="00CE4C29">
        <w:t>, sia per la delicatezza riguardante la migrazione dei dati dei contribuenti, sia per l’imperativa necessità di avere un sistema flessibile che potrà essere sviluppato in futuro a seconda dei cambiamenti legislativi in ambito di imposizione di successioni e donazioni che potranno essere decisi a livello federale o a livello cantonale.</w:t>
      </w:r>
    </w:p>
    <w:p w:rsidR="00DC26E9" w:rsidRPr="00CE4C29" w:rsidRDefault="00DC26E9" w:rsidP="00CE4C29"/>
    <w:p w:rsidR="00DC26E9" w:rsidRPr="00CE4C29" w:rsidRDefault="00DC26E9" w:rsidP="00CE4C29">
      <w:r w:rsidRPr="00CE4C29">
        <w:t xml:space="preserve">La complessità del progetto è presentata da </w:t>
      </w:r>
      <w:proofErr w:type="spellStart"/>
      <w:r w:rsidRPr="00CE4C29">
        <w:t>pag</w:t>
      </w:r>
      <w:proofErr w:type="spellEnd"/>
      <w:r w:rsidRPr="00CE4C29">
        <w:t xml:space="preserve"> 8. in avanti del messaggio. Sottolineiamo unicamente che dei sette moduli previsti, quattro saranno messi immediatamente in produzione mentre tre seguiranno in una seconda fase.</w:t>
      </w:r>
    </w:p>
    <w:p w:rsidR="00DC26E9" w:rsidRPr="00CE4C29" w:rsidRDefault="00DC26E9" w:rsidP="00CE4C29">
      <w:r w:rsidRPr="00CE4C29">
        <w:t xml:space="preserve">Ed è proprio la seconda fase - a nostro parere - la più interessante per il contribuente con l’introduzione dell’interfaccia Web per comunicare direttamente con l’UISD; per la trasparenza, con un sistema automatico di statistica e la creazione di </w:t>
      </w:r>
      <w:proofErr w:type="spellStart"/>
      <w:r w:rsidRPr="00CE4C29">
        <w:t>queries</w:t>
      </w:r>
      <w:proofErr w:type="spellEnd"/>
      <w:r w:rsidRPr="00CE4C29">
        <w:t>; per il controllo dell’attività con un sistema di verifica e monitoraggio (IKS)</w:t>
      </w:r>
      <w:r w:rsidR="00902FAB">
        <w:t>.</w:t>
      </w:r>
    </w:p>
    <w:p w:rsidR="00DC26E9" w:rsidRDefault="00DC26E9" w:rsidP="00CE4C29"/>
    <w:p w:rsidR="00CE4C29" w:rsidRDefault="00CE4C29" w:rsidP="00CE4C29"/>
    <w:p w:rsidR="00CE4C29" w:rsidRPr="00CE4C29" w:rsidRDefault="00CE4C29" w:rsidP="00CE4C29"/>
    <w:p w:rsidR="00DC26E9" w:rsidRPr="00CE4C29" w:rsidRDefault="00DC26E9" w:rsidP="00CE4C29">
      <w:pPr>
        <w:pStyle w:val="Titolo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CE4C29">
        <w:lastRenderedPageBreak/>
        <w:t>TEMPI E COSTI</w:t>
      </w:r>
    </w:p>
    <w:p w:rsidR="00DC26E9" w:rsidRPr="00CE4C29" w:rsidRDefault="00DC26E9" w:rsidP="00CE4C29">
      <w:pPr>
        <w:rPr>
          <w:rFonts w:eastAsia="Arial" w:cs="Arial"/>
        </w:rPr>
      </w:pPr>
      <w:r w:rsidRPr="00CE4C29">
        <w:t>L’implementazione dell’applicativo impegnerà l’UISD per 366 giorni/uomo, il CSI per 544 g/u e il fornitore esterno DV Bern per 7272 g/u.</w:t>
      </w:r>
    </w:p>
    <w:p w:rsidR="00DC26E9" w:rsidRPr="00CE4C29" w:rsidRDefault="00DC26E9" w:rsidP="00CE4C29">
      <w:pPr>
        <w:rPr>
          <w:rFonts w:eastAsia="Arial" w:cs="Arial"/>
        </w:rPr>
      </w:pPr>
      <w:r w:rsidRPr="00CE4C29">
        <w:t>Le varie fasi del progetto dovrebbero richiedere in totale 17 mesi (compresa la fase di monitoraggio), mentre l’applicativo potrebbe venir già utilizzato nel corsi dei primi mesi del 2021.</w:t>
      </w:r>
    </w:p>
    <w:p w:rsidR="00DC26E9" w:rsidRPr="00CE4C29" w:rsidRDefault="00DC26E9" w:rsidP="00CE4C29">
      <w:pPr>
        <w:rPr>
          <w:rFonts w:eastAsia="Arial" w:cs="Arial"/>
        </w:rPr>
      </w:pPr>
    </w:p>
    <w:p w:rsidR="00DC26E9" w:rsidRPr="00CE4C29" w:rsidRDefault="00DC26E9" w:rsidP="00CE4C29">
      <w:pPr>
        <w:rPr>
          <w:rFonts w:eastAsia="Arial" w:cs="Arial"/>
          <w:szCs w:val="24"/>
        </w:rPr>
      </w:pPr>
      <w:r w:rsidRPr="00CE4C29">
        <w:rPr>
          <w:szCs w:val="24"/>
        </w:rPr>
        <w:t xml:space="preserve">I 727 giorni previsti dal fornitore esterno considerano le diverse fasi del progetto (concezione, realizzazione, introduzione, finalizzazione, messa in produzione e </w:t>
      </w:r>
      <w:proofErr w:type="spellStart"/>
      <w:r w:rsidRPr="00CE4C29">
        <w:rPr>
          <w:szCs w:val="24"/>
        </w:rPr>
        <w:t>roll</w:t>
      </w:r>
      <w:proofErr w:type="spellEnd"/>
      <w:r w:rsidRPr="00CE4C29">
        <w:rPr>
          <w:szCs w:val="24"/>
        </w:rPr>
        <w:t xml:space="preserve">-out). Da non sottovalutare in particolare la fase di migrazione dati da un sistema ormai vetusto ad un sistema con nuovi campi e funzionalità. Il rischio di errore è elevato e vi sarà verosimilmente la necessità di concentrare le risorse per effettuare test adeguati e per correggere gli errori. Vi è inoltre da rilevare che il quadro legislativo di Berna è simile ma non uguale, per cui l’adattamento del sistema informatico comporterà in ogni caso la necessità di sviluppare alcune funzionalità o di modificare alcune esistenti per Berna. Come esempi concreti pensiamo alla particolarità ticinese della levata dei sigilli comunali, piuttosto che della prassi di invio di un progetto preliminare di decisione o la necessità di prevedere poi tutte le interfacce con i sistemi informatici della </w:t>
      </w:r>
      <w:proofErr w:type="spellStart"/>
      <w:r w:rsidRPr="00CE4C29">
        <w:rPr>
          <w:szCs w:val="24"/>
        </w:rPr>
        <w:t>DdC</w:t>
      </w:r>
      <w:proofErr w:type="spellEnd"/>
      <w:r w:rsidRPr="00CE4C29">
        <w:rPr>
          <w:szCs w:val="24"/>
        </w:rPr>
        <w:t>.</w:t>
      </w:r>
    </w:p>
    <w:p w:rsidR="00DC26E9" w:rsidRPr="00CE4C29" w:rsidRDefault="00DC26E9" w:rsidP="00CE4C29">
      <w:pPr>
        <w:rPr>
          <w:rFonts w:eastAsia="Arial" w:cs="Arial"/>
          <w:szCs w:val="24"/>
        </w:rPr>
      </w:pPr>
      <w:r w:rsidRPr="00CE4C29">
        <w:rPr>
          <w:szCs w:val="24"/>
        </w:rPr>
        <w:t>L’offerta della ditta DV Bern appare quindi congrua con una spesa ci circa 1 milione di franchi ai quali si aggiungerà l’interfacciamento con il sistema “</w:t>
      </w:r>
      <w:proofErr w:type="spellStart"/>
      <w:r w:rsidRPr="00CE4C29">
        <w:rPr>
          <w:szCs w:val="24"/>
        </w:rPr>
        <w:t>Tributum</w:t>
      </w:r>
      <w:proofErr w:type="spellEnd"/>
      <w:r w:rsidRPr="00CE4C29">
        <w:rPr>
          <w:szCs w:val="24"/>
        </w:rPr>
        <w:t>” (sistema di accertamento delle PF e delle PG), i costi di infrastruttura, una riserva del 10% e i costi per una risorsa aggiuntiva in fase di sviluppo per un totale di 1,6 mio (vedi pag. 12 messaggio).</w:t>
      </w:r>
    </w:p>
    <w:p w:rsidR="00DC26E9" w:rsidRPr="00CE4C29" w:rsidRDefault="00DC26E9" w:rsidP="00CE4C29">
      <w:pPr>
        <w:rPr>
          <w:rFonts w:eastAsia="Arial" w:cs="Arial"/>
          <w:szCs w:val="24"/>
        </w:rPr>
      </w:pPr>
    </w:p>
    <w:p w:rsidR="00DC26E9" w:rsidRPr="00CE4C29" w:rsidRDefault="00DC26E9" w:rsidP="00CE4C29">
      <w:pPr>
        <w:rPr>
          <w:rFonts w:eastAsia="Arial" w:cs="Arial"/>
          <w:szCs w:val="24"/>
        </w:rPr>
      </w:pPr>
      <w:r w:rsidRPr="00CE4C29">
        <w:rPr>
          <w:szCs w:val="24"/>
        </w:rPr>
        <w:t xml:space="preserve">Per ciò che attiene ai costi annuali di gestione è importante specificare che questi comprendono la parte di manutenzione ordinaria stimata dal fornitore (CHF 170'000) e la parte di manutenzione evolutiva stimata dalla </w:t>
      </w:r>
      <w:proofErr w:type="spellStart"/>
      <w:r w:rsidRPr="00CE4C29">
        <w:rPr>
          <w:szCs w:val="24"/>
        </w:rPr>
        <w:t>DdC</w:t>
      </w:r>
      <w:proofErr w:type="spellEnd"/>
      <w:r w:rsidRPr="00CE4C29">
        <w:rPr>
          <w:szCs w:val="24"/>
        </w:rPr>
        <w:t xml:space="preserve"> sulla base di parametri standard in campo informatico (CHF 155'000.--), per un totale di CHF 325'000.—. Questi costi devono esse</w:t>
      </w:r>
      <w:r w:rsidR="00FE7F29">
        <w:rPr>
          <w:szCs w:val="24"/>
        </w:rPr>
        <w:t xml:space="preserve">re rapportati, a nostro avviso, </w:t>
      </w:r>
      <w:r w:rsidRPr="00CE4C29">
        <w:rPr>
          <w:szCs w:val="24"/>
        </w:rPr>
        <w:t>all’investimento iniziale che il Cantone avrebbe dovuto sopportare se il Canton Berna non avesse ceduto il codice sorgente, equivalenti all’incirca a CHF 3 Mio. (i costi di manutenzione sono infatti indipendenti dal prezzo di investimento iniziale che andiamo a pagare in realtà).  Facendo questo confronto, risulta che le spese totali di gestione corrente e evolutiva sono stimate ad un valore corrispondente al 10,8% del totale dell’investimento.</w:t>
      </w:r>
    </w:p>
    <w:p w:rsidR="00DC26E9" w:rsidRPr="00CE4C29" w:rsidRDefault="00DC26E9" w:rsidP="00CE4C29">
      <w:pPr>
        <w:rPr>
          <w:rFonts w:eastAsia="Arial" w:cs="Arial"/>
          <w:color w:val="1F497D"/>
          <w:sz w:val="22"/>
        </w:rPr>
      </w:pPr>
    </w:p>
    <w:p w:rsidR="00CE4C29" w:rsidRPr="00CE4C29" w:rsidRDefault="00CE4C29" w:rsidP="00CE4C29">
      <w:pPr>
        <w:rPr>
          <w:rFonts w:eastAsia="Arial" w:cs="Arial"/>
          <w:color w:val="1F497D"/>
          <w:sz w:val="22"/>
        </w:rPr>
      </w:pPr>
    </w:p>
    <w:p w:rsidR="00CE4C29" w:rsidRPr="00CE4C29" w:rsidRDefault="00CE4C29" w:rsidP="00CE4C29">
      <w:pPr>
        <w:rPr>
          <w:rFonts w:eastAsia="Arial" w:cs="Arial"/>
          <w:color w:val="1F497D"/>
          <w:sz w:val="22"/>
        </w:rPr>
      </w:pPr>
    </w:p>
    <w:p w:rsidR="00DC26E9" w:rsidRPr="00CE4C29" w:rsidRDefault="00DC26E9" w:rsidP="00CE4C29">
      <w:pPr>
        <w:pStyle w:val="Titolo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CE4C29">
        <w:t>CONCLUSIONI</w:t>
      </w:r>
    </w:p>
    <w:p w:rsidR="00DC26E9" w:rsidRDefault="00DC26E9" w:rsidP="00DC26E9">
      <w:r w:rsidRPr="00CE4C29">
        <w:t xml:space="preserve">Questo progetto rappresenta un ulteriore tassello nel mosaico della digitalizzazione dell’amministrazione Cantonale. Nel settore delle contribuzioni la strada sin qui tracciata, dopo le problematiche degli anni a cavallo del secolo, sta manifestando significativi progressi: basti pensare all’introduzione del sistema </w:t>
      </w:r>
      <w:proofErr w:type="spellStart"/>
      <w:r w:rsidRPr="00CE4C29">
        <w:t>eDossier</w:t>
      </w:r>
      <w:proofErr w:type="spellEnd"/>
      <w:r w:rsidRPr="00CE4C29">
        <w:t xml:space="preserve"> nella gestione delle dichiarazioni d’imposta. Una soluzione informatica completa, che ingloba l’intero processo di tassazione: dalla compilazione, da parte del contribuente, della dichiarazione d’imposta, al suo invio, passando in seguito dal processo di accertamento compiuto da parte dell’</w:t>
      </w:r>
      <w:r w:rsidR="00CE4C29" w:rsidRPr="00CE4C29">
        <w:t>autorità</w:t>
      </w:r>
      <w:r w:rsidRPr="00CE4C29">
        <w:t>̀ fiscale, fino alla notifica di tassazione.</w:t>
      </w:r>
    </w:p>
    <w:p w:rsidR="00CE4C29" w:rsidRPr="00CE4C29" w:rsidRDefault="00CE4C29" w:rsidP="00DC26E9">
      <w:pPr>
        <w:rPr>
          <w:rFonts w:eastAsia="Arial" w:cs="Arial"/>
        </w:rPr>
      </w:pPr>
    </w:p>
    <w:p w:rsidR="00DC26E9" w:rsidRDefault="00DC26E9" w:rsidP="00DC26E9">
      <w:r w:rsidRPr="00CE4C29">
        <w:t>Questa soluzione ha permesso di velocizzare i tempi di trattazione di ogni pratica e di recuperare il ritardo che si era accumulato negli anni. Basti pensare che nel corso del 2018</w:t>
      </w:r>
      <w:r w:rsidR="00FE7F29">
        <w:t xml:space="preserve"> </w:t>
      </w:r>
      <w:r w:rsidRPr="00CE4C29">
        <w:t>sono state evase 257’056 pratiche a fronte di 252’000 dichiarazioni inoltrate.</w:t>
      </w:r>
    </w:p>
    <w:p w:rsidR="00CE4C29" w:rsidRDefault="00CE4C29" w:rsidP="00DC26E9"/>
    <w:p w:rsidR="00DC26E9" w:rsidRPr="00CE4C29" w:rsidRDefault="00DC26E9" w:rsidP="00DC26E9">
      <w:pPr>
        <w:rPr>
          <w:rFonts w:eastAsia="Arial" w:cs="Arial"/>
        </w:rPr>
      </w:pPr>
      <w:r w:rsidRPr="00CE4C29">
        <w:lastRenderedPageBreak/>
        <w:t xml:space="preserve">Per i motivi illustrati nel presente rapporto e richiamate le considerazioni tecniche illustrate nel messaggio </w:t>
      </w:r>
      <w:r w:rsidR="00CE4C29">
        <w:t>governativo, la C</w:t>
      </w:r>
      <w:r w:rsidRPr="00CE4C29">
        <w:t>ommissione gestione e finanz</w:t>
      </w:r>
      <w:r w:rsidR="00EE1955">
        <w:t>e</w:t>
      </w:r>
      <w:bookmarkStart w:id="1" w:name="_GoBack"/>
      <w:bookmarkEnd w:id="1"/>
      <w:r w:rsidRPr="00CE4C29">
        <w:t xml:space="preserve"> invita il Gran Consiglio ad approvare il Decreto legislativo allegato al messaggio stanziando così il credito richiesto.</w:t>
      </w:r>
    </w:p>
    <w:bookmarkEnd w:id="0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B860C2" w:rsidRPr="00076E70" w:rsidRDefault="00CE4C29" w:rsidP="00B860C2">
      <w:pPr>
        <w:rPr>
          <w:rFonts w:cs="Arial"/>
          <w:szCs w:val="24"/>
        </w:rPr>
      </w:pPr>
      <w:r>
        <w:rPr>
          <w:rFonts w:cs="Arial"/>
          <w:szCs w:val="24"/>
        </w:rPr>
        <w:t>Michele Foletti</w:t>
      </w:r>
      <w:r w:rsidR="00B860C2" w:rsidRPr="00076E70">
        <w:rPr>
          <w:rFonts w:cs="Arial"/>
          <w:szCs w:val="24"/>
        </w:rPr>
        <w:t>, relatore</w:t>
      </w:r>
    </w:p>
    <w:p w:rsidR="00CE4C29" w:rsidRDefault="00CE4C29" w:rsidP="00CE4C29">
      <w:pPr>
        <w:rPr>
          <w:rFonts w:cs="Arial"/>
        </w:rPr>
      </w:pPr>
      <w:bookmarkStart w:id="2" w:name="OLE_LINK1"/>
      <w:bookmarkStart w:id="3" w:name="OLE_LINK2"/>
      <w:r>
        <w:rPr>
          <w:rFonts w:cs="Arial"/>
        </w:rPr>
        <w:t xml:space="preserve">Agustoni - Bignasca B. - Bourgoin - </w:t>
      </w:r>
    </w:p>
    <w:p w:rsidR="00CE4C29" w:rsidRDefault="00CE4C29" w:rsidP="00CE4C29">
      <w:pPr>
        <w:rPr>
          <w:rFonts w:cs="Arial"/>
        </w:rPr>
      </w:pPr>
      <w:r>
        <w:rPr>
          <w:rFonts w:cs="Arial"/>
        </w:rPr>
        <w:t xml:space="preserve">Caprara - Caverzasio - Dadò - Durisch - </w:t>
      </w:r>
    </w:p>
    <w:p w:rsidR="00DD43B8" w:rsidRDefault="00CE4C29" w:rsidP="00CE4C29">
      <w:pPr>
        <w:rPr>
          <w:rFonts w:cs="Arial"/>
        </w:rPr>
      </w:pPr>
      <w:r>
        <w:rPr>
          <w:rFonts w:cs="Arial"/>
        </w:rPr>
        <w:t xml:space="preserve">Farinelli - Ferrara - Fonio - Guerra - </w:t>
      </w:r>
    </w:p>
    <w:p w:rsidR="00CE4C29" w:rsidRDefault="00CE4C29" w:rsidP="00CE4C29">
      <w:pPr>
        <w:rPr>
          <w:rFonts w:cs="Arial"/>
        </w:rPr>
      </w:pPr>
      <w:r>
        <w:rPr>
          <w:rFonts w:cs="Arial"/>
        </w:rPr>
        <w:t>Marchesi - Pini - Quadranti - Storni</w:t>
      </w:r>
    </w:p>
    <w:bookmarkEnd w:id="2"/>
    <w:bookmarkEnd w:id="3"/>
    <w:p w:rsidR="00B860C2" w:rsidRDefault="00B860C2" w:rsidP="00B860C2">
      <w:pPr>
        <w:tabs>
          <w:tab w:val="left" w:pos="284"/>
        </w:tabs>
      </w:pPr>
    </w:p>
    <w:sectPr w:rsid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DF" w:rsidRDefault="00F81BDF" w:rsidP="008E77C6">
      <w:r>
        <w:separator/>
      </w:r>
    </w:p>
  </w:endnote>
  <w:endnote w:type="continuationSeparator" w:id="0">
    <w:p w:rsidR="00F81BDF" w:rsidRDefault="00F81BD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EE1955" w:rsidRPr="00EE1955">
          <w:rPr>
            <w:noProof/>
            <w:sz w:val="20"/>
            <w:szCs w:val="20"/>
            <w:lang w:val="it-IT"/>
          </w:rPr>
          <w:t>5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DF" w:rsidRDefault="00F81BDF" w:rsidP="008E77C6">
      <w:r>
        <w:separator/>
      </w:r>
    </w:p>
  </w:footnote>
  <w:footnote w:type="continuationSeparator" w:id="0">
    <w:p w:rsidR="00F81BDF" w:rsidRDefault="00F81BDF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A30A7"/>
    <w:multiLevelType w:val="hybridMultilevel"/>
    <w:tmpl w:val="78E2E762"/>
    <w:styleLink w:val="Stileimportato1"/>
    <w:lvl w:ilvl="0" w:tplc="2C70184E">
      <w:start w:val="1"/>
      <w:numFmt w:val="upperRoman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482DA">
      <w:start w:val="1"/>
      <w:numFmt w:val="lowerLetter"/>
      <w:suff w:val="nothing"/>
      <w:lvlText w:val="%2."/>
      <w:lvlJc w:val="left"/>
      <w:pPr>
        <w:ind w:left="9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A1AB6">
      <w:start w:val="1"/>
      <w:numFmt w:val="lowerRoman"/>
      <w:suff w:val="nothing"/>
      <w:lvlText w:val="%3."/>
      <w:lvlJc w:val="left"/>
      <w:pPr>
        <w:ind w:left="1647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E2DE0">
      <w:start w:val="1"/>
      <w:numFmt w:val="decimal"/>
      <w:suff w:val="nothing"/>
      <w:lvlText w:val="%4."/>
      <w:lvlJc w:val="left"/>
      <w:pPr>
        <w:ind w:left="236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702568">
      <w:start w:val="1"/>
      <w:numFmt w:val="lowerLetter"/>
      <w:suff w:val="nothing"/>
      <w:lvlText w:val="%5."/>
      <w:lvlJc w:val="left"/>
      <w:pPr>
        <w:ind w:left="308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82454">
      <w:start w:val="1"/>
      <w:numFmt w:val="lowerRoman"/>
      <w:suff w:val="nothing"/>
      <w:lvlText w:val="%6."/>
      <w:lvlJc w:val="left"/>
      <w:pPr>
        <w:ind w:left="3807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CAC76">
      <w:start w:val="1"/>
      <w:numFmt w:val="decimal"/>
      <w:suff w:val="nothing"/>
      <w:lvlText w:val="%7."/>
      <w:lvlJc w:val="left"/>
      <w:pPr>
        <w:ind w:left="452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A6D566">
      <w:start w:val="1"/>
      <w:numFmt w:val="lowerLetter"/>
      <w:suff w:val="nothing"/>
      <w:lvlText w:val="%8."/>
      <w:lvlJc w:val="left"/>
      <w:pPr>
        <w:ind w:left="5247" w:hanging="2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C7B9A">
      <w:start w:val="1"/>
      <w:numFmt w:val="lowerRoman"/>
      <w:suff w:val="nothing"/>
      <w:lvlText w:val="%9."/>
      <w:lvlJc w:val="left"/>
      <w:pPr>
        <w:ind w:left="5967" w:hanging="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87EC5"/>
    <w:multiLevelType w:val="hybridMultilevel"/>
    <w:tmpl w:val="1A78CF6C"/>
    <w:styleLink w:val="Stileimportato6"/>
    <w:lvl w:ilvl="0" w:tplc="06CABB4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8C83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6CC5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605C8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8B12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ABC0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EFDC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AC4C1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C156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349E8"/>
    <w:multiLevelType w:val="hybridMultilevel"/>
    <w:tmpl w:val="2E921A3A"/>
    <w:styleLink w:val="Stileimportato4"/>
    <w:lvl w:ilvl="0" w:tplc="759EB72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CA65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04101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9698F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C803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F26DB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52126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B29FE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6E706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634D"/>
    <w:multiLevelType w:val="hybridMultilevel"/>
    <w:tmpl w:val="1A78CF6C"/>
    <w:numStyleLink w:val="Stileimportato6"/>
  </w:abstractNum>
  <w:abstractNum w:abstractNumId="8">
    <w:nsid w:val="242F504D"/>
    <w:multiLevelType w:val="hybridMultilevel"/>
    <w:tmpl w:val="4896259A"/>
    <w:numStyleLink w:val="Stileimportato2"/>
  </w:abstractNum>
  <w:abstractNum w:abstractNumId="9">
    <w:nsid w:val="298166C0"/>
    <w:multiLevelType w:val="hybridMultilevel"/>
    <w:tmpl w:val="19E24A72"/>
    <w:numStyleLink w:val="Stileimportato5"/>
  </w:abstractNum>
  <w:abstractNum w:abstractNumId="10">
    <w:nsid w:val="2C690594"/>
    <w:multiLevelType w:val="hybridMultilevel"/>
    <w:tmpl w:val="4896259A"/>
    <w:styleLink w:val="Stileimportato2"/>
    <w:lvl w:ilvl="0" w:tplc="12328C3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26CCA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AF36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E331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EAFF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A97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050C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182D2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27A1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CF3293"/>
    <w:multiLevelType w:val="hybridMultilevel"/>
    <w:tmpl w:val="78E2E762"/>
    <w:numStyleLink w:val="Stileimportato1"/>
  </w:abstractNum>
  <w:abstractNum w:abstractNumId="12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70814"/>
    <w:multiLevelType w:val="hybridMultilevel"/>
    <w:tmpl w:val="19E24A72"/>
    <w:styleLink w:val="Stileimportato5"/>
    <w:lvl w:ilvl="0" w:tplc="8FEAB030">
      <w:start w:val="1"/>
      <w:numFmt w:val="bullet"/>
      <w:lvlText w:val="·"/>
      <w:lvlJc w:val="left"/>
      <w:pPr>
        <w:tabs>
          <w:tab w:val="left" w:pos="1003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800B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74216E">
      <w:start w:val="1"/>
      <w:numFmt w:val="bullet"/>
      <w:lvlText w:val="▪"/>
      <w:lvlJc w:val="left"/>
      <w:pPr>
        <w:tabs>
          <w:tab w:val="left" w:pos="1003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8ECC7A">
      <w:start w:val="1"/>
      <w:numFmt w:val="bullet"/>
      <w:lvlText w:val="·"/>
      <w:lvlJc w:val="left"/>
      <w:pPr>
        <w:tabs>
          <w:tab w:val="left" w:pos="1003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1EDE52">
      <w:start w:val="1"/>
      <w:numFmt w:val="bullet"/>
      <w:lvlText w:val="o"/>
      <w:lvlJc w:val="left"/>
      <w:pPr>
        <w:tabs>
          <w:tab w:val="left" w:pos="1003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0EDF4">
      <w:start w:val="1"/>
      <w:numFmt w:val="bullet"/>
      <w:lvlText w:val="▪"/>
      <w:lvlJc w:val="left"/>
      <w:pPr>
        <w:tabs>
          <w:tab w:val="left" w:pos="1003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18CE36">
      <w:start w:val="1"/>
      <w:numFmt w:val="bullet"/>
      <w:lvlText w:val="·"/>
      <w:lvlJc w:val="left"/>
      <w:pPr>
        <w:tabs>
          <w:tab w:val="left" w:pos="1003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56D8D8">
      <w:start w:val="1"/>
      <w:numFmt w:val="bullet"/>
      <w:lvlText w:val="o"/>
      <w:lvlJc w:val="left"/>
      <w:pPr>
        <w:tabs>
          <w:tab w:val="left" w:pos="1003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7E3884">
      <w:start w:val="1"/>
      <w:numFmt w:val="bullet"/>
      <w:lvlText w:val="▪"/>
      <w:lvlJc w:val="left"/>
      <w:pPr>
        <w:tabs>
          <w:tab w:val="left" w:pos="1003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D3E78F8"/>
    <w:multiLevelType w:val="hybridMultilevel"/>
    <w:tmpl w:val="2E921A3A"/>
    <w:numStyleLink w:val="Stileimportato4"/>
  </w:abstractNum>
  <w:abstractNum w:abstractNumId="15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E66388"/>
    <w:multiLevelType w:val="hybridMultilevel"/>
    <w:tmpl w:val="416AEDBE"/>
    <w:styleLink w:val="Stileimportato3"/>
    <w:lvl w:ilvl="0" w:tplc="5B7065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66D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02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ED4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865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2AE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A7C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42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0246C"/>
    <w:multiLevelType w:val="hybridMultilevel"/>
    <w:tmpl w:val="416AEDBE"/>
    <w:numStyleLink w:val="Stileimportato3"/>
  </w:abstractNum>
  <w:abstractNum w:abstractNumId="21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21"/>
  </w:num>
  <w:num w:numId="4">
    <w:abstractNumId w:val="2"/>
  </w:num>
  <w:num w:numId="5">
    <w:abstractNumId w:val="12"/>
  </w:num>
  <w:num w:numId="6">
    <w:abstractNumId w:val="0"/>
  </w:num>
  <w:num w:numId="7">
    <w:abstractNumId w:val="19"/>
  </w:num>
  <w:num w:numId="8">
    <w:abstractNumId w:val="4"/>
  </w:num>
  <w:num w:numId="9">
    <w:abstractNumId w:val="1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11"/>
    <w:lvlOverride w:ilvl="0">
      <w:startOverride w:val="2"/>
    </w:lvlOverride>
  </w:num>
  <w:num w:numId="17">
    <w:abstractNumId w:val="16"/>
  </w:num>
  <w:num w:numId="18">
    <w:abstractNumId w:val="20"/>
  </w:num>
  <w:num w:numId="19">
    <w:abstractNumId w:val="13"/>
  </w:num>
  <w:num w:numId="20">
    <w:abstractNumId w:val="9"/>
  </w:num>
  <w:num w:numId="21">
    <w:abstractNumId w:val="5"/>
  </w:num>
  <w:num w:numId="22">
    <w:abstractNumId w:val="14"/>
  </w:num>
  <w:num w:numId="23">
    <w:abstractNumId w:val="14"/>
    <w:lvlOverride w:ilvl="0">
      <w:lvl w:ilvl="0" w:tplc="CC128D46">
        <w:start w:val="1"/>
        <w:numFmt w:val="bullet"/>
        <w:lvlText w:val="·"/>
        <w:lvlJc w:val="left"/>
        <w:pPr>
          <w:tabs>
            <w:tab w:val="left" w:pos="426"/>
          </w:tabs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725CDE">
        <w:start w:val="1"/>
        <w:numFmt w:val="bullet"/>
        <w:lvlText w:val="o"/>
        <w:lvlJc w:val="left"/>
        <w:pPr>
          <w:tabs>
            <w:tab w:val="left" w:pos="426"/>
          </w:tabs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EE2822">
        <w:start w:val="1"/>
        <w:numFmt w:val="bullet"/>
        <w:lvlText w:val="▪"/>
        <w:lvlJc w:val="left"/>
        <w:pPr>
          <w:tabs>
            <w:tab w:val="left" w:pos="426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69272">
        <w:start w:val="1"/>
        <w:numFmt w:val="bullet"/>
        <w:lvlText w:val="·"/>
        <w:lvlJc w:val="left"/>
        <w:pPr>
          <w:tabs>
            <w:tab w:val="left" w:pos="426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7CA71C">
        <w:start w:val="1"/>
        <w:numFmt w:val="bullet"/>
        <w:lvlText w:val="o"/>
        <w:lvlJc w:val="left"/>
        <w:pPr>
          <w:tabs>
            <w:tab w:val="left" w:pos="426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4E184A">
        <w:start w:val="1"/>
        <w:numFmt w:val="bullet"/>
        <w:lvlText w:val="▪"/>
        <w:lvlJc w:val="left"/>
        <w:pPr>
          <w:tabs>
            <w:tab w:val="left" w:pos="426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6A0FE">
        <w:start w:val="1"/>
        <w:numFmt w:val="bullet"/>
        <w:lvlText w:val="·"/>
        <w:lvlJc w:val="left"/>
        <w:pPr>
          <w:tabs>
            <w:tab w:val="left" w:pos="426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8CA9C6">
        <w:start w:val="1"/>
        <w:numFmt w:val="bullet"/>
        <w:lvlText w:val="o"/>
        <w:lvlJc w:val="left"/>
        <w:pPr>
          <w:tabs>
            <w:tab w:val="left" w:pos="426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D82154">
        <w:start w:val="1"/>
        <w:numFmt w:val="bullet"/>
        <w:lvlText w:val="▪"/>
        <w:lvlJc w:val="left"/>
        <w:pPr>
          <w:tabs>
            <w:tab w:val="left" w:pos="426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</w:num>
  <w:num w:numId="25">
    <w:abstractNumId w:val="7"/>
  </w:num>
  <w:num w:numId="26">
    <w:abstractNumId w:val="11"/>
    <w:lvlOverride w:ilvl="0">
      <w:startOverride w:val="2"/>
    </w:lvlOverride>
  </w:num>
  <w:num w:numId="27">
    <w:abstractNumId w:val="11"/>
    <w:lvlOverride w:ilvl="0">
      <w:startOverride w:val="2"/>
    </w:lvlOverride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D2147"/>
    <w:rsid w:val="001574D7"/>
    <w:rsid w:val="00260C8C"/>
    <w:rsid w:val="002E5E40"/>
    <w:rsid w:val="004D041D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02FAB"/>
    <w:rsid w:val="009770BB"/>
    <w:rsid w:val="009E008D"/>
    <w:rsid w:val="00A5465F"/>
    <w:rsid w:val="00A77678"/>
    <w:rsid w:val="00B860C2"/>
    <w:rsid w:val="00BC4C95"/>
    <w:rsid w:val="00BD5944"/>
    <w:rsid w:val="00CE4C29"/>
    <w:rsid w:val="00CF6858"/>
    <w:rsid w:val="00D25C1B"/>
    <w:rsid w:val="00D377B5"/>
    <w:rsid w:val="00D93B31"/>
    <w:rsid w:val="00DC26E9"/>
    <w:rsid w:val="00DD43B8"/>
    <w:rsid w:val="00E505DB"/>
    <w:rsid w:val="00E765A9"/>
    <w:rsid w:val="00EE1955"/>
    <w:rsid w:val="00F81BDF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numbering" w:customStyle="1" w:styleId="Stileimportato1">
    <w:name w:val="Stile importato 1"/>
    <w:rsid w:val="00DC26E9"/>
    <w:pPr>
      <w:numPr>
        <w:numId w:val="12"/>
      </w:numPr>
    </w:pPr>
  </w:style>
  <w:style w:type="numbering" w:customStyle="1" w:styleId="Stileimportato2">
    <w:name w:val="Stile importato 2"/>
    <w:rsid w:val="00DC26E9"/>
    <w:pPr>
      <w:numPr>
        <w:numId w:val="14"/>
      </w:numPr>
    </w:pPr>
  </w:style>
  <w:style w:type="numbering" w:customStyle="1" w:styleId="Stileimportato3">
    <w:name w:val="Stile importato 3"/>
    <w:rsid w:val="00DC26E9"/>
    <w:pPr>
      <w:numPr>
        <w:numId w:val="17"/>
      </w:numPr>
    </w:pPr>
  </w:style>
  <w:style w:type="numbering" w:customStyle="1" w:styleId="Stileimportato5">
    <w:name w:val="Stile importato 5"/>
    <w:rsid w:val="00DC26E9"/>
    <w:pPr>
      <w:numPr>
        <w:numId w:val="19"/>
      </w:numPr>
    </w:pPr>
  </w:style>
  <w:style w:type="numbering" w:customStyle="1" w:styleId="Stileimportato4">
    <w:name w:val="Stile importato 4"/>
    <w:rsid w:val="00DC26E9"/>
    <w:pPr>
      <w:numPr>
        <w:numId w:val="21"/>
      </w:numPr>
    </w:pPr>
  </w:style>
  <w:style w:type="numbering" w:customStyle="1" w:styleId="Stileimportato6">
    <w:name w:val="Stile importato 6"/>
    <w:rsid w:val="00DC26E9"/>
    <w:pPr>
      <w:numPr>
        <w:numId w:val="24"/>
      </w:numPr>
    </w:pPr>
  </w:style>
  <w:style w:type="paragraph" w:customStyle="1" w:styleId="Didefault">
    <w:name w:val="Di default"/>
    <w:rsid w:val="00DC26E9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bdr w:val="nil"/>
      <w:lang w:val="fr-FR" w:eastAsia="it-CH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numbering" w:customStyle="1" w:styleId="Stileimportato1">
    <w:name w:val="Stile importato 1"/>
    <w:rsid w:val="00DC26E9"/>
    <w:pPr>
      <w:numPr>
        <w:numId w:val="12"/>
      </w:numPr>
    </w:pPr>
  </w:style>
  <w:style w:type="numbering" w:customStyle="1" w:styleId="Stileimportato2">
    <w:name w:val="Stile importato 2"/>
    <w:rsid w:val="00DC26E9"/>
    <w:pPr>
      <w:numPr>
        <w:numId w:val="14"/>
      </w:numPr>
    </w:pPr>
  </w:style>
  <w:style w:type="numbering" w:customStyle="1" w:styleId="Stileimportato3">
    <w:name w:val="Stile importato 3"/>
    <w:rsid w:val="00DC26E9"/>
    <w:pPr>
      <w:numPr>
        <w:numId w:val="17"/>
      </w:numPr>
    </w:pPr>
  </w:style>
  <w:style w:type="numbering" w:customStyle="1" w:styleId="Stileimportato5">
    <w:name w:val="Stile importato 5"/>
    <w:rsid w:val="00DC26E9"/>
    <w:pPr>
      <w:numPr>
        <w:numId w:val="19"/>
      </w:numPr>
    </w:pPr>
  </w:style>
  <w:style w:type="numbering" w:customStyle="1" w:styleId="Stileimportato4">
    <w:name w:val="Stile importato 4"/>
    <w:rsid w:val="00DC26E9"/>
    <w:pPr>
      <w:numPr>
        <w:numId w:val="21"/>
      </w:numPr>
    </w:pPr>
  </w:style>
  <w:style w:type="numbering" w:customStyle="1" w:styleId="Stileimportato6">
    <w:name w:val="Stile importato 6"/>
    <w:rsid w:val="00DC26E9"/>
    <w:pPr>
      <w:numPr>
        <w:numId w:val="24"/>
      </w:numPr>
    </w:pPr>
  </w:style>
  <w:style w:type="paragraph" w:customStyle="1" w:styleId="Didefault">
    <w:name w:val="Di default"/>
    <w:rsid w:val="00DC26E9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bdr w:val="nil"/>
      <w:lang w:val="fr-FR" w:eastAsia="it-C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F577-B11C-4CA8-BDF2-99CC36AD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2019-10-02T09:19:00Z</cp:lastPrinted>
  <dcterms:created xsi:type="dcterms:W3CDTF">2019-10-02T09:19:00Z</dcterms:created>
  <dcterms:modified xsi:type="dcterms:W3CDTF">2019-10-07T14:10:00Z</dcterms:modified>
</cp:coreProperties>
</file>