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EF74FF" w:rsidRDefault="00EF74FF" w:rsidP="00B860C2">
      <w:pPr>
        <w:rPr>
          <w:rFonts w:ascii="Gill Sans MT" w:hAnsi="Gill Sans MT"/>
          <w:b/>
          <w:sz w:val="52"/>
          <w:szCs w:val="52"/>
        </w:rPr>
      </w:pPr>
      <w:r w:rsidRPr="00EF74FF">
        <w:rPr>
          <w:rFonts w:ascii="Gill Sans MT" w:hAnsi="Gill Sans MT"/>
          <w:b/>
          <w:sz w:val="52"/>
          <w:szCs w:val="52"/>
        </w:rPr>
        <w:t>Rapporto</w:t>
      </w: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120DC2" w:rsidP="00B860C2">
      <w:pPr>
        <w:tabs>
          <w:tab w:val="left" w:pos="2098"/>
          <w:tab w:val="left" w:pos="4933"/>
        </w:tabs>
        <w:rPr>
          <w:rFonts w:cs="Arial"/>
          <w:szCs w:val="24"/>
        </w:rPr>
      </w:pPr>
      <w:r>
        <w:rPr>
          <w:rFonts w:cs="Arial"/>
          <w:b/>
          <w:sz w:val="32"/>
          <w:szCs w:val="32"/>
        </w:rPr>
        <w:t>7685</w:t>
      </w:r>
      <w:r w:rsidR="00B860C2" w:rsidRPr="008B4137">
        <w:rPr>
          <w:rFonts w:cs="Arial"/>
          <w:b/>
          <w:sz w:val="32"/>
          <w:szCs w:val="32"/>
        </w:rPr>
        <w:t xml:space="preserve"> R</w:t>
      </w:r>
      <w:r w:rsidR="00B860C2" w:rsidRPr="008B4137">
        <w:rPr>
          <w:rFonts w:cs="Arial"/>
          <w:sz w:val="28"/>
          <w:szCs w:val="28"/>
        </w:rPr>
        <w:tab/>
      </w:r>
      <w:r>
        <w:rPr>
          <w:rFonts w:cs="Arial"/>
          <w:sz w:val="28"/>
          <w:szCs w:val="28"/>
        </w:rPr>
        <w:t>8 ottobre 2019</w:t>
      </w:r>
      <w:r w:rsidR="00B860C2" w:rsidRPr="008B4137">
        <w:rPr>
          <w:rFonts w:cs="Arial"/>
          <w:sz w:val="28"/>
          <w:szCs w:val="28"/>
        </w:rPr>
        <w:tab/>
      </w:r>
      <w:r w:rsidR="00A672ED">
        <w:rPr>
          <w:sz w:val="28"/>
        </w:rPr>
        <w:t>FINANZE E ECON</w:t>
      </w:r>
      <w:r>
        <w:rPr>
          <w:sz w:val="28"/>
        </w:rPr>
        <w:t>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A974A1" w:rsidRDefault="00B860C2" w:rsidP="00B860C2">
      <w:pPr>
        <w:rPr>
          <w:rFonts w:cs="Arial"/>
          <w:b/>
          <w:sz w:val="28"/>
          <w:szCs w:val="28"/>
        </w:rPr>
      </w:pPr>
      <w:r w:rsidRPr="00A974A1">
        <w:rPr>
          <w:rFonts w:cs="Arial"/>
          <w:b/>
          <w:sz w:val="28"/>
          <w:szCs w:val="28"/>
        </w:rPr>
        <w:t>della Commissione gestione e finanze</w:t>
      </w:r>
    </w:p>
    <w:p w:rsidR="00120DC2" w:rsidRPr="00A974A1" w:rsidRDefault="00B860C2" w:rsidP="00B860C2">
      <w:pPr>
        <w:rPr>
          <w:b/>
          <w:sz w:val="28"/>
          <w:szCs w:val="28"/>
        </w:rPr>
      </w:pPr>
      <w:r w:rsidRPr="00A974A1">
        <w:rPr>
          <w:rFonts w:cs="Arial"/>
          <w:b/>
          <w:sz w:val="28"/>
          <w:szCs w:val="28"/>
        </w:rPr>
        <w:t xml:space="preserve">sul messaggio </w:t>
      </w:r>
      <w:r w:rsidR="00120DC2" w:rsidRPr="00A974A1">
        <w:rPr>
          <w:rFonts w:cs="Arial"/>
          <w:b/>
          <w:sz w:val="28"/>
          <w:szCs w:val="28"/>
        </w:rPr>
        <w:t xml:space="preserve">10 luglio 2019 concernente la </w:t>
      </w:r>
      <w:r w:rsidR="00120DC2" w:rsidRPr="00A974A1">
        <w:rPr>
          <w:b/>
          <w:sz w:val="28"/>
          <w:szCs w:val="28"/>
        </w:rPr>
        <w:t>modifica della Legge tributaria del 21 giugno 1994 (LT)</w:t>
      </w:r>
    </w:p>
    <w:p w:rsidR="00B860C2" w:rsidRPr="00A974A1" w:rsidRDefault="00120DC2" w:rsidP="00B860C2">
      <w:pPr>
        <w:rPr>
          <w:rFonts w:cs="Arial"/>
          <w:b/>
          <w:sz w:val="28"/>
          <w:szCs w:val="28"/>
        </w:rPr>
      </w:pPr>
      <w:r w:rsidRPr="00A974A1">
        <w:rPr>
          <w:b/>
          <w:sz w:val="28"/>
          <w:szCs w:val="28"/>
        </w:rPr>
        <w:t>Adeguamenti della Legge tributaria alla Legge federale sull’armonizzazione delle imposte dirette dei Cantoni e dei Comuni (LAID), nonché modifica di altre disposizioni cantonali relative alla concessione di ammortamenti accelerati per nuovi investimenti, all’istituto del deposito, al calcolo provvisorio, agli investimenti in start up e agli obblighi procedurali delle persone giuridiche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20DC2" w:rsidRPr="00F26076" w:rsidRDefault="00120DC2" w:rsidP="00120DC2">
      <w:pPr>
        <w:pStyle w:val="Titolo1"/>
      </w:pPr>
      <w:bookmarkStart w:id="1" w:name="_Toc532286235"/>
      <w:r w:rsidRPr="00F26076">
        <w:t>Premessa</w:t>
      </w:r>
    </w:p>
    <w:p w:rsidR="00120DC2" w:rsidRDefault="00120DC2" w:rsidP="00120DC2">
      <w:pPr>
        <w:rPr>
          <w:color w:val="000000" w:themeColor="text1"/>
          <w:szCs w:val="24"/>
        </w:rPr>
      </w:pPr>
      <w:r>
        <w:rPr>
          <w:color w:val="000000" w:themeColor="text1"/>
          <w:szCs w:val="24"/>
        </w:rPr>
        <w:t>I contenuti del messaggio oggetto del presente rapporto riguardano alcune modifiche puntuali della Legge Tributaria cantonale a seguito di modifiche del quadro normativo federale in vari ambiti e della volontà di formalizzare nella legge diverse prassi in atto in Canton Ticino da diversi anni. Per tutto quanto concerne gli aspetti specifici si rimanda al messaggio che contiene le informazioni del caso.</w:t>
      </w:r>
    </w:p>
    <w:p w:rsidR="00120DC2" w:rsidRDefault="00120DC2" w:rsidP="00120DC2">
      <w:pPr>
        <w:rPr>
          <w:color w:val="000000" w:themeColor="text1"/>
          <w:szCs w:val="24"/>
        </w:rPr>
      </w:pPr>
    </w:p>
    <w:p w:rsidR="00120DC2" w:rsidRDefault="00120DC2" w:rsidP="00120DC2">
      <w:pPr>
        <w:rPr>
          <w:color w:val="000000" w:themeColor="text1"/>
          <w:szCs w:val="24"/>
        </w:rPr>
      </w:pPr>
    </w:p>
    <w:p w:rsidR="00120DC2" w:rsidRPr="00FC40EC" w:rsidRDefault="00120DC2" w:rsidP="00120DC2">
      <w:pPr>
        <w:pStyle w:val="Titolo1"/>
      </w:pPr>
      <w:r w:rsidRPr="00FC40EC">
        <w:t>Valutazione commissionali</w:t>
      </w:r>
    </w:p>
    <w:p w:rsidR="00120DC2" w:rsidRDefault="00120DC2" w:rsidP="00120DC2">
      <w:pPr>
        <w:rPr>
          <w:color w:val="000000" w:themeColor="text1"/>
          <w:szCs w:val="24"/>
        </w:rPr>
      </w:pPr>
      <w:r>
        <w:rPr>
          <w:color w:val="000000" w:themeColor="text1"/>
          <w:szCs w:val="24"/>
        </w:rPr>
        <w:t xml:space="preserve">La Commissione gestione e finanze, per il tramite della sua sottocommissione, che aveva il compito di approfondire dal profilo tecnico la riforma fiscale, ha analizzato i contenuti del messaggio n. 7685 che fondamentalmente vanno a riprendere e introdurre sul piano cantonale delle modifiche legislative intervenute a livello federale. Per queste ovviamente si tratta di applicare il diritto superiore e quindi non vi sono particolarità da segnalare. </w:t>
      </w:r>
    </w:p>
    <w:p w:rsidR="00120DC2" w:rsidRDefault="00120DC2" w:rsidP="00120DC2">
      <w:pPr>
        <w:spacing w:before="120"/>
        <w:rPr>
          <w:color w:val="000000" w:themeColor="text1"/>
          <w:szCs w:val="24"/>
        </w:rPr>
      </w:pPr>
      <w:r>
        <w:rPr>
          <w:color w:val="000000" w:themeColor="text1"/>
          <w:szCs w:val="24"/>
        </w:rPr>
        <w:t>Per quanto concerne l’adeguamento alla strategia energetica 2050 si saluta positivamente la possibilità, a determinate condizioni, di dedurre fiscalmente i costi per la demolizione di un immobile che verrebbe poi rimpiazzato da un altro immobile energeticamente più efficiente. In questo contesto è doveroso ricordare che il parco immobiliare in Svizzera, ma anche in Ticino, è “responsabile” di una quota importante dei consumi energetici e quindi qualsiasi intervento atto a incentivarne l’ammodernamento è da salutare positivamente. Basti ricordare ad esempio anche la promozione e il sussidio dei risanamenti energetici cui farebbe da corollario anche l’introduzione della possibilità di demolizione con il mantenimento dei diritti acquisiti a condizione che si adottino degli standard energetici e ambientali all’avanguardia. Un aspetto, insieme ad altri, che potrà essere oggetto di riflessione con la riforma della legge edilizia.</w:t>
      </w:r>
    </w:p>
    <w:p w:rsidR="00120DC2" w:rsidRDefault="00120DC2" w:rsidP="00120DC2">
      <w:pPr>
        <w:spacing w:before="120"/>
        <w:rPr>
          <w:color w:val="000000" w:themeColor="text1"/>
          <w:szCs w:val="24"/>
        </w:rPr>
      </w:pPr>
      <w:r>
        <w:rPr>
          <w:color w:val="000000" w:themeColor="text1"/>
          <w:szCs w:val="24"/>
        </w:rPr>
        <w:t>Per quanto concerne l’adeguamento delle normative inerenti il “</w:t>
      </w:r>
      <w:proofErr w:type="spellStart"/>
      <w:r>
        <w:rPr>
          <w:color w:val="000000" w:themeColor="text1"/>
          <w:szCs w:val="24"/>
        </w:rPr>
        <w:t>too</w:t>
      </w:r>
      <w:proofErr w:type="spellEnd"/>
      <w:r>
        <w:rPr>
          <w:color w:val="000000" w:themeColor="text1"/>
          <w:szCs w:val="24"/>
        </w:rPr>
        <w:t xml:space="preserve"> big to </w:t>
      </w:r>
      <w:proofErr w:type="spellStart"/>
      <w:r>
        <w:rPr>
          <w:color w:val="000000" w:themeColor="text1"/>
          <w:szCs w:val="24"/>
        </w:rPr>
        <w:t>fail</w:t>
      </w:r>
      <w:proofErr w:type="spellEnd"/>
      <w:r>
        <w:rPr>
          <w:color w:val="000000" w:themeColor="text1"/>
          <w:szCs w:val="24"/>
        </w:rPr>
        <w:t xml:space="preserve">” si richiama come a livello cantonale non siano, al momento e molto probabilmente anche in futuro, </w:t>
      </w:r>
      <w:r>
        <w:rPr>
          <w:color w:val="000000" w:themeColor="text1"/>
          <w:szCs w:val="24"/>
        </w:rPr>
        <w:lastRenderedPageBreak/>
        <w:t>presenti realtà che in qualche modo ne possono essere interessate e, di conseguenza, la modifica legislativa non avrà alcun impatto.</w:t>
      </w:r>
    </w:p>
    <w:p w:rsidR="00120DC2" w:rsidRPr="00714D9F" w:rsidRDefault="00120DC2" w:rsidP="00120DC2">
      <w:pPr>
        <w:shd w:val="clear" w:color="auto" w:fill="FFFFFF"/>
        <w:spacing w:before="120"/>
        <w:rPr>
          <w:color w:val="000000" w:themeColor="text1"/>
          <w:szCs w:val="24"/>
        </w:rPr>
      </w:pPr>
      <w:r>
        <w:rPr>
          <w:color w:val="000000" w:themeColor="text1"/>
          <w:szCs w:val="24"/>
        </w:rPr>
        <w:t xml:space="preserve">A livello prettamente cantonale invece si approfitta per ancorare nella legge, rendendo anche più chiare, alcune pratiche consuetudinarie o che vengono riproposte per decreto legislativo da parecchi anni. In questo modo si va a consolidare un quadro giuridico, che di fatto già esiste nella pratica, migliorandone la chiarezza dei ruoli. Se la misura inerente gli ammortamenti accelerati non presenta nulla di nuovo rispetto alla situazione vigente da un ventennio per quanto riguarda l’istituto del deposito si va nella direzione di chiarire meglio ruoli e responsabilità dando al notaio, in qualità di pubblico ufficiale, il compito di essere di principio interlocutore con l’autorità </w:t>
      </w:r>
      <w:r w:rsidRPr="00B27C83">
        <w:rPr>
          <w:color w:val="000000" w:themeColor="text1"/>
          <w:szCs w:val="24"/>
        </w:rPr>
        <w:t>cantonale nel caso di transazioni immobiliari. A seguito di una serie di precisazioni ottenute dalla Divisione delle Contribuzioni (</w:t>
      </w:r>
      <w:proofErr w:type="spellStart"/>
      <w:r w:rsidRPr="00B27C83">
        <w:rPr>
          <w:color w:val="000000" w:themeColor="text1"/>
          <w:szCs w:val="24"/>
        </w:rPr>
        <w:t>DdC</w:t>
      </w:r>
      <w:proofErr w:type="spellEnd"/>
      <w:r w:rsidRPr="00B27C83">
        <w:rPr>
          <w:color w:val="000000" w:themeColor="text1"/>
          <w:szCs w:val="24"/>
        </w:rPr>
        <w:t xml:space="preserve">) si tiene a sottolineare </w:t>
      </w:r>
      <w:r w:rsidRPr="00714D9F">
        <w:rPr>
          <w:color w:val="000000" w:themeColor="text1"/>
          <w:szCs w:val="24"/>
        </w:rPr>
        <w:t>che, con il messaggio attuale, il notaio non è ritenuto responsabile di eventuali inadempienze dell’alienante, per cui se in una operazione di permuta (o altra operazione ove non vi è un versamento in contanti) uno degli alienanti si rifiutasse di versare la somma di deposito, il notaio non potrà essere ritenuto responsabile e dovrà semplicemente segnalare all'Ufficio di non aver ricevuto l'importo del deposito entro il termine dell'art. 253a LT, dopodiché si occuperà l'Ufficio degli adempimenti del caso. Ciò che cambia con la proposta di modifica è semplicemente il fatto che la figura professionale del notaio dovrebbe rendere maggiormente attenti gli alienanti dei loro obblighi anche in caso di transazioni particolari.</w:t>
      </w:r>
    </w:p>
    <w:p w:rsidR="00120DC2" w:rsidRPr="00714D9F" w:rsidRDefault="00120DC2" w:rsidP="00120DC2">
      <w:pPr>
        <w:spacing w:before="120"/>
        <w:rPr>
          <w:color w:val="000000" w:themeColor="text1"/>
          <w:szCs w:val="24"/>
        </w:rPr>
      </w:pPr>
      <w:r w:rsidRPr="00714D9F">
        <w:rPr>
          <w:color w:val="000000" w:themeColor="text1"/>
          <w:szCs w:val="24"/>
        </w:rPr>
        <w:t xml:space="preserve">In fase di audizione è anche stato precisato che vi è la disponibilità della </w:t>
      </w:r>
      <w:proofErr w:type="spellStart"/>
      <w:r w:rsidRPr="00714D9F">
        <w:rPr>
          <w:color w:val="000000" w:themeColor="text1"/>
          <w:szCs w:val="24"/>
        </w:rPr>
        <w:t>DdC</w:t>
      </w:r>
      <w:proofErr w:type="spellEnd"/>
      <w:r w:rsidRPr="00714D9F">
        <w:rPr>
          <w:color w:val="000000" w:themeColor="text1"/>
          <w:szCs w:val="24"/>
        </w:rPr>
        <w:t xml:space="preserve"> a trattare preventivamente, a supporto anche del notaio, eventuali operazioni particolarmente complesse ove è difficile stimare il calcolo del deposito.</w:t>
      </w:r>
    </w:p>
    <w:p w:rsidR="00120DC2" w:rsidRDefault="00120DC2" w:rsidP="00120DC2">
      <w:pPr>
        <w:spacing w:before="120"/>
        <w:rPr>
          <w:color w:val="000000" w:themeColor="text1"/>
          <w:szCs w:val="24"/>
        </w:rPr>
      </w:pPr>
      <w:r w:rsidRPr="00714D9F">
        <w:rPr>
          <w:color w:val="000000" w:themeColor="text1"/>
          <w:szCs w:val="24"/>
        </w:rPr>
        <w:t>In merito invece ad una possibile confusione in merito al termine 10 giorni per il versamento da parte del notaio all’autorità fiscale, si fa notare che il notaio, secondo la sistematica di legge e in particolare l’art. 253 a cpv. 2, è obbligato a versare il deposito all’autorità fiscale solo ove vi si stato il trapasso di proprietà e la relativa comunicazione.</w:t>
      </w:r>
    </w:p>
    <w:p w:rsidR="00120DC2" w:rsidRPr="00714D9F" w:rsidRDefault="00120DC2" w:rsidP="00120DC2">
      <w:pPr>
        <w:spacing w:before="120"/>
        <w:rPr>
          <w:color w:val="000000" w:themeColor="text1"/>
          <w:szCs w:val="24"/>
        </w:rPr>
      </w:pPr>
      <w:r>
        <w:rPr>
          <w:color w:val="000000" w:themeColor="text1"/>
          <w:szCs w:val="24"/>
        </w:rPr>
        <w:t xml:space="preserve">Dopo attenta valutazione, la CGF ha deciso che la garanzia bancaria sia gestita dallo Stato e non dai notai. </w:t>
      </w:r>
    </w:p>
    <w:p w:rsidR="00120DC2" w:rsidRDefault="00120DC2" w:rsidP="00120DC2">
      <w:pPr>
        <w:spacing w:before="120"/>
        <w:rPr>
          <w:color w:val="000000" w:themeColor="text1"/>
          <w:szCs w:val="24"/>
        </w:rPr>
      </w:pPr>
      <w:r>
        <w:rPr>
          <w:color w:val="000000" w:themeColor="text1"/>
          <w:szCs w:val="24"/>
        </w:rPr>
        <w:t>Anche le modifiche inerenti il calcolo provvisorio, la tassazione delle startup e il chiarimento in merito alla documentazione da consegnare agli uffici di tassazione non presentano particolari da segnalare oltre a quanto riportato nel messaggio.</w:t>
      </w:r>
    </w:p>
    <w:p w:rsidR="00120DC2" w:rsidRDefault="00120DC2" w:rsidP="00120DC2">
      <w:pPr>
        <w:rPr>
          <w:color w:val="000000" w:themeColor="text1"/>
          <w:szCs w:val="24"/>
        </w:rPr>
      </w:pPr>
    </w:p>
    <w:p w:rsidR="00120DC2" w:rsidRDefault="00120DC2" w:rsidP="00120DC2">
      <w:pPr>
        <w:rPr>
          <w:color w:val="000000" w:themeColor="text1"/>
          <w:szCs w:val="24"/>
        </w:rPr>
      </w:pPr>
    </w:p>
    <w:p w:rsidR="00120DC2" w:rsidRPr="00980092" w:rsidRDefault="00120DC2" w:rsidP="00120DC2">
      <w:pPr>
        <w:pStyle w:val="Titolo1"/>
      </w:pPr>
      <w:r w:rsidRPr="00980092">
        <w:t>Conclusioni</w:t>
      </w:r>
    </w:p>
    <w:p w:rsidR="00120DC2" w:rsidRDefault="00120DC2" w:rsidP="00120DC2">
      <w:pPr>
        <w:rPr>
          <w:color w:val="000000" w:themeColor="text1"/>
          <w:szCs w:val="24"/>
        </w:rPr>
      </w:pPr>
      <w:r>
        <w:rPr>
          <w:color w:val="000000" w:themeColor="text1"/>
          <w:szCs w:val="24"/>
        </w:rPr>
        <w:t>Alla luce delle considerazioni di cui sopra e del messaggio governativo, la Commissione gestione e finanze raccomanda l’adozione del disegno di legge allegato al presente rapporto.</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B860C2" w:rsidRPr="00076E70" w:rsidRDefault="00120DC2" w:rsidP="00B860C2">
      <w:pPr>
        <w:rPr>
          <w:rFonts w:cs="Arial"/>
          <w:szCs w:val="24"/>
        </w:rPr>
      </w:pPr>
      <w:r>
        <w:rPr>
          <w:color w:val="000000" w:themeColor="text1"/>
          <w:szCs w:val="24"/>
        </w:rPr>
        <w:t>Alex Farinelli</w:t>
      </w:r>
      <w:r w:rsidR="00B860C2" w:rsidRPr="00076E70">
        <w:rPr>
          <w:rFonts w:cs="Arial"/>
          <w:szCs w:val="24"/>
        </w:rPr>
        <w:t>, relatore</w:t>
      </w:r>
    </w:p>
    <w:p w:rsidR="00A974A1" w:rsidRPr="0013441C" w:rsidRDefault="00A974A1" w:rsidP="00A974A1">
      <w:pPr>
        <w:rPr>
          <w:rFonts w:cs="Arial"/>
        </w:rPr>
      </w:pPr>
      <w:bookmarkStart w:id="2" w:name="OLE_LINK1"/>
      <w:bookmarkStart w:id="3" w:name="OLE_LINK2"/>
      <w:r w:rsidRPr="0013441C">
        <w:rPr>
          <w:rFonts w:cs="Arial"/>
        </w:rPr>
        <w:t xml:space="preserve">Agustoni </w:t>
      </w:r>
      <w:r w:rsidR="0013441C" w:rsidRPr="0013441C">
        <w:rPr>
          <w:rFonts w:cs="Arial"/>
        </w:rPr>
        <w:t xml:space="preserve">(con riserva) </w:t>
      </w:r>
      <w:r w:rsidRPr="0013441C">
        <w:rPr>
          <w:rFonts w:cs="Arial"/>
        </w:rPr>
        <w:t xml:space="preserve">- Biscossa - </w:t>
      </w:r>
    </w:p>
    <w:p w:rsidR="00A974A1" w:rsidRPr="0013441C" w:rsidRDefault="00A974A1" w:rsidP="00A974A1">
      <w:pPr>
        <w:rPr>
          <w:rFonts w:cs="Arial"/>
        </w:rPr>
      </w:pPr>
      <w:r w:rsidRPr="0013441C">
        <w:rPr>
          <w:rFonts w:cs="Arial"/>
        </w:rPr>
        <w:t xml:space="preserve">Caprara - Caverzasio - Dadò - Durisch - </w:t>
      </w:r>
    </w:p>
    <w:p w:rsidR="00A974A1" w:rsidRPr="0013441C" w:rsidRDefault="00A974A1" w:rsidP="00A974A1">
      <w:pPr>
        <w:rPr>
          <w:rFonts w:cs="Arial"/>
        </w:rPr>
      </w:pPr>
      <w:r w:rsidRPr="0013441C">
        <w:rPr>
          <w:rFonts w:cs="Arial"/>
        </w:rPr>
        <w:t xml:space="preserve">Ferrara - Foletti </w:t>
      </w:r>
      <w:r w:rsidR="0013441C" w:rsidRPr="0013441C">
        <w:rPr>
          <w:rFonts w:cs="Arial"/>
        </w:rPr>
        <w:t>- Guerra - Marchesi - Pini</w:t>
      </w:r>
    </w:p>
    <w:bookmarkEnd w:id="2"/>
    <w:bookmarkEnd w:id="3"/>
    <w:p w:rsidR="00B860C2" w:rsidRDefault="00B860C2" w:rsidP="00B860C2">
      <w:pPr>
        <w:tabs>
          <w:tab w:val="left" w:pos="284"/>
        </w:tabs>
      </w:pPr>
    </w:p>
    <w:p w:rsidR="00A974A1" w:rsidRDefault="00A974A1">
      <w:r>
        <w:br w:type="page"/>
      </w:r>
    </w:p>
    <w:p w:rsidR="00A974A1" w:rsidRPr="00324CED" w:rsidRDefault="00A974A1" w:rsidP="00A974A1">
      <w:pPr>
        <w:spacing w:after="120"/>
        <w:rPr>
          <w:rFonts w:cs="Arial"/>
          <w:szCs w:val="24"/>
        </w:rPr>
      </w:pPr>
      <w:r w:rsidRPr="00324CED">
        <w:rPr>
          <w:rFonts w:cs="Arial"/>
          <w:szCs w:val="24"/>
        </w:rPr>
        <w:lastRenderedPageBreak/>
        <w:t xml:space="preserve">Disegno di </w:t>
      </w:r>
    </w:p>
    <w:p w:rsidR="00A974A1" w:rsidRPr="00324CED" w:rsidRDefault="00A974A1" w:rsidP="00A974A1">
      <w:pPr>
        <w:rPr>
          <w:rFonts w:cs="Arial"/>
          <w:szCs w:val="24"/>
        </w:rPr>
      </w:pPr>
    </w:p>
    <w:p w:rsidR="00A974A1" w:rsidRPr="00324CED" w:rsidRDefault="00A974A1" w:rsidP="00A974A1">
      <w:pPr>
        <w:spacing w:after="120"/>
        <w:outlineLvl w:val="0"/>
        <w:rPr>
          <w:rFonts w:cs="Arial"/>
          <w:b/>
          <w:szCs w:val="24"/>
        </w:rPr>
      </w:pPr>
      <w:r w:rsidRPr="00324CED">
        <w:rPr>
          <w:rFonts w:cs="Arial"/>
          <w:b/>
          <w:szCs w:val="24"/>
        </w:rPr>
        <w:t>LEGGE</w:t>
      </w:r>
    </w:p>
    <w:p w:rsidR="00A974A1" w:rsidRPr="00324CED" w:rsidRDefault="00A974A1" w:rsidP="00A974A1">
      <w:pPr>
        <w:rPr>
          <w:rFonts w:cs="Arial"/>
          <w:szCs w:val="24"/>
        </w:rPr>
      </w:pPr>
      <w:r w:rsidRPr="00324CED">
        <w:rPr>
          <w:rFonts w:cs="Arial"/>
          <w:b/>
          <w:szCs w:val="24"/>
        </w:rPr>
        <w:t>tributaria del 21 giugno 1994</w:t>
      </w:r>
      <w:r>
        <w:rPr>
          <w:rFonts w:cs="Arial"/>
          <w:b/>
          <w:szCs w:val="24"/>
        </w:rPr>
        <w:t xml:space="preserve">; </w:t>
      </w:r>
      <w:r w:rsidRPr="00115049">
        <w:rPr>
          <w:rFonts w:cs="Arial"/>
          <w:b/>
          <w:szCs w:val="24"/>
        </w:rPr>
        <w:t>modifica</w:t>
      </w:r>
    </w:p>
    <w:p w:rsidR="00A974A1" w:rsidRPr="00324CED" w:rsidRDefault="00A974A1" w:rsidP="00A974A1">
      <w:pPr>
        <w:rPr>
          <w:rFonts w:cs="Arial"/>
          <w:szCs w:val="24"/>
        </w:rPr>
      </w:pPr>
    </w:p>
    <w:p w:rsidR="00A974A1" w:rsidRPr="00324CED" w:rsidRDefault="00A974A1" w:rsidP="00A974A1">
      <w:pPr>
        <w:rPr>
          <w:rFonts w:cs="Arial"/>
          <w:szCs w:val="24"/>
        </w:rPr>
      </w:pPr>
    </w:p>
    <w:p w:rsidR="00A974A1" w:rsidRPr="00324CED" w:rsidRDefault="00A974A1" w:rsidP="00A974A1">
      <w:pPr>
        <w:outlineLvl w:val="0"/>
        <w:rPr>
          <w:rFonts w:cs="Arial"/>
          <w:szCs w:val="24"/>
        </w:rPr>
      </w:pPr>
      <w:r w:rsidRPr="00324CED">
        <w:rPr>
          <w:rFonts w:cs="Arial"/>
          <w:szCs w:val="24"/>
        </w:rPr>
        <w:t>IL GRAN CONSIGLIO</w:t>
      </w:r>
    </w:p>
    <w:p w:rsidR="00A974A1" w:rsidRPr="00324CED" w:rsidRDefault="00A974A1" w:rsidP="00A974A1">
      <w:pPr>
        <w:rPr>
          <w:rFonts w:cs="Arial"/>
          <w:szCs w:val="24"/>
        </w:rPr>
      </w:pPr>
      <w:r w:rsidRPr="00324CED">
        <w:rPr>
          <w:rFonts w:cs="Arial"/>
          <w:szCs w:val="24"/>
        </w:rPr>
        <w:t>DELLA REPUBBLICA E CANTONE TICINO</w:t>
      </w:r>
    </w:p>
    <w:p w:rsidR="00A974A1" w:rsidRPr="00324CED" w:rsidRDefault="00A974A1" w:rsidP="00A974A1">
      <w:pPr>
        <w:rPr>
          <w:rFonts w:cs="Arial"/>
          <w:szCs w:val="24"/>
        </w:rPr>
      </w:pPr>
    </w:p>
    <w:p w:rsidR="00A974A1" w:rsidRDefault="00A974A1" w:rsidP="00A974A1">
      <w:pPr>
        <w:pStyle w:val="Paragrafoelenco"/>
        <w:numPr>
          <w:ilvl w:val="0"/>
          <w:numId w:val="14"/>
        </w:numPr>
        <w:ind w:left="284" w:hanging="284"/>
        <w:rPr>
          <w:rFonts w:cs="Arial"/>
          <w:szCs w:val="24"/>
        </w:rPr>
      </w:pPr>
      <w:r w:rsidRPr="00A974A1">
        <w:rPr>
          <w:rFonts w:cs="Arial"/>
          <w:szCs w:val="24"/>
        </w:rPr>
        <w:t>visto il messaggio 10 luglio 2019 n. 7685</w:t>
      </w:r>
      <w:r>
        <w:rPr>
          <w:rFonts w:cs="Arial"/>
          <w:szCs w:val="24"/>
        </w:rPr>
        <w:t xml:space="preserve"> del Consiglio di Stato;</w:t>
      </w:r>
    </w:p>
    <w:p w:rsidR="00A974A1" w:rsidRPr="00A974A1" w:rsidRDefault="00A974A1" w:rsidP="00A974A1">
      <w:pPr>
        <w:pStyle w:val="Paragrafoelenco"/>
        <w:numPr>
          <w:ilvl w:val="0"/>
          <w:numId w:val="14"/>
        </w:numPr>
        <w:spacing w:before="120"/>
        <w:ind w:left="284" w:hanging="284"/>
        <w:rPr>
          <w:rFonts w:cs="Arial"/>
          <w:szCs w:val="24"/>
        </w:rPr>
      </w:pPr>
      <w:r>
        <w:rPr>
          <w:rFonts w:cs="Arial"/>
          <w:szCs w:val="24"/>
        </w:rPr>
        <w:t>visto il rapporto 8 ottobre 2019 n. 7685 della Commissione gestione e finanze,</w:t>
      </w:r>
    </w:p>
    <w:p w:rsidR="00A974A1" w:rsidRPr="00324CED" w:rsidRDefault="00A974A1" w:rsidP="00A974A1">
      <w:pPr>
        <w:rPr>
          <w:rFonts w:cs="Arial"/>
          <w:szCs w:val="24"/>
        </w:rPr>
      </w:pPr>
    </w:p>
    <w:p w:rsidR="00A974A1" w:rsidRPr="00324CED" w:rsidRDefault="00A974A1" w:rsidP="00A974A1">
      <w:pPr>
        <w:rPr>
          <w:rFonts w:cs="Arial"/>
          <w:szCs w:val="24"/>
        </w:rPr>
      </w:pPr>
    </w:p>
    <w:p w:rsidR="00A974A1" w:rsidRPr="00115049" w:rsidRDefault="00A974A1" w:rsidP="00A974A1">
      <w:pPr>
        <w:rPr>
          <w:rFonts w:cs="Arial"/>
          <w:b/>
          <w:szCs w:val="24"/>
        </w:rPr>
      </w:pPr>
      <w:r w:rsidRPr="00115049">
        <w:rPr>
          <w:rFonts w:cs="Arial"/>
          <w:b/>
          <w:szCs w:val="24"/>
        </w:rPr>
        <w:t>d e c r e t a :</w:t>
      </w:r>
    </w:p>
    <w:p w:rsidR="00A974A1" w:rsidRPr="00324CED" w:rsidRDefault="00A974A1" w:rsidP="00A974A1">
      <w:pPr>
        <w:rPr>
          <w:rFonts w:cs="Arial"/>
          <w:szCs w:val="24"/>
        </w:rPr>
      </w:pPr>
    </w:p>
    <w:p w:rsidR="00A974A1" w:rsidRPr="00324CED" w:rsidRDefault="00A974A1" w:rsidP="00A974A1">
      <w:pPr>
        <w:rPr>
          <w:rFonts w:cs="Arial"/>
          <w:szCs w:val="24"/>
        </w:rPr>
      </w:pPr>
    </w:p>
    <w:p w:rsidR="00A974A1" w:rsidRPr="00324CED" w:rsidRDefault="00A974A1" w:rsidP="00A974A1">
      <w:pPr>
        <w:outlineLvl w:val="0"/>
        <w:rPr>
          <w:rFonts w:cs="Arial"/>
          <w:b/>
          <w:szCs w:val="24"/>
        </w:rPr>
      </w:pPr>
      <w:r w:rsidRPr="00324CED">
        <w:rPr>
          <w:rFonts w:cs="Arial"/>
          <w:b/>
          <w:szCs w:val="24"/>
        </w:rPr>
        <w:t>I</w:t>
      </w:r>
      <w:r>
        <w:rPr>
          <w:rFonts w:cs="Arial"/>
          <w:b/>
          <w:szCs w:val="24"/>
        </w:rPr>
        <w:t>.</w:t>
      </w:r>
    </w:p>
    <w:p w:rsidR="00A974A1" w:rsidRPr="00324CED" w:rsidRDefault="00A974A1" w:rsidP="00A974A1">
      <w:pPr>
        <w:spacing w:before="120"/>
        <w:rPr>
          <w:rFonts w:cs="Arial"/>
          <w:szCs w:val="24"/>
        </w:rPr>
      </w:pPr>
      <w:r>
        <w:rPr>
          <w:rFonts w:cs="Arial"/>
          <w:szCs w:val="24"/>
        </w:rPr>
        <w:t>La L</w:t>
      </w:r>
      <w:r w:rsidRPr="00324CED">
        <w:rPr>
          <w:rFonts w:cs="Arial"/>
          <w:szCs w:val="24"/>
        </w:rPr>
        <w:t>egge tributaria del 21 giugno 1994 è così modificata:</w:t>
      </w:r>
    </w:p>
    <w:p w:rsidR="00A974A1" w:rsidRPr="00626CE1" w:rsidRDefault="00A974A1" w:rsidP="00A974A1">
      <w:pPr>
        <w:rPr>
          <w:rFonts w:cs="Arial"/>
        </w:rPr>
      </w:pPr>
    </w:p>
    <w:tbl>
      <w:tblPr>
        <w:tblW w:w="5074" w:type="pct"/>
        <w:tblInd w:w="70" w:type="dxa"/>
        <w:tblCellMar>
          <w:left w:w="70" w:type="dxa"/>
          <w:right w:w="70" w:type="dxa"/>
        </w:tblCellMar>
        <w:tblLook w:val="0000" w:firstRow="0" w:lastRow="0" w:firstColumn="0" w:lastColumn="0" w:noHBand="0" w:noVBand="0"/>
      </w:tblPr>
      <w:tblGrid>
        <w:gridCol w:w="1977"/>
        <w:gridCol w:w="7946"/>
      </w:tblGrid>
      <w:tr w:rsidR="00A974A1" w:rsidRPr="00626CE1" w:rsidTr="00C3182B">
        <w:tc>
          <w:tcPr>
            <w:tcW w:w="1977" w:type="dxa"/>
          </w:tcPr>
          <w:p w:rsidR="00A974A1" w:rsidRPr="00626CE1" w:rsidRDefault="00A974A1" w:rsidP="00C3182B">
            <w:pPr>
              <w:rPr>
                <w:rFonts w:cs="Arial"/>
                <w:b/>
                <w:szCs w:val="18"/>
              </w:rPr>
            </w:pPr>
          </w:p>
        </w:tc>
        <w:tc>
          <w:tcPr>
            <w:tcW w:w="7946" w:type="dxa"/>
          </w:tcPr>
          <w:p w:rsidR="00A974A1" w:rsidRDefault="00A974A1" w:rsidP="0013441C">
            <w:pPr>
              <w:ind w:right="215"/>
              <w:rPr>
                <w:rFonts w:cs="Arial"/>
                <w:b/>
                <w:sz w:val="22"/>
              </w:rPr>
            </w:pPr>
            <w:r w:rsidRPr="00115049">
              <w:rPr>
                <w:rFonts w:cs="Arial"/>
                <w:b/>
                <w:sz w:val="22"/>
              </w:rPr>
              <w:t>Art. 27 cpv. 2</w:t>
            </w:r>
            <w:r w:rsidRPr="00115049">
              <w:rPr>
                <w:rFonts w:cs="Arial"/>
                <w:b/>
                <w:sz w:val="22"/>
                <w:vertAlign w:val="superscript"/>
              </w:rPr>
              <w:t>bis</w:t>
            </w:r>
            <w:r w:rsidRPr="00115049">
              <w:rPr>
                <w:rFonts w:cs="Arial"/>
                <w:b/>
                <w:sz w:val="22"/>
              </w:rPr>
              <w:t xml:space="preserve"> (nuovo)</w:t>
            </w:r>
          </w:p>
          <w:p w:rsidR="0013441C" w:rsidRPr="00033B50" w:rsidRDefault="0013441C" w:rsidP="0013441C">
            <w:pPr>
              <w:ind w:right="215"/>
              <w:rPr>
                <w:rFonts w:cs="Arial"/>
                <w:sz w:val="22"/>
              </w:rPr>
            </w:pPr>
          </w:p>
          <w:p w:rsidR="00A974A1" w:rsidRDefault="00A974A1" w:rsidP="0013441C">
            <w:pPr>
              <w:ind w:right="215"/>
              <w:rPr>
                <w:rFonts w:cs="Arial"/>
                <w:sz w:val="22"/>
              </w:rPr>
            </w:pPr>
            <w:r w:rsidRPr="00115049">
              <w:rPr>
                <w:rFonts w:cs="Arial"/>
                <w:sz w:val="22"/>
                <w:vertAlign w:val="superscript"/>
              </w:rPr>
              <w:t>2bis</w:t>
            </w:r>
            <w:r w:rsidRPr="00115049">
              <w:rPr>
                <w:rFonts w:cs="Arial"/>
                <w:sz w:val="22"/>
              </w:rPr>
              <w:t>Nell’anno in cui sono eseguiti nuovi investimenti, sono ammessi su questi ultimi ammortamenti accelerati, il cui tasso di ammortamento è il doppio di quello ammesso dal capoverso 2.</w:t>
            </w:r>
          </w:p>
          <w:p w:rsidR="0013441C" w:rsidRPr="00115049" w:rsidRDefault="0013441C" w:rsidP="0013441C">
            <w:pPr>
              <w:ind w:right="215"/>
              <w:rPr>
                <w:rFonts w:cs="Arial"/>
                <w:sz w:val="22"/>
              </w:rPr>
            </w:pPr>
          </w:p>
          <w:p w:rsidR="00A974A1" w:rsidRPr="00115049" w:rsidRDefault="00A974A1" w:rsidP="0013441C">
            <w:pPr>
              <w:ind w:right="215"/>
              <w:rPr>
                <w:rFonts w:cs="Arial"/>
                <w:sz w:val="22"/>
              </w:rPr>
            </w:pPr>
          </w:p>
        </w:tc>
      </w:tr>
      <w:tr w:rsidR="00A974A1" w:rsidRPr="00626CE1" w:rsidTr="00C3182B">
        <w:tc>
          <w:tcPr>
            <w:tcW w:w="1977" w:type="dxa"/>
          </w:tcPr>
          <w:p w:rsidR="00A974A1" w:rsidRPr="00626CE1" w:rsidRDefault="00A974A1" w:rsidP="00C3182B">
            <w:pPr>
              <w:rPr>
                <w:rFonts w:cs="Arial"/>
                <w:b/>
                <w:szCs w:val="18"/>
              </w:rPr>
            </w:pPr>
          </w:p>
        </w:tc>
        <w:tc>
          <w:tcPr>
            <w:tcW w:w="7946" w:type="dxa"/>
          </w:tcPr>
          <w:p w:rsidR="00A974A1" w:rsidRDefault="00A974A1" w:rsidP="0013441C">
            <w:pPr>
              <w:ind w:right="215"/>
              <w:rPr>
                <w:rFonts w:cs="Arial"/>
                <w:b/>
                <w:sz w:val="22"/>
                <w:lang w:val="de-CH"/>
              </w:rPr>
            </w:pPr>
            <w:r w:rsidRPr="00115049">
              <w:rPr>
                <w:rFonts w:cs="Arial"/>
                <w:b/>
                <w:sz w:val="22"/>
                <w:lang w:val="de-CH"/>
              </w:rPr>
              <w:t xml:space="preserve">Art. 31 </w:t>
            </w:r>
            <w:proofErr w:type="spellStart"/>
            <w:r w:rsidRPr="00115049">
              <w:rPr>
                <w:rFonts w:cs="Arial"/>
                <w:b/>
                <w:sz w:val="22"/>
                <w:lang w:val="de-CH"/>
              </w:rPr>
              <w:t>cpv</w:t>
            </w:r>
            <w:proofErr w:type="spellEnd"/>
            <w:r w:rsidRPr="00115049">
              <w:rPr>
                <w:rFonts w:cs="Arial"/>
                <w:b/>
                <w:sz w:val="22"/>
                <w:lang w:val="de-CH"/>
              </w:rPr>
              <w:t xml:space="preserve">. 2 e </w:t>
            </w:r>
            <w:proofErr w:type="spellStart"/>
            <w:r w:rsidRPr="00115049">
              <w:rPr>
                <w:rFonts w:cs="Arial"/>
                <w:b/>
                <w:sz w:val="22"/>
                <w:lang w:val="de-CH"/>
              </w:rPr>
              <w:t>cpv</w:t>
            </w:r>
            <w:proofErr w:type="spellEnd"/>
            <w:r w:rsidRPr="00115049">
              <w:rPr>
                <w:rFonts w:cs="Arial"/>
                <w:b/>
                <w:sz w:val="22"/>
                <w:lang w:val="de-CH"/>
              </w:rPr>
              <w:t>. 2</w:t>
            </w:r>
            <w:r w:rsidRPr="00115049">
              <w:rPr>
                <w:rFonts w:cs="Arial"/>
                <w:b/>
                <w:sz w:val="22"/>
                <w:vertAlign w:val="superscript"/>
                <w:lang w:val="de-CH"/>
              </w:rPr>
              <w:t xml:space="preserve">bis </w:t>
            </w:r>
            <w:r w:rsidRPr="00115049">
              <w:rPr>
                <w:rFonts w:cs="Arial"/>
                <w:b/>
                <w:sz w:val="22"/>
                <w:lang w:val="de-CH"/>
              </w:rPr>
              <w:t>(</w:t>
            </w:r>
            <w:proofErr w:type="spellStart"/>
            <w:r w:rsidRPr="00115049">
              <w:rPr>
                <w:rFonts w:cs="Arial"/>
                <w:b/>
                <w:sz w:val="22"/>
                <w:lang w:val="de-CH"/>
              </w:rPr>
              <w:t>nuovo</w:t>
            </w:r>
            <w:proofErr w:type="spellEnd"/>
            <w:r w:rsidRPr="00115049">
              <w:rPr>
                <w:rFonts w:cs="Arial"/>
                <w:b/>
                <w:sz w:val="22"/>
                <w:lang w:val="de-CH"/>
              </w:rPr>
              <w:t>)</w:t>
            </w:r>
          </w:p>
          <w:p w:rsidR="0013441C" w:rsidRPr="00033B50" w:rsidRDefault="0013441C" w:rsidP="0013441C">
            <w:pPr>
              <w:ind w:right="215"/>
              <w:rPr>
                <w:rFonts w:cs="Arial"/>
                <w:sz w:val="22"/>
                <w:lang w:val="de-CH"/>
              </w:rPr>
            </w:pPr>
          </w:p>
          <w:p w:rsidR="00A974A1" w:rsidRDefault="00A974A1" w:rsidP="0013441C">
            <w:pPr>
              <w:ind w:right="215"/>
              <w:rPr>
                <w:rFonts w:cs="Arial"/>
                <w:sz w:val="22"/>
              </w:rPr>
            </w:pPr>
            <w:r w:rsidRPr="00115049">
              <w:rPr>
                <w:rFonts w:cs="Arial"/>
                <w:sz w:val="22"/>
                <w:vertAlign w:val="superscript"/>
              </w:rPr>
              <w:t>2</w:t>
            </w:r>
            <w:r w:rsidRPr="00115049">
              <w:rPr>
                <w:rFonts w:cs="Arial"/>
                <w:sz w:val="22"/>
              </w:rPr>
              <w:t xml:space="preserve">Il contribuente che possiede immobili privati può dedurre le spese di manutenzione, le spese di </w:t>
            </w:r>
            <w:proofErr w:type="spellStart"/>
            <w:r w:rsidRPr="00115049">
              <w:rPr>
                <w:rFonts w:cs="Arial"/>
                <w:sz w:val="22"/>
              </w:rPr>
              <w:t>riattazione</w:t>
            </w:r>
            <w:proofErr w:type="spellEnd"/>
            <w:r w:rsidRPr="00115049">
              <w:rPr>
                <w:rFonts w:cs="Arial"/>
                <w:sz w:val="22"/>
              </w:rPr>
              <w:t xml:space="preserve"> di immobili di nuova acquisizione, i premi d'assicurazione e le spese d'amministrazione da parte di terzi. </w:t>
            </w:r>
          </w:p>
          <w:p w:rsidR="0013441C" w:rsidRPr="00115049" w:rsidRDefault="0013441C" w:rsidP="0013441C">
            <w:pPr>
              <w:ind w:right="215"/>
              <w:rPr>
                <w:rFonts w:cs="Arial"/>
                <w:sz w:val="22"/>
              </w:rPr>
            </w:pPr>
          </w:p>
          <w:p w:rsidR="00A974A1" w:rsidRDefault="00A974A1" w:rsidP="0013441C">
            <w:pPr>
              <w:ind w:right="215"/>
              <w:rPr>
                <w:rFonts w:cs="Arial"/>
                <w:sz w:val="22"/>
              </w:rPr>
            </w:pPr>
            <w:r w:rsidRPr="00115049">
              <w:rPr>
                <w:rFonts w:cs="Arial"/>
                <w:sz w:val="22"/>
                <w:vertAlign w:val="superscript"/>
              </w:rPr>
              <w:t>2bis</w:t>
            </w:r>
            <w:r w:rsidRPr="00115049">
              <w:rPr>
                <w:rFonts w:cs="Arial"/>
                <w:sz w:val="22"/>
              </w:rPr>
              <w:t>Gli investimenti destinati al risparmio di energia e alla protezione dell’ambiente come pure le spese di demolizione in vista della costruzione di un immobile di sostituzione sono assimilati alle spese di manutenzione nella misura stabilita per l’imposta federale. Essi sono deducibili nel corso dei due periodi fiscali successivi, se non possono essere interamente presi in considerazione nel periodo fiscale durante il quale sono stati sostenuti.</w:t>
            </w:r>
          </w:p>
          <w:p w:rsidR="0013441C" w:rsidRPr="00115049" w:rsidRDefault="0013441C" w:rsidP="0013441C">
            <w:pPr>
              <w:ind w:right="215"/>
              <w:rPr>
                <w:rFonts w:cs="Arial"/>
                <w:sz w:val="22"/>
              </w:rPr>
            </w:pPr>
          </w:p>
          <w:p w:rsidR="00A974A1" w:rsidRPr="00115049" w:rsidRDefault="00A974A1" w:rsidP="0013441C">
            <w:pPr>
              <w:ind w:right="215"/>
              <w:rPr>
                <w:rFonts w:eastAsia="Calibri" w:cs="Arial"/>
                <w:b/>
                <w:sz w:val="22"/>
              </w:rPr>
            </w:pPr>
          </w:p>
        </w:tc>
      </w:tr>
      <w:tr w:rsidR="00A974A1" w:rsidRPr="00626CE1" w:rsidTr="00C3182B">
        <w:tc>
          <w:tcPr>
            <w:tcW w:w="1977" w:type="dxa"/>
          </w:tcPr>
          <w:p w:rsidR="00A974A1" w:rsidRPr="00626CE1" w:rsidRDefault="00A974A1" w:rsidP="00C3182B">
            <w:pPr>
              <w:rPr>
                <w:rFonts w:cs="Arial"/>
                <w:b/>
                <w:szCs w:val="18"/>
              </w:rPr>
            </w:pPr>
          </w:p>
        </w:tc>
        <w:tc>
          <w:tcPr>
            <w:tcW w:w="7946" w:type="dxa"/>
          </w:tcPr>
          <w:p w:rsidR="00A974A1" w:rsidRDefault="00A974A1" w:rsidP="0013441C">
            <w:pPr>
              <w:ind w:right="215"/>
              <w:rPr>
                <w:rFonts w:cs="Arial"/>
                <w:b/>
                <w:sz w:val="22"/>
              </w:rPr>
            </w:pPr>
            <w:r w:rsidRPr="00115049">
              <w:rPr>
                <w:rFonts w:cs="Arial"/>
                <w:b/>
                <w:sz w:val="22"/>
              </w:rPr>
              <w:t>Art. 71 cpv. 2</w:t>
            </w:r>
            <w:r w:rsidRPr="00115049">
              <w:rPr>
                <w:rFonts w:cs="Arial"/>
                <w:b/>
                <w:sz w:val="22"/>
                <w:vertAlign w:val="superscript"/>
              </w:rPr>
              <w:t>bis</w:t>
            </w:r>
            <w:r w:rsidRPr="00115049">
              <w:rPr>
                <w:rFonts w:cs="Arial"/>
                <w:b/>
                <w:sz w:val="22"/>
              </w:rPr>
              <w:t xml:space="preserve"> (nuovo)</w:t>
            </w:r>
          </w:p>
          <w:p w:rsidR="0013441C" w:rsidRPr="00033B50" w:rsidRDefault="0013441C" w:rsidP="0013441C">
            <w:pPr>
              <w:ind w:right="215"/>
              <w:rPr>
                <w:rFonts w:cs="Arial"/>
                <w:sz w:val="22"/>
              </w:rPr>
            </w:pPr>
          </w:p>
          <w:p w:rsidR="00A974A1" w:rsidRDefault="00A974A1" w:rsidP="0013441C">
            <w:pPr>
              <w:ind w:right="215"/>
              <w:rPr>
                <w:rFonts w:cs="Arial"/>
                <w:sz w:val="22"/>
              </w:rPr>
            </w:pPr>
            <w:r w:rsidRPr="00115049">
              <w:rPr>
                <w:rFonts w:cs="Arial"/>
                <w:sz w:val="22"/>
                <w:vertAlign w:val="superscript"/>
              </w:rPr>
              <w:t>2bis</w:t>
            </w:r>
            <w:r w:rsidRPr="00115049">
              <w:rPr>
                <w:rFonts w:cs="Arial"/>
                <w:sz w:val="22"/>
              </w:rPr>
              <w:t>Nell’anno in cui sono eseguiti nuovi investimenti, sono ammessi su questi ultimi ammortamenti accelerati, il cui tasso di ammortamento è il doppio di quello ammesso dal capoverso 2.</w:t>
            </w:r>
          </w:p>
          <w:p w:rsidR="0013441C" w:rsidRPr="00115049" w:rsidRDefault="0013441C" w:rsidP="0013441C">
            <w:pPr>
              <w:ind w:right="215"/>
              <w:rPr>
                <w:rFonts w:cs="Arial"/>
                <w:sz w:val="22"/>
              </w:rPr>
            </w:pPr>
          </w:p>
          <w:p w:rsidR="00A974A1" w:rsidRPr="00115049" w:rsidRDefault="00A974A1" w:rsidP="0013441C">
            <w:pPr>
              <w:ind w:right="215"/>
              <w:rPr>
                <w:rFonts w:cs="Arial"/>
                <w:sz w:val="22"/>
              </w:rPr>
            </w:pPr>
          </w:p>
        </w:tc>
      </w:tr>
      <w:tr w:rsidR="00A974A1" w:rsidRPr="00626CE1" w:rsidTr="00C3182B">
        <w:tc>
          <w:tcPr>
            <w:tcW w:w="1977" w:type="dxa"/>
          </w:tcPr>
          <w:p w:rsidR="00A974A1" w:rsidRPr="00626CE1" w:rsidRDefault="00A974A1" w:rsidP="00C3182B">
            <w:pPr>
              <w:rPr>
                <w:rFonts w:cs="Arial"/>
                <w:b/>
                <w:szCs w:val="18"/>
              </w:rPr>
            </w:pPr>
          </w:p>
        </w:tc>
        <w:tc>
          <w:tcPr>
            <w:tcW w:w="7946" w:type="dxa"/>
          </w:tcPr>
          <w:p w:rsidR="00A974A1" w:rsidRDefault="00A974A1" w:rsidP="0013441C">
            <w:pPr>
              <w:ind w:right="215"/>
              <w:rPr>
                <w:rFonts w:cs="Arial"/>
                <w:b/>
                <w:sz w:val="22"/>
              </w:rPr>
            </w:pPr>
            <w:r w:rsidRPr="0013441C">
              <w:rPr>
                <w:rFonts w:cs="Arial"/>
                <w:b/>
                <w:sz w:val="22"/>
              </w:rPr>
              <w:t>77 cpv. 7 (nuovo)</w:t>
            </w:r>
          </w:p>
          <w:p w:rsidR="0013441C" w:rsidRPr="00033B50" w:rsidRDefault="0013441C" w:rsidP="0013441C">
            <w:pPr>
              <w:ind w:right="215"/>
              <w:rPr>
                <w:rFonts w:cs="Arial"/>
                <w:sz w:val="22"/>
              </w:rPr>
            </w:pPr>
          </w:p>
          <w:p w:rsidR="00A974A1" w:rsidRPr="0013441C" w:rsidRDefault="00A974A1" w:rsidP="0013441C">
            <w:pPr>
              <w:ind w:right="215"/>
              <w:rPr>
                <w:rFonts w:cs="Arial"/>
                <w:sz w:val="22"/>
              </w:rPr>
            </w:pPr>
            <w:r w:rsidRPr="0013441C">
              <w:rPr>
                <w:rFonts w:cs="Arial"/>
                <w:sz w:val="22"/>
                <w:vertAlign w:val="superscript"/>
              </w:rPr>
              <w:t>7</w:t>
            </w:r>
            <w:r w:rsidRPr="0013441C">
              <w:rPr>
                <w:rFonts w:cs="Arial"/>
                <w:sz w:val="22"/>
              </w:rPr>
              <w:t>Riguardo alle società madri delle banche di rilevanza sistemica di cui all’articolo 7 capoverso 1 della legge sulle banche dell’8 novembre 1934 (LBCR), per il calcolo del ricavo netto di cui al capoverso 2 non sono considerati né i costi di finanziamento né i crediti iscritti a bilancio derivanti dal trasferimento interno al gruppo di risorse, relativi ai prestiti seguenti:</w:t>
            </w:r>
          </w:p>
          <w:p w:rsidR="00A974A1" w:rsidRPr="0013441C" w:rsidRDefault="00A974A1" w:rsidP="0013441C">
            <w:pPr>
              <w:pStyle w:val="Paragrafoelenco"/>
              <w:numPr>
                <w:ilvl w:val="0"/>
                <w:numId w:val="13"/>
              </w:numPr>
              <w:tabs>
                <w:tab w:val="left" w:pos="540"/>
              </w:tabs>
              <w:spacing w:before="60"/>
              <w:ind w:left="357" w:right="215" w:hanging="357"/>
              <w:rPr>
                <w:rFonts w:cs="Arial"/>
                <w:sz w:val="22"/>
              </w:rPr>
            </w:pPr>
            <w:r w:rsidRPr="0013441C">
              <w:rPr>
                <w:rFonts w:cs="Arial"/>
                <w:sz w:val="22"/>
              </w:rPr>
              <w:t>prestiti obbligatoriamente convertibili e prestiti con rinuncia al credito di cui all’articolo 11 capoverso 4 LBCR; e</w:t>
            </w:r>
          </w:p>
          <w:p w:rsidR="00A974A1" w:rsidRPr="0013441C" w:rsidRDefault="00A974A1" w:rsidP="0013441C">
            <w:pPr>
              <w:pStyle w:val="Paragrafoelenco"/>
              <w:numPr>
                <w:ilvl w:val="0"/>
                <w:numId w:val="13"/>
              </w:numPr>
              <w:tabs>
                <w:tab w:val="left" w:pos="540"/>
              </w:tabs>
              <w:spacing w:before="60"/>
              <w:ind w:left="357" w:right="215" w:hanging="357"/>
              <w:rPr>
                <w:rFonts w:cs="Arial"/>
                <w:sz w:val="22"/>
              </w:rPr>
            </w:pPr>
            <w:r w:rsidRPr="0013441C">
              <w:rPr>
                <w:rFonts w:cs="Arial"/>
                <w:sz w:val="22"/>
              </w:rPr>
              <w:t>strumenti di debito a copertura delle perdite in caso di misure per insolvenza ai sensi degli articoli 28–32 LBCR.</w:t>
            </w:r>
          </w:p>
          <w:p w:rsidR="00A974A1" w:rsidRDefault="00A974A1" w:rsidP="0013441C">
            <w:pPr>
              <w:ind w:right="215"/>
              <w:rPr>
                <w:rFonts w:eastAsia="Calibri" w:cs="Arial"/>
                <w:sz w:val="22"/>
              </w:rPr>
            </w:pPr>
          </w:p>
          <w:p w:rsidR="0013441C" w:rsidRPr="0013441C" w:rsidRDefault="0013441C" w:rsidP="0013441C">
            <w:pPr>
              <w:ind w:right="215"/>
              <w:rPr>
                <w:rFonts w:eastAsia="Calibri" w:cs="Arial"/>
                <w:sz w:val="22"/>
              </w:rPr>
            </w:pPr>
          </w:p>
        </w:tc>
      </w:tr>
      <w:tr w:rsidR="00A974A1" w:rsidRPr="00626CE1" w:rsidTr="00C3182B">
        <w:tc>
          <w:tcPr>
            <w:tcW w:w="1977" w:type="dxa"/>
          </w:tcPr>
          <w:p w:rsidR="00A974A1" w:rsidRPr="00626CE1" w:rsidRDefault="00A974A1" w:rsidP="00C3182B">
            <w:pPr>
              <w:rPr>
                <w:rFonts w:cs="Arial"/>
                <w:szCs w:val="18"/>
              </w:rPr>
            </w:pPr>
          </w:p>
        </w:tc>
        <w:tc>
          <w:tcPr>
            <w:tcW w:w="7946" w:type="dxa"/>
          </w:tcPr>
          <w:p w:rsidR="00A974A1" w:rsidRDefault="00A974A1" w:rsidP="0013441C">
            <w:pPr>
              <w:ind w:right="215"/>
              <w:rPr>
                <w:rFonts w:cs="Arial"/>
                <w:b/>
                <w:sz w:val="22"/>
              </w:rPr>
            </w:pPr>
            <w:r w:rsidRPr="0013441C">
              <w:rPr>
                <w:rFonts w:cs="Arial"/>
                <w:b/>
                <w:sz w:val="22"/>
              </w:rPr>
              <w:t xml:space="preserve">Art. 199 cpv. 2 </w:t>
            </w:r>
            <w:proofErr w:type="spellStart"/>
            <w:r w:rsidRPr="0013441C">
              <w:rPr>
                <w:rFonts w:cs="Arial"/>
                <w:b/>
                <w:sz w:val="22"/>
              </w:rPr>
              <w:t>lett</w:t>
            </w:r>
            <w:proofErr w:type="spellEnd"/>
            <w:r w:rsidRPr="0013441C">
              <w:rPr>
                <w:rFonts w:cs="Arial"/>
                <w:b/>
                <w:sz w:val="22"/>
              </w:rPr>
              <w:t>. a)</w:t>
            </w:r>
          </w:p>
          <w:p w:rsidR="0013441C" w:rsidRPr="00033B50" w:rsidRDefault="0013441C" w:rsidP="0013441C">
            <w:pPr>
              <w:ind w:right="215"/>
              <w:rPr>
                <w:rFonts w:cs="Arial"/>
                <w:sz w:val="22"/>
              </w:rPr>
            </w:pPr>
          </w:p>
          <w:p w:rsidR="00A974A1" w:rsidRPr="0013441C" w:rsidRDefault="00A974A1" w:rsidP="0013441C">
            <w:pPr>
              <w:pStyle w:val="Paragrafoelenco"/>
              <w:numPr>
                <w:ilvl w:val="0"/>
                <w:numId w:val="12"/>
              </w:numPr>
              <w:tabs>
                <w:tab w:val="left" w:pos="540"/>
              </w:tabs>
              <w:ind w:left="357" w:right="215" w:hanging="357"/>
              <w:rPr>
                <w:rFonts w:cs="Arial"/>
                <w:sz w:val="22"/>
              </w:rPr>
            </w:pPr>
            <w:r w:rsidRPr="0013441C">
              <w:rPr>
                <w:rFonts w:cs="Arial"/>
                <w:sz w:val="22"/>
              </w:rPr>
              <w:t>i conti annuali firmati (conto economico, bilancio e allegato) per il periodo fiscale in questione; in mancanza di una contabilità conforme all’uso commerciale, le distinte degli attivi e dei passivi, delle entrate e delle uscite, come anche degli apporti e dei prelevamenti privati;</w:t>
            </w:r>
          </w:p>
          <w:p w:rsidR="00A974A1" w:rsidRDefault="00A974A1" w:rsidP="0013441C">
            <w:pPr>
              <w:ind w:right="215"/>
              <w:rPr>
                <w:rFonts w:cs="Arial"/>
                <w:sz w:val="22"/>
              </w:rPr>
            </w:pPr>
          </w:p>
          <w:p w:rsidR="0013441C" w:rsidRPr="0013441C" w:rsidRDefault="0013441C" w:rsidP="0013441C">
            <w:pPr>
              <w:ind w:right="215"/>
              <w:rPr>
                <w:rFonts w:cs="Arial"/>
                <w:sz w:val="22"/>
              </w:rPr>
            </w:pPr>
          </w:p>
        </w:tc>
      </w:tr>
      <w:tr w:rsidR="00A974A1" w:rsidRPr="00626CE1" w:rsidTr="00C3182B">
        <w:tc>
          <w:tcPr>
            <w:tcW w:w="1977" w:type="dxa"/>
          </w:tcPr>
          <w:p w:rsidR="00A974A1" w:rsidRPr="00626CE1" w:rsidRDefault="00A974A1" w:rsidP="00C3182B">
            <w:pPr>
              <w:spacing w:before="120"/>
              <w:rPr>
                <w:rFonts w:cs="Arial"/>
                <w:szCs w:val="18"/>
              </w:rPr>
            </w:pPr>
          </w:p>
        </w:tc>
        <w:tc>
          <w:tcPr>
            <w:tcW w:w="7946" w:type="dxa"/>
          </w:tcPr>
          <w:p w:rsidR="00A974A1" w:rsidRDefault="00A974A1" w:rsidP="0013441C">
            <w:pPr>
              <w:tabs>
                <w:tab w:val="left" w:pos="2694"/>
              </w:tabs>
              <w:ind w:right="215"/>
              <w:rPr>
                <w:rFonts w:cs="Arial"/>
                <w:b/>
                <w:sz w:val="22"/>
              </w:rPr>
            </w:pPr>
            <w:r w:rsidRPr="0013441C">
              <w:rPr>
                <w:rFonts w:cs="Arial"/>
                <w:b/>
                <w:sz w:val="22"/>
              </w:rPr>
              <w:t>Art. 216a</w:t>
            </w:r>
          </w:p>
          <w:p w:rsidR="0013441C" w:rsidRPr="0013441C" w:rsidRDefault="0013441C" w:rsidP="0013441C">
            <w:pPr>
              <w:tabs>
                <w:tab w:val="left" w:pos="2694"/>
              </w:tabs>
              <w:ind w:right="215"/>
              <w:rPr>
                <w:rFonts w:cs="Arial"/>
                <w:sz w:val="22"/>
              </w:rPr>
            </w:pPr>
          </w:p>
          <w:p w:rsidR="00A974A1" w:rsidRPr="0013441C" w:rsidRDefault="0013441C" w:rsidP="0013441C">
            <w:pPr>
              <w:tabs>
                <w:tab w:val="left" w:pos="2694"/>
              </w:tabs>
              <w:ind w:left="357" w:right="215" w:hanging="357"/>
              <w:rPr>
                <w:rFonts w:cs="Arial"/>
                <w:sz w:val="22"/>
              </w:rPr>
            </w:pPr>
            <w:r>
              <w:rPr>
                <w:rFonts w:cs="Arial"/>
                <w:sz w:val="22"/>
              </w:rPr>
              <w:t>A</w:t>
            </w:r>
            <w:r w:rsidR="00A974A1" w:rsidRPr="0013441C">
              <w:rPr>
                <w:rFonts w:cs="Arial"/>
                <w:sz w:val="22"/>
              </w:rPr>
              <w:t>brogato</w:t>
            </w:r>
          </w:p>
          <w:p w:rsidR="00A974A1" w:rsidRDefault="00A974A1" w:rsidP="0013441C">
            <w:pPr>
              <w:ind w:right="215"/>
              <w:rPr>
                <w:rFonts w:cs="Arial"/>
                <w:b/>
                <w:sz w:val="22"/>
              </w:rPr>
            </w:pPr>
          </w:p>
          <w:p w:rsidR="0013441C" w:rsidRPr="0013441C" w:rsidRDefault="0013441C" w:rsidP="0013441C">
            <w:pPr>
              <w:ind w:right="215"/>
              <w:rPr>
                <w:rFonts w:cs="Arial"/>
                <w:b/>
                <w:sz w:val="22"/>
              </w:rPr>
            </w:pPr>
          </w:p>
        </w:tc>
      </w:tr>
      <w:tr w:rsidR="00A974A1" w:rsidRPr="00626CE1" w:rsidTr="00C3182B">
        <w:tc>
          <w:tcPr>
            <w:tcW w:w="1977" w:type="dxa"/>
          </w:tcPr>
          <w:p w:rsidR="00A974A1" w:rsidRDefault="00A974A1" w:rsidP="00C3182B">
            <w:pPr>
              <w:tabs>
                <w:tab w:val="left" w:pos="2694"/>
              </w:tabs>
              <w:spacing w:before="120"/>
              <w:jc w:val="left"/>
              <w:rPr>
                <w:rFonts w:cs="Arial"/>
                <w:b/>
              </w:rPr>
            </w:pPr>
          </w:p>
          <w:p w:rsidR="00A974A1" w:rsidRPr="00DF13EB" w:rsidRDefault="00A974A1" w:rsidP="00C3182B">
            <w:pPr>
              <w:tabs>
                <w:tab w:val="left" w:pos="2694"/>
              </w:tabs>
              <w:spacing w:before="120"/>
              <w:jc w:val="left"/>
              <w:rPr>
                <w:rFonts w:cs="Arial"/>
                <w:sz w:val="20"/>
              </w:rPr>
            </w:pPr>
            <w:r w:rsidRPr="00DF13EB">
              <w:rPr>
                <w:rFonts w:cs="Arial"/>
                <w:b/>
                <w:sz w:val="20"/>
              </w:rPr>
              <w:t>2. Calcolo provvisorio</w:t>
            </w:r>
          </w:p>
        </w:tc>
        <w:tc>
          <w:tcPr>
            <w:tcW w:w="7946" w:type="dxa"/>
          </w:tcPr>
          <w:p w:rsidR="00A974A1" w:rsidRDefault="00A974A1" w:rsidP="0013441C">
            <w:pPr>
              <w:tabs>
                <w:tab w:val="left" w:pos="2694"/>
              </w:tabs>
              <w:ind w:right="215"/>
              <w:rPr>
                <w:rFonts w:cs="Arial"/>
                <w:b/>
                <w:sz w:val="22"/>
              </w:rPr>
            </w:pPr>
            <w:r w:rsidRPr="0013441C">
              <w:rPr>
                <w:rFonts w:cs="Arial"/>
                <w:b/>
                <w:sz w:val="22"/>
              </w:rPr>
              <w:t>Art. 252a</w:t>
            </w:r>
          </w:p>
          <w:p w:rsidR="0013441C" w:rsidRPr="0013441C" w:rsidRDefault="0013441C" w:rsidP="0013441C">
            <w:pPr>
              <w:tabs>
                <w:tab w:val="left" w:pos="2694"/>
              </w:tabs>
              <w:ind w:right="215"/>
              <w:rPr>
                <w:rFonts w:cs="Arial"/>
                <w:sz w:val="22"/>
              </w:rPr>
            </w:pPr>
          </w:p>
          <w:p w:rsidR="00A974A1" w:rsidRDefault="00A974A1" w:rsidP="0013441C">
            <w:pPr>
              <w:shd w:val="clear" w:color="auto" w:fill="FFFFFF"/>
              <w:tabs>
                <w:tab w:val="left" w:pos="2977"/>
              </w:tabs>
              <w:ind w:right="215"/>
              <w:rPr>
                <w:rFonts w:cs="Arial"/>
                <w:sz w:val="22"/>
              </w:rPr>
            </w:pPr>
            <w:r w:rsidRPr="0013441C">
              <w:rPr>
                <w:rFonts w:cs="Arial"/>
                <w:sz w:val="22"/>
                <w:vertAlign w:val="superscript"/>
              </w:rPr>
              <w:t>1</w:t>
            </w:r>
            <w:r w:rsidRPr="0013441C">
              <w:rPr>
                <w:rFonts w:cs="Arial"/>
                <w:sz w:val="22"/>
              </w:rPr>
              <w:t>L’autorità fiscale può emettere un calcolo provvisorio d’ufficio o su richiesta del contribuente per tutte le imposte cantonali e comunali che hanno una relazione particolare con l’immobile secondo l’articolo 252.</w:t>
            </w:r>
          </w:p>
          <w:p w:rsidR="0013441C" w:rsidRPr="0013441C" w:rsidRDefault="0013441C" w:rsidP="0013441C">
            <w:pPr>
              <w:shd w:val="clear" w:color="auto" w:fill="FFFFFF"/>
              <w:tabs>
                <w:tab w:val="left" w:pos="2977"/>
              </w:tabs>
              <w:ind w:right="215"/>
              <w:rPr>
                <w:rFonts w:cs="Arial"/>
                <w:sz w:val="22"/>
              </w:rPr>
            </w:pPr>
          </w:p>
          <w:p w:rsidR="00A974A1" w:rsidRPr="0013441C" w:rsidRDefault="00A974A1" w:rsidP="0013441C">
            <w:pPr>
              <w:tabs>
                <w:tab w:val="left" w:pos="2835"/>
              </w:tabs>
              <w:ind w:right="215"/>
              <w:rPr>
                <w:rFonts w:cs="Arial"/>
                <w:sz w:val="22"/>
              </w:rPr>
            </w:pPr>
            <w:r w:rsidRPr="0013441C">
              <w:rPr>
                <w:rFonts w:cs="Arial"/>
                <w:sz w:val="22"/>
                <w:vertAlign w:val="superscript"/>
              </w:rPr>
              <w:t>2</w:t>
            </w:r>
            <w:r w:rsidRPr="0013441C">
              <w:rPr>
                <w:rFonts w:cs="Arial"/>
                <w:sz w:val="22"/>
              </w:rPr>
              <w:t>Dopo l’emissione del calcolo provvisorio, l’autorità fiscale può procedere con l’iscrizione dell’ipoteca legale nel registro fondiario.</w:t>
            </w:r>
          </w:p>
          <w:p w:rsidR="00A974A1" w:rsidRDefault="00A974A1" w:rsidP="0013441C">
            <w:pPr>
              <w:tabs>
                <w:tab w:val="left" w:pos="2694"/>
              </w:tabs>
              <w:ind w:right="215"/>
              <w:rPr>
                <w:rFonts w:cs="Arial"/>
                <w:sz w:val="22"/>
              </w:rPr>
            </w:pPr>
          </w:p>
          <w:p w:rsidR="0013441C" w:rsidRPr="0013441C" w:rsidRDefault="0013441C" w:rsidP="0013441C">
            <w:pPr>
              <w:tabs>
                <w:tab w:val="left" w:pos="2694"/>
              </w:tabs>
              <w:ind w:right="215"/>
              <w:rPr>
                <w:rFonts w:cs="Arial"/>
                <w:sz w:val="22"/>
              </w:rPr>
            </w:pPr>
          </w:p>
        </w:tc>
      </w:tr>
      <w:tr w:rsidR="00A974A1" w:rsidRPr="00626CE1" w:rsidTr="00C3182B">
        <w:tc>
          <w:tcPr>
            <w:tcW w:w="1977" w:type="dxa"/>
          </w:tcPr>
          <w:p w:rsidR="00A974A1" w:rsidRPr="00BA5A1E" w:rsidRDefault="00A974A1" w:rsidP="00C3182B">
            <w:pPr>
              <w:tabs>
                <w:tab w:val="left" w:pos="2694"/>
              </w:tabs>
              <w:jc w:val="left"/>
              <w:rPr>
                <w:rFonts w:cs="Arial"/>
                <w:sz w:val="20"/>
              </w:rPr>
            </w:pPr>
          </w:p>
          <w:p w:rsidR="00A974A1" w:rsidRPr="00BA5A1E" w:rsidRDefault="00A974A1" w:rsidP="00C3182B">
            <w:pPr>
              <w:tabs>
                <w:tab w:val="left" w:pos="2694"/>
              </w:tabs>
              <w:jc w:val="left"/>
              <w:rPr>
                <w:rFonts w:cs="Arial"/>
                <w:sz w:val="20"/>
              </w:rPr>
            </w:pPr>
          </w:p>
          <w:p w:rsidR="00A974A1" w:rsidRPr="00DF13EB" w:rsidRDefault="00A974A1" w:rsidP="00C3182B">
            <w:pPr>
              <w:tabs>
                <w:tab w:val="left" w:pos="2694"/>
              </w:tabs>
              <w:jc w:val="left"/>
              <w:rPr>
                <w:rFonts w:cs="Arial"/>
                <w:b/>
                <w:sz w:val="20"/>
              </w:rPr>
            </w:pPr>
            <w:r w:rsidRPr="00DF13EB">
              <w:rPr>
                <w:rFonts w:cs="Arial"/>
                <w:b/>
                <w:sz w:val="20"/>
              </w:rPr>
              <w:t>Obbligo di deposito</w:t>
            </w:r>
          </w:p>
          <w:p w:rsidR="00A974A1" w:rsidRPr="005D3BE1" w:rsidRDefault="00A974A1" w:rsidP="00C3182B">
            <w:pPr>
              <w:tabs>
                <w:tab w:val="left" w:pos="2694"/>
              </w:tabs>
              <w:jc w:val="left"/>
              <w:rPr>
                <w:rFonts w:cs="Arial"/>
                <w:b/>
                <w:sz w:val="12"/>
                <w:szCs w:val="12"/>
              </w:rPr>
            </w:pPr>
          </w:p>
          <w:p w:rsidR="00A974A1" w:rsidRPr="00626CE1" w:rsidRDefault="00A974A1" w:rsidP="00C3182B">
            <w:pPr>
              <w:tabs>
                <w:tab w:val="left" w:pos="2694"/>
              </w:tabs>
              <w:jc w:val="left"/>
              <w:rPr>
                <w:rFonts w:cs="Arial"/>
                <w:szCs w:val="18"/>
              </w:rPr>
            </w:pPr>
            <w:r w:rsidRPr="00DF13EB">
              <w:rPr>
                <w:rFonts w:cs="Arial"/>
                <w:b/>
                <w:sz w:val="20"/>
              </w:rPr>
              <w:t>1. Obbligo di pagamento del deposito</w:t>
            </w:r>
          </w:p>
        </w:tc>
        <w:tc>
          <w:tcPr>
            <w:tcW w:w="7946" w:type="dxa"/>
          </w:tcPr>
          <w:p w:rsidR="00A974A1" w:rsidRDefault="00A974A1" w:rsidP="0013441C">
            <w:pPr>
              <w:tabs>
                <w:tab w:val="left" w:pos="2694"/>
              </w:tabs>
              <w:ind w:right="215"/>
              <w:rPr>
                <w:rFonts w:cs="Arial"/>
                <w:b/>
                <w:sz w:val="22"/>
              </w:rPr>
            </w:pPr>
            <w:r w:rsidRPr="0013441C">
              <w:rPr>
                <w:rFonts w:cs="Arial"/>
                <w:b/>
                <w:sz w:val="22"/>
              </w:rPr>
              <w:t>Art. 253a cpv. 1 e 5</w:t>
            </w:r>
          </w:p>
          <w:p w:rsidR="0013441C" w:rsidRPr="00033B50" w:rsidRDefault="0013441C" w:rsidP="0013441C">
            <w:pPr>
              <w:tabs>
                <w:tab w:val="left" w:pos="2694"/>
              </w:tabs>
              <w:ind w:right="215"/>
              <w:rPr>
                <w:rFonts w:cs="Arial"/>
                <w:sz w:val="22"/>
              </w:rPr>
            </w:pPr>
          </w:p>
          <w:p w:rsidR="00A974A1" w:rsidRPr="0013441C" w:rsidRDefault="00A974A1" w:rsidP="0013441C">
            <w:pPr>
              <w:pStyle w:val="Paragrafoelenco"/>
              <w:shd w:val="clear" w:color="auto" w:fill="FFFFFF"/>
              <w:tabs>
                <w:tab w:val="left" w:pos="2977"/>
              </w:tabs>
              <w:ind w:right="215"/>
              <w:rPr>
                <w:rFonts w:cs="Arial"/>
                <w:sz w:val="22"/>
              </w:rPr>
            </w:pPr>
            <w:r w:rsidRPr="0013441C">
              <w:rPr>
                <w:rFonts w:cs="Arial"/>
                <w:sz w:val="22"/>
                <w:vertAlign w:val="superscript"/>
              </w:rPr>
              <w:t>1</w:t>
            </w:r>
            <w:r w:rsidRPr="0013441C">
              <w:rPr>
                <w:rFonts w:cs="Arial"/>
                <w:sz w:val="22"/>
              </w:rPr>
              <w:t xml:space="preserve">Nei casi di trasferimento di proprietà immobiliare o di negozi giuridici parificabili economicamente a un trasferimento di proprietà ai sensi dell’articolo 124, l’alienante deve versare allo Stato o, in caso di atto pubblico, al notaio rogante: </w:t>
            </w:r>
          </w:p>
          <w:p w:rsidR="00A974A1" w:rsidRPr="0013441C" w:rsidRDefault="00A974A1" w:rsidP="0013441C">
            <w:pPr>
              <w:shd w:val="clear" w:color="auto" w:fill="FFFFFF"/>
              <w:spacing w:before="60"/>
              <w:ind w:left="357" w:right="215" w:hanging="357"/>
              <w:rPr>
                <w:rFonts w:cs="Arial"/>
                <w:sz w:val="22"/>
              </w:rPr>
            </w:pPr>
            <w:r w:rsidRPr="0013441C">
              <w:rPr>
                <w:rFonts w:cs="Arial"/>
                <w:sz w:val="22"/>
              </w:rPr>
              <w:t>a)</w:t>
            </w:r>
            <w:r w:rsidRPr="0013441C">
              <w:rPr>
                <w:rFonts w:cs="Arial"/>
                <w:sz w:val="22"/>
              </w:rPr>
              <w:tab/>
              <w:t>il 4 per cento del valore di alienazione se l’alienante è proprietario del fondo da oltre 10 anni;</w:t>
            </w:r>
          </w:p>
          <w:p w:rsidR="00A974A1" w:rsidRPr="0013441C" w:rsidRDefault="00A974A1" w:rsidP="0013441C">
            <w:pPr>
              <w:shd w:val="clear" w:color="auto" w:fill="FFFFFF"/>
              <w:spacing w:before="60"/>
              <w:ind w:left="357" w:right="215" w:hanging="357"/>
              <w:rPr>
                <w:rFonts w:cs="Arial"/>
                <w:sz w:val="22"/>
              </w:rPr>
            </w:pPr>
            <w:r w:rsidRPr="0013441C">
              <w:rPr>
                <w:rFonts w:cs="Arial"/>
                <w:sz w:val="22"/>
              </w:rPr>
              <w:t>b)</w:t>
            </w:r>
            <w:r w:rsidRPr="0013441C">
              <w:rPr>
                <w:rFonts w:cs="Arial"/>
                <w:sz w:val="22"/>
              </w:rPr>
              <w:tab/>
              <w:t>il 5 per cento del valore di alienazione se l’alienante è proprietario del fondo da oltre 5 anni e non oltre 10 anni;</w:t>
            </w:r>
          </w:p>
          <w:p w:rsidR="00A974A1" w:rsidRPr="0013441C" w:rsidRDefault="00A974A1" w:rsidP="0013441C">
            <w:pPr>
              <w:shd w:val="clear" w:color="auto" w:fill="FFFFFF"/>
              <w:spacing w:before="60"/>
              <w:ind w:left="357" w:right="215" w:hanging="357"/>
              <w:rPr>
                <w:rFonts w:cs="Arial"/>
                <w:sz w:val="22"/>
              </w:rPr>
            </w:pPr>
            <w:r w:rsidRPr="0013441C">
              <w:rPr>
                <w:rFonts w:cs="Arial"/>
                <w:sz w:val="22"/>
              </w:rPr>
              <w:t>c)</w:t>
            </w:r>
            <w:r w:rsidRPr="0013441C">
              <w:rPr>
                <w:rFonts w:cs="Arial"/>
                <w:sz w:val="22"/>
              </w:rPr>
              <w:tab/>
              <w:t>il 6.5 per cento del valore di alienazione se l’alienante è proprietario del fondo da non oltre 5 anni.</w:t>
            </w:r>
          </w:p>
          <w:p w:rsidR="00A974A1" w:rsidRDefault="00A974A1" w:rsidP="00033B50">
            <w:pPr>
              <w:shd w:val="clear" w:color="auto" w:fill="FFFFFF"/>
              <w:tabs>
                <w:tab w:val="left" w:pos="2835"/>
              </w:tabs>
              <w:spacing w:before="60"/>
              <w:ind w:right="215"/>
              <w:rPr>
                <w:rFonts w:cs="Arial"/>
                <w:sz w:val="22"/>
              </w:rPr>
            </w:pPr>
            <w:r w:rsidRPr="0013441C">
              <w:rPr>
                <w:rFonts w:cs="Arial"/>
                <w:sz w:val="22"/>
              </w:rPr>
              <w:t>In alternativa l’alienante può prestare allo Stato una garanzia bancaria irrevocabile a prima richiesta di pari valore emessa da un istituto sottomesso alla legge sulle banche dell’8 novembre 1934, almeno della durata del deposito.</w:t>
            </w:r>
          </w:p>
          <w:p w:rsidR="0013441C" w:rsidRPr="0013441C" w:rsidRDefault="0013441C" w:rsidP="0013441C">
            <w:pPr>
              <w:shd w:val="clear" w:color="auto" w:fill="FFFFFF"/>
              <w:tabs>
                <w:tab w:val="left" w:pos="2835"/>
              </w:tabs>
              <w:ind w:right="215"/>
              <w:rPr>
                <w:rFonts w:cs="Arial"/>
                <w:sz w:val="22"/>
              </w:rPr>
            </w:pPr>
          </w:p>
          <w:p w:rsidR="00A974A1" w:rsidRPr="0013441C" w:rsidRDefault="00A974A1" w:rsidP="0013441C">
            <w:pPr>
              <w:tabs>
                <w:tab w:val="left" w:pos="2835"/>
              </w:tabs>
              <w:ind w:right="215"/>
              <w:rPr>
                <w:rFonts w:cs="Arial"/>
                <w:sz w:val="22"/>
              </w:rPr>
            </w:pPr>
            <w:r w:rsidRPr="0013441C">
              <w:rPr>
                <w:rFonts w:cs="Arial"/>
                <w:sz w:val="22"/>
                <w:vertAlign w:val="superscript"/>
              </w:rPr>
              <w:t>5</w:t>
            </w:r>
            <w:r w:rsidRPr="0013441C">
              <w:rPr>
                <w:rFonts w:cs="Arial"/>
                <w:sz w:val="22"/>
              </w:rPr>
              <w:t>Le imposte scadute garantite da ipoteche legali, nella misura in cui sono scoperte, sono compensate con il deposito eccedente. Nel caso di ulteriori eccedenze, l’autorità fiscale ha la facoltà, nei limiti legali, di effettuare compensazioni con altre imposte scadute.</w:t>
            </w:r>
          </w:p>
          <w:p w:rsidR="00A974A1" w:rsidRDefault="00A974A1" w:rsidP="0013441C">
            <w:pPr>
              <w:tabs>
                <w:tab w:val="left" w:pos="2835"/>
              </w:tabs>
              <w:ind w:right="215"/>
              <w:rPr>
                <w:rFonts w:cs="Arial"/>
                <w:sz w:val="22"/>
              </w:rPr>
            </w:pPr>
          </w:p>
          <w:p w:rsidR="00033B50" w:rsidRDefault="00033B50" w:rsidP="0013441C">
            <w:pPr>
              <w:tabs>
                <w:tab w:val="left" w:pos="2835"/>
              </w:tabs>
              <w:ind w:right="215"/>
              <w:rPr>
                <w:rFonts w:cs="Arial"/>
                <w:sz w:val="22"/>
              </w:rPr>
            </w:pPr>
          </w:p>
          <w:p w:rsidR="0013441C" w:rsidRPr="0013441C" w:rsidRDefault="0013441C" w:rsidP="0013441C">
            <w:pPr>
              <w:tabs>
                <w:tab w:val="left" w:pos="2835"/>
              </w:tabs>
              <w:ind w:right="215"/>
              <w:rPr>
                <w:rFonts w:cs="Arial"/>
                <w:sz w:val="22"/>
              </w:rPr>
            </w:pPr>
          </w:p>
        </w:tc>
      </w:tr>
      <w:tr w:rsidR="00A974A1" w:rsidRPr="00626CE1" w:rsidTr="00C3182B">
        <w:tc>
          <w:tcPr>
            <w:tcW w:w="1977" w:type="dxa"/>
          </w:tcPr>
          <w:p w:rsidR="00A974A1" w:rsidRDefault="00A974A1" w:rsidP="00C3182B">
            <w:pPr>
              <w:jc w:val="left"/>
              <w:rPr>
                <w:rFonts w:cs="Arial"/>
                <w:b/>
                <w:sz w:val="20"/>
              </w:rPr>
            </w:pPr>
          </w:p>
          <w:p w:rsidR="00A974A1" w:rsidRDefault="00A974A1" w:rsidP="00C3182B">
            <w:pPr>
              <w:jc w:val="left"/>
              <w:rPr>
                <w:rFonts w:cs="Arial"/>
                <w:b/>
                <w:sz w:val="20"/>
              </w:rPr>
            </w:pPr>
          </w:p>
          <w:p w:rsidR="00A974A1" w:rsidRPr="00DF13EB" w:rsidRDefault="00A974A1" w:rsidP="00C3182B">
            <w:pPr>
              <w:spacing w:before="120"/>
              <w:jc w:val="left"/>
              <w:rPr>
                <w:rFonts w:cs="Arial"/>
                <w:sz w:val="20"/>
              </w:rPr>
            </w:pPr>
            <w:r w:rsidRPr="00DF13EB">
              <w:rPr>
                <w:rFonts w:cs="Arial"/>
                <w:b/>
                <w:sz w:val="20"/>
              </w:rPr>
              <w:t>2. Obbligo di riversamento del deposito</w:t>
            </w:r>
          </w:p>
        </w:tc>
        <w:tc>
          <w:tcPr>
            <w:tcW w:w="7946" w:type="dxa"/>
          </w:tcPr>
          <w:p w:rsidR="00A974A1" w:rsidRDefault="00A974A1" w:rsidP="0013441C">
            <w:pPr>
              <w:tabs>
                <w:tab w:val="left" w:pos="2694"/>
              </w:tabs>
              <w:ind w:right="215"/>
              <w:rPr>
                <w:rFonts w:cs="Arial"/>
                <w:b/>
                <w:sz w:val="22"/>
              </w:rPr>
            </w:pPr>
            <w:r w:rsidRPr="0013441C">
              <w:rPr>
                <w:rFonts w:cs="Arial"/>
                <w:b/>
                <w:sz w:val="22"/>
              </w:rPr>
              <w:t>Art. 253b (nuovo)</w:t>
            </w:r>
          </w:p>
          <w:p w:rsidR="0013441C" w:rsidRPr="00033B50" w:rsidRDefault="0013441C" w:rsidP="0013441C">
            <w:pPr>
              <w:tabs>
                <w:tab w:val="left" w:pos="2694"/>
              </w:tabs>
              <w:ind w:right="215"/>
              <w:rPr>
                <w:rFonts w:cs="Arial"/>
                <w:sz w:val="22"/>
              </w:rPr>
            </w:pPr>
          </w:p>
          <w:p w:rsidR="00A974A1" w:rsidRDefault="00A974A1" w:rsidP="0013441C">
            <w:pPr>
              <w:shd w:val="clear" w:color="auto" w:fill="FFFFFF"/>
              <w:ind w:right="215"/>
              <w:rPr>
                <w:rFonts w:cs="Arial"/>
                <w:sz w:val="22"/>
              </w:rPr>
            </w:pPr>
            <w:r w:rsidRPr="0013441C">
              <w:rPr>
                <w:rFonts w:cs="Arial"/>
                <w:sz w:val="22"/>
                <w:vertAlign w:val="superscript"/>
              </w:rPr>
              <w:t>1</w:t>
            </w:r>
            <w:r w:rsidRPr="0013441C">
              <w:rPr>
                <w:rFonts w:cs="Arial"/>
                <w:sz w:val="22"/>
              </w:rPr>
              <w:t>In caso di atto pubblico, il notaio rogante deve riversare il deposito entro 10 giorni dalla sua ricezione.</w:t>
            </w:r>
          </w:p>
          <w:p w:rsidR="0013441C" w:rsidRPr="0013441C" w:rsidRDefault="0013441C" w:rsidP="0013441C">
            <w:pPr>
              <w:shd w:val="clear" w:color="auto" w:fill="FFFFFF"/>
              <w:ind w:right="215"/>
              <w:rPr>
                <w:rFonts w:cs="Arial"/>
                <w:sz w:val="22"/>
              </w:rPr>
            </w:pPr>
          </w:p>
          <w:p w:rsidR="00A974A1" w:rsidRDefault="00A974A1" w:rsidP="0013441C">
            <w:pPr>
              <w:tabs>
                <w:tab w:val="left" w:pos="2835"/>
              </w:tabs>
              <w:ind w:right="215"/>
              <w:rPr>
                <w:rFonts w:cs="Arial"/>
                <w:sz w:val="22"/>
              </w:rPr>
            </w:pPr>
            <w:r w:rsidRPr="0013441C">
              <w:rPr>
                <w:rFonts w:cs="Arial"/>
                <w:sz w:val="22"/>
                <w:vertAlign w:val="superscript"/>
              </w:rPr>
              <w:t>2</w:t>
            </w:r>
            <w:r w:rsidRPr="0013441C">
              <w:rPr>
                <w:rFonts w:cs="Arial"/>
                <w:sz w:val="22"/>
              </w:rPr>
              <w:t>Il notaio rogante che omette di riversare il deposito è diffidato a rimediarvi entro un congruo termine. Per ogni diffida è percepita una tassa stabilita dal Consiglio di Stato.</w:t>
            </w:r>
          </w:p>
          <w:p w:rsidR="0013441C" w:rsidRPr="0013441C" w:rsidRDefault="0013441C" w:rsidP="0013441C">
            <w:pPr>
              <w:tabs>
                <w:tab w:val="left" w:pos="2835"/>
              </w:tabs>
              <w:ind w:right="215"/>
              <w:rPr>
                <w:rFonts w:cs="Arial"/>
                <w:sz w:val="22"/>
              </w:rPr>
            </w:pPr>
          </w:p>
          <w:p w:rsidR="00A974A1" w:rsidRDefault="00A974A1" w:rsidP="0013441C">
            <w:pPr>
              <w:tabs>
                <w:tab w:val="left" w:pos="2835"/>
              </w:tabs>
              <w:ind w:right="215"/>
              <w:rPr>
                <w:rFonts w:cs="Arial"/>
                <w:sz w:val="22"/>
              </w:rPr>
            </w:pPr>
            <w:r w:rsidRPr="0013441C">
              <w:rPr>
                <w:rFonts w:cs="Arial"/>
                <w:sz w:val="22"/>
                <w:vertAlign w:val="superscript"/>
              </w:rPr>
              <w:t>3</w:t>
            </w:r>
            <w:r w:rsidRPr="0013441C">
              <w:rPr>
                <w:rFonts w:cs="Arial"/>
                <w:sz w:val="22"/>
              </w:rPr>
              <w:t>Contro la diffida è data facoltà di reclamo all’autorità di riscossione e di ricorso alla Camera di diritto tributario entro i termini stabiliti dagli articoli 206 e 227.</w:t>
            </w:r>
          </w:p>
          <w:p w:rsidR="0013441C" w:rsidRPr="0013441C" w:rsidRDefault="0013441C" w:rsidP="0013441C">
            <w:pPr>
              <w:tabs>
                <w:tab w:val="left" w:pos="2835"/>
              </w:tabs>
              <w:ind w:right="215"/>
              <w:rPr>
                <w:rFonts w:cs="Arial"/>
                <w:sz w:val="22"/>
              </w:rPr>
            </w:pPr>
          </w:p>
          <w:p w:rsidR="00A974A1" w:rsidRDefault="00A974A1" w:rsidP="0013441C">
            <w:pPr>
              <w:tabs>
                <w:tab w:val="left" w:pos="2835"/>
              </w:tabs>
              <w:ind w:right="215"/>
              <w:rPr>
                <w:rFonts w:cs="Arial"/>
                <w:sz w:val="22"/>
              </w:rPr>
            </w:pPr>
            <w:r w:rsidRPr="0013441C">
              <w:rPr>
                <w:rFonts w:cs="Arial"/>
                <w:sz w:val="22"/>
                <w:vertAlign w:val="superscript"/>
              </w:rPr>
              <w:t>4</w:t>
            </w:r>
            <w:r w:rsidRPr="0013441C">
              <w:rPr>
                <w:rFonts w:cs="Arial"/>
                <w:sz w:val="22"/>
              </w:rPr>
              <w:t>L’autorità fiscale provvede a restituire eventuali eccedenze risultanti dal deposito al notaio rogante, salvo istruzioni scritte contrarie da parte dell’alienante. È riservato l’articolo 253a capoverso 5.</w:t>
            </w:r>
          </w:p>
          <w:p w:rsidR="0013441C" w:rsidRPr="0013441C" w:rsidRDefault="0013441C" w:rsidP="0013441C">
            <w:pPr>
              <w:tabs>
                <w:tab w:val="left" w:pos="2835"/>
              </w:tabs>
              <w:ind w:right="215"/>
              <w:rPr>
                <w:rFonts w:cs="Arial"/>
                <w:sz w:val="22"/>
              </w:rPr>
            </w:pPr>
          </w:p>
          <w:p w:rsidR="00A974A1" w:rsidRPr="00033B50" w:rsidRDefault="00A974A1" w:rsidP="0013441C">
            <w:pPr>
              <w:ind w:right="215"/>
              <w:rPr>
                <w:rFonts w:cs="Arial"/>
                <w:sz w:val="22"/>
              </w:rPr>
            </w:pPr>
          </w:p>
        </w:tc>
      </w:tr>
      <w:tr w:rsidR="00A974A1" w:rsidRPr="00626CE1" w:rsidTr="00C3182B">
        <w:tc>
          <w:tcPr>
            <w:tcW w:w="1977" w:type="dxa"/>
          </w:tcPr>
          <w:p w:rsidR="00A974A1" w:rsidRDefault="00A974A1" w:rsidP="00C3182B">
            <w:pPr>
              <w:tabs>
                <w:tab w:val="left" w:pos="2694"/>
              </w:tabs>
              <w:jc w:val="left"/>
              <w:rPr>
                <w:rFonts w:cs="Arial"/>
                <w:b/>
                <w:sz w:val="20"/>
              </w:rPr>
            </w:pPr>
          </w:p>
          <w:p w:rsidR="00A974A1" w:rsidRDefault="00A974A1" w:rsidP="00C3182B">
            <w:pPr>
              <w:tabs>
                <w:tab w:val="left" w:pos="2694"/>
              </w:tabs>
              <w:jc w:val="left"/>
              <w:rPr>
                <w:rFonts w:cs="Arial"/>
                <w:b/>
                <w:sz w:val="20"/>
              </w:rPr>
            </w:pPr>
          </w:p>
          <w:p w:rsidR="00A974A1" w:rsidRPr="00DF13EB" w:rsidRDefault="00A974A1" w:rsidP="00C3182B">
            <w:pPr>
              <w:tabs>
                <w:tab w:val="left" w:pos="2694"/>
              </w:tabs>
              <w:spacing w:before="120"/>
              <w:jc w:val="left"/>
              <w:rPr>
                <w:rFonts w:cs="Arial"/>
                <w:sz w:val="20"/>
              </w:rPr>
            </w:pPr>
            <w:r w:rsidRPr="00DF13EB">
              <w:rPr>
                <w:rFonts w:cs="Arial"/>
                <w:b/>
                <w:sz w:val="20"/>
              </w:rPr>
              <w:t>Doveri del notaio</w:t>
            </w:r>
          </w:p>
        </w:tc>
        <w:tc>
          <w:tcPr>
            <w:tcW w:w="7946" w:type="dxa"/>
          </w:tcPr>
          <w:p w:rsidR="00A974A1" w:rsidRDefault="00A974A1" w:rsidP="0013441C">
            <w:pPr>
              <w:tabs>
                <w:tab w:val="left" w:pos="2694"/>
              </w:tabs>
              <w:ind w:right="215"/>
              <w:rPr>
                <w:rFonts w:cs="Arial"/>
                <w:b/>
                <w:sz w:val="22"/>
                <w:vertAlign w:val="superscript"/>
              </w:rPr>
            </w:pPr>
            <w:r w:rsidRPr="0013441C">
              <w:rPr>
                <w:rFonts w:cs="Arial"/>
                <w:b/>
                <w:sz w:val="22"/>
              </w:rPr>
              <w:t>Art. 254 cpv. 2</w:t>
            </w:r>
            <w:r w:rsidRPr="0013441C">
              <w:rPr>
                <w:rFonts w:cs="Arial"/>
                <w:b/>
                <w:sz w:val="22"/>
                <w:vertAlign w:val="superscript"/>
              </w:rPr>
              <w:t>bis</w:t>
            </w:r>
          </w:p>
          <w:p w:rsidR="0013441C" w:rsidRPr="00033B50" w:rsidRDefault="0013441C" w:rsidP="0013441C">
            <w:pPr>
              <w:tabs>
                <w:tab w:val="left" w:pos="2694"/>
              </w:tabs>
              <w:ind w:right="215"/>
              <w:rPr>
                <w:rFonts w:cs="Arial"/>
                <w:sz w:val="22"/>
              </w:rPr>
            </w:pPr>
          </w:p>
          <w:p w:rsidR="00A974A1" w:rsidRPr="0013441C" w:rsidRDefault="00A974A1" w:rsidP="0013441C">
            <w:pPr>
              <w:shd w:val="clear" w:color="auto" w:fill="FFFFFF"/>
              <w:ind w:right="215"/>
              <w:rPr>
                <w:rFonts w:cs="Arial"/>
                <w:sz w:val="22"/>
              </w:rPr>
            </w:pPr>
            <w:r w:rsidRPr="0013441C">
              <w:rPr>
                <w:rFonts w:cs="Arial"/>
                <w:sz w:val="22"/>
                <w:vertAlign w:val="superscript"/>
              </w:rPr>
              <w:t>2bis</w:t>
            </w:r>
            <w:r w:rsidRPr="0013441C">
              <w:rPr>
                <w:rFonts w:cs="Arial"/>
                <w:sz w:val="22"/>
              </w:rPr>
              <w:t>Il notaio rogante informa le parti sull’obbligo dell’alienante di versargli il deposito o di consegnare allo Stato una garanzia bancaria irrevocabile di cui all’articolo 253a capoverso 1, a garanzia delle ipoteche legali costituite dopo il 1° gennaio 2012, nonché sugli effetti in caso d’inosservanza.</w:t>
            </w:r>
          </w:p>
          <w:p w:rsidR="00A974A1" w:rsidRPr="00033B50" w:rsidRDefault="00A974A1" w:rsidP="0013441C">
            <w:pPr>
              <w:ind w:right="215"/>
              <w:rPr>
                <w:rFonts w:cs="Arial"/>
                <w:sz w:val="22"/>
              </w:rPr>
            </w:pPr>
          </w:p>
          <w:p w:rsidR="0013441C" w:rsidRPr="00033B50" w:rsidRDefault="0013441C" w:rsidP="0013441C">
            <w:pPr>
              <w:ind w:right="215"/>
              <w:rPr>
                <w:rFonts w:cs="Arial"/>
                <w:sz w:val="22"/>
              </w:rPr>
            </w:pPr>
          </w:p>
        </w:tc>
      </w:tr>
      <w:tr w:rsidR="00A974A1" w:rsidRPr="00626CE1" w:rsidTr="00C3182B">
        <w:tc>
          <w:tcPr>
            <w:tcW w:w="1977" w:type="dxa"/>
          </w:tcPr>
          <w:p w:rsidR="00A974A1" w:rsidRPr="00626CE1" w:rsidRDefault="00A974A1" w:rsidP="00C3182B">
            <w:pPr>
              <w:rPr>
                <w:rFonts w:cs="Arial"/>
                <w:szCs w:val="18"/>
              </w:rPr>
            </w:pPr>
          </w:p>
        </w:tc>
        <w:tc>
          <w:tcPr>
            <w:tcW w:w="7946" w:type="dxa"/>
          </w:tcPr>
          <w:p w:rsidR="00A974A1" w:rsidRDefault="00A974A1" w:rsidP="0013441C">
            <w:pPr>
              <w:ind w:right="215"/>
              <w:rPr>
                <w:rFonts w:cs="Arial"/>
                <w:b/>
                <w:sz w:val="22"/>
              </w:rPr>
            </w:pPr>
            <w:r w:rsidRPr="0013441C">
              <w:rPr>
                <w:rFonts w:cs="Arial"/>
                <w:b/>
                <w:sz w:val="22"/>
              </w:rPr>
              <w:t xml:space="preserve">Art. 257 cpv. 1 </w:t>
            </w:r>
            <w:proofErr w:type="spellStart"/>
            <w:r w:rsidRPr="0013441C">
              <w:rPr>
                <w:rFonts w:cs="Arial"/>
                <w:b/>
                <w:sz w:val="22"/>
              </w:rPr>
              <w:t>lett</w:t>
            </w:r>
            <w:proofErr w:type="spellEnd"/>
            <w:r w:rsidRPr="0013441C">
              <w:rPr>
                <w:rFonts w:cs="Arial"/>
                <w:b/>
                <w:sz w:val="22"/>
              </w:rPr>
              <w:t>. d)</w:t>
            </w:r>
          </w:p>
          <w:p w:rsidR="0013441C" w:rsidRPr="00033B50" w:rsidRDefault="0013441C" w:rsidP="0013441C">
            <w:pPr>
              <w:ind w:right="215"/>
              <w:rPr>
                <w:rFonts w:cs="Arial"/>
                <w:sz w:val="22"/>
              </w:rPr>
            </w:pPr>
          </w:p>
          <w:p w:rsidR="00A974A1" w:rsidRPr="0013441C" w:rsidRDefault="00A974A1" w:rsidP="0013441C">
            <w:pPr>
              <w:ind w:left="323" w:right="215" w:hanging="323"/>
              <w:rPr>
                <w:rFonts w:cs="Arial"/>
                <w:sz w:val="22"/>
              </w:rPr>
            </w:pPr>
            <w:r w:rsidRPr="0013441C">
              <w:rPr>
                <w:rFonts w:cs="Arial"/>
                <w:sz w:val="22"/>
              </w:rPr>
              <w:t>d)</w:t>
            </w:r>
            <w:r w:rsidRPr="0013441C">
              <w:rPr>
                <w:rFonts w:cs="Arial"/>
                <w:sz w:val="22"/>
              </w:rPr>
              <w:tab/>
              <w:t>non versa il deposito o non presta la garanzia bancaria irrevocabile previsti dagli articoli 253a e 253b;</w:t>
            </w:r>
          </w:p>
          <w:p w:rsidR="00A974A1" w:rsidRPr="00033B50" w:rsidRDefault="00A974A1" w:rsidP="0013441C">
            <w:pPr>
              <w:ind w:right="215"/>
              <w:rPr>
                <w:rFonts w:cs="Arial"/>
                <w:sz w:val="22"/>
              </w:rPr>
            </w:pPr>
          </w:p>
          <w:p w:rsidR="0013441C" w:rsidRPr="00033B50" w:rsidRDefault="0013441C" w:rsidP="0013441C">
            <w:pPr>
              <w:ind w:right="215"/>
              <w:rPr>
                <w:rFonts w:cs="Arial"/>
                <w:sz w:val="22"/>
              </w:rPr>
            </w:pPr>
          </w:p>
        </w:tc>
      </w:tr>
      <w:tr w:rsidR="00A974A1" w:rsidRPr="00626CE1" w:rsidTr="00C3182B">
        <w:tc>
          <w:tcPr>
            <w:tcW w:w="1977" w:type="dxa"/>
          </w:tcPr>
          <w:p w:rsidR="00A974A1" w:rsidRPr="00626CE1" w:rsidRDefault="00A974A1" w:rsidP="00C3182B">
            <w:pPr>
              <w:rPr>
                <w:rFonts w:cs="Arial"/>
                <w:szCs w:val="18"/>
              </w:rPr>
            </w:pPr>
          </w:p>
        </w:tc>
        <w:tc>
          <w:tcPr>
            <w:tcW w:w="7946" w:type="dxa"/>
          </w:tcPr>
          <w:p w:rsidR="00A974A1" w:rsidRDefault="00A974A1" w:rsidP="0013441C">
            <w:pPr>
              <w:ind w:right="215"/>
              <w:rPr>
                <w:rFonts w:cs="Arial"/>
                <w:b/>
                <w:sz w:val="22"/>
              </w:rPr>
            </w:pPr>
            <w:r w:rsidRPr="0013441C">
              <w:rPr>
                <w:rFonts w:cs="Arial"/>
                <w:b/>
                <w:sz w:val="22"/>
              </w:rPr>
              <w:t>Art. 277 cpv. 4</w:t>
            </w:r>
          </w:p>
          <w:p w:rsidR="0013441C" w:rsidRPr="0013441C" w:rsidRDefault="0013441C" w:rsidP="0013441C">
            <w:pPr>
              <w:ind w:right="215"/>
              <w:rPr>
                <w:rFonts w:eastAsia="Calibri" w:cs="Arial"/>
                <w:sz w:val="22"/>
              </w:rPr>
            </w:pPr>
          </w:p>
          <w:p w:rsidR="00A974A1" w:rsidRPr="0013441C" w:rsidRDefault="00A974A1" w:rsidP="0013441C">
            <w:pPr>
              <w:ind w:right="215"/>
              <w:rPr>
                <w:rFonts w:eastAsia="Calibri" w:cs="Arial"/>
                <w:sz w:val="22"/>
              </w:rPr>
            </w:pPr>
            <w:r w:rsidRPr="0013441C">
              <w:rPr>
                <w:rFonts w:eastAsia="Calibri" w:cs="Arial"/>
                <w:sz w:val="22"/>
                <w:vertAlign w:val="superscript"/>
              </w:rPr>
              <w:t>4</w:t>
            </w:r>
            <w:r w:rsidRPr="0013441C">
              <w:rPr>
                <w:rFonts w:eastAsia="Calibri" w:cs="Arial"/>
                <w:sz w:val="22"/>
              </w:rPr>
              <w:t>Per le imposte annue intere degli articoli 36, 37c e 38 sono determinanti il domicilio o la dimora fiscali al momento del conseguimento del provento, rispettivamente al momento dell’investimento nella società di capitali o cooperativa innovativa. L’imposta annua intera dell’articolo 308a capoverso 2 è dovuta nel Comune di situazione degli immobili.</w:t>
            </w:r>
          </w:p>
          <w:p w:rsidR="00A974A1" w:rsidRDefault="00A974A1" w:rsidP="0013441C">
            <w:pPr>
              <w:ind w:right="215"/>
              <w:rPr>
                <w:rFonts w:eastAsia="Calibri" w:cs="Arial"/>
                <w:sz w:val="22"/>
              </w:rPr>
            </w:pPr>
          </w:p>
          <w:p w:rsidR="0013441C" w:rsidRPr="0013441C" w:rsidRDefault="0013441C" w:rsidP="0013441C">
            <w:pPr>
              <w:ind w:right="215"/>
              <w:rPr>
                <w:rFonts w:eastAsia="Calibri" w:cs="Arial"/>
                <w:sz w:val="22"/>
              </w:rPr>
            </w:pPr>
          </w:p>
        </w:tc>
      </w:tr>
    </w:tbl>
    <w:p w:rsidR="00A974A1" w:rsidRDefault="00A974A1" w:rsidP="00A974A1">
      <w:pPr>
        <w:rPr>
          <w:rFonts w:cs="Arial"/>
          <w:szCs w:val="18"/>
        </w:rPr>
      </w:pPr>
    </w:p>
    <w:p w:rsidR="00A974A1" w:rsidRPr="00626CE1" w:rsidRDefault="00A974A1" w:rsidP="00A974A1">
      <w:pPr>
        <w:rPr>
          <w:b/>
        </w:rPr>
      </w:pPr>
      <w:r w:rsidRPr="00626CE1">
        <w:rPr>
          <w:b/>
        </w:rPr>
        <w:t>II</w:t>
      </w:r>
      <w:r>
        <w:rPr>
          <w:b/>
        </w:rPr>
        <w:t>.</w:t>
      </w:r>
    </w:p>
    <w:p w:rsidR="00A974A1" w:rsidRPr="00626CE1" w:rsidRDefault="00A974A1" w:rsidP="00A974A1">
      <w:pPr>
        <w:spacing w:before="120"/>
      </w:pPr>
      <w:r w:rsidRPr="00626CE1">
        <w:t>Trascorsi i termini per l’esercizio del diritto di referendum</w:t>
      </w:r>
      <w:r>
        <w:t>,</w:t>
      </w:r>
      <w:r w:rsidRPr="00626CE1">
        <w:t xml:space="preserve"> la presente modifica di legge è pubblicata nel Bollettino ufficiale delle leggi ed entra in vigore il 1° gennaio 2020, ad eccezione dell’art</w:t>
      </w:r>
      <w:r>
        <w:t>icolo</w:t>
      </w:r>
      <w:r w:rsidRPr="00626CE1">
        <w:t xml:space="preserve"> 77 c</w:t>
      </w:r>
      <w:r>
        <w:t>apoverso</w:t>
      </w:r>
      <w:r w:rsidRPr="00626CE1">
        <w:t xml:space="preserve"> 7 che entra in vigore con effetto retroattivo al </w:t>
      </w:r>
      <w:r>
        <w:br/>
      </w:r>
      <w:r w:rsidRPr="00626CE1">
        <w:t>1° gennaio 2019.</w:t>
      </w:r>
    </w:p>
    <w:p w:rsidR="00A974A1" w:rsidRDefault="00A974A1" w:rsidP="00A974A1"/>
    <w:sectPr w:rsidR="00A974A1"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F74FF" w:rsidRPr="00EF74F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2061"/>
        </w:tabs>
        <w:ind w:left="2061"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08B4FF1"/>
    <w:multiLevelType w:val="hybridMultilevel"/>
    <w:tmpl w:val="61DEDECC"/>
    <w:lvl w:ilvl="0" w:tplc="08100017">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B1E0AAA"/>
    <w:multiLevelType w:val="hybridMultilevel"/>
    <w:tmpl w:val="CCE87880"/>
    <w:lvl w:ilvl="0" w:tplc="08100017">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8C07F60"/>
    <w:multiLevelType w:val="hybridMultilevel"/>
    <w:tmpl w:val="1EB43D5E"/>
    <w:lvl w:ilvl="0" w:tplc="F59C2A6E">
      <w:start w:val="7685"/>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
  </w:num>
  <w:num w:numId="5">
    <w:abstractNumId w:val="7"/>
  </w:num>
  <w:num w:numId="6">
    <w:abstractNumId w:val="0"/>
  </w:num>
  <w:num w:numId="7">
    <w:abstractNumId w:val="11"/>
  </w:num>
  <w:num w:numId="8">
    <w:abstractNumId w:val="3"/>
  </w:num>
  <w:num w:numId="9">
    <w:abstractNumId w:val="9"/>
  </w:num>
  <w:num w:numId="10">
    <w:abstractNumId w:val="8"/>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3B50"/>
    <w:rsid w:val="000656FE"/>
    <w:rsid w:val="00076E70"/>
    <w:rsid w:val="00120DC2"/>
    <w:rsid w:val="0013441C"/>
    <w:rsid w:val="001574D7"/>
    <w:rsid w:val="00260C8C"/>
    <w:rsid w:val="002E5E40"/>
    <w:rsid w:val="0052425A"/>
    <w:rsid w:val="00586A8D"/>
    <w:rsid w:val="005D3BE1"/>
    <w:rsid w:val="006C17AA"/>
    <w:rsid w:val="006D7A3B"/>
    <w:rsid w:val="006E4AE2"/>
    <w:rsid w:val="007352D3"/>
    <w:rsid w:val="007B5462"/>
    <w:rsid w:val="008034BD"/>
    <w:rsid w:val="00876352"/>
    <w:rsid w:val="008B2655"/>
    <w:rsid w:val="008B4137"/>
    <w:rsid w:val="008C767A"/>
    <w:rsid w:val="008E77C6"/>
    <w:rsid w:val="009156DD"/>
    <w:rsid w:val="009770BB"/>
    <w:rsid w:val="009E008D"/>
    <w:rsid w:val="00A5465F"/>
    <w:rsid w:val="00A672ED"/>
    <w:rsid w:val="00A77678"/>
    <w:rsid w:val="00A974A1"/>
    <w:rsid w:val="00B860C2"/>
    <w:rsid w:val="00BC4C95"/>
    <w:rsid w:val="00BD5944"/>
    <w:rsid w:val="00CF6858"/>
    <w:rsid w:val="00D377B5"/>
    <w:rsid w:val="00D93B31"/>
    <w:rsid w:val="00E505DB"/>
    <w:rsid w:val="00E765A9"/>
    <w:rsid w:val="00EF74F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46DD-7A3F-4C57-8C0F-238C3FC6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9828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2019-10-09T07:44:00Z</cp:lastPrinted>
  <dcterms:created xsi:type="dcterms:W3CDTF">2019-10-09T07:45:00Z</dcterms:created>
  <dcterms:modified xsi:type="dcterms:W3CDTF">2019-10-09T07:45:00Z</dcterms:modified>
</cp:coreProperties>
</file>