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C2" w:rsidRDefault="00865A1F" w:rsidP="00B860C2">
      <w:r w:rsidRPr="00EF41E3">
        <w:rPr>
          <w:rFonts w:ascii="Gill Sans MT" w:hAnsi="Gill Sans MT"/>
          <w:b/>
          <w:sz w:val="52"/>
          <w:szCs w:val="52"/>
        </w:rPr>
        <w:t>Rapporto</w:t>
      </w:r>
      <w:bookmarkStart w:id="0" w:name="_GoBack"/>
      <w:bookmarkEnd w:id="0"/>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tabs>
          <w:tab w:val="left" w:pos="2098"/>
          <w:tab w:val="left" w:pos="4933"/>
        </w:tabs>
        <w:rPr>
          <w:rFonts w:cs="Arial"/>
          <w:szCs w:val="24"/>
        </w:rPr>
      </w:pPr>
      <w:r w:rsidRPr="008B4137">
        <w:rPr>
          <w:rFonts w:cs="Arial"/>
          <w:sz w:val="28"/>
          <w:szCs w:val="28"/>
        </w:rPr>
        <w:tab/>
      </w:r>
      <w:r w:rsidR="00EF564B">
        <w:rPr>
          <w:rFonts w:cs="Arial"/>
          <w:sz w:val="28"/>
          <w:szCs w:val="28"/>
        </w:rPr>
        <w:t>14 novembre 2019</w:t>
      </w:r>
      <w:r w:rsidRPr="008B4137">
        <w:rPr>
          <w:rFonts w:cs="Arial"/>
          <w:sz w:val="28"/>
          <w:szCs w:val="28"/>
        </w:rPr>
        <w:tab/>
      </w:r>
      <w:r w:rsidR="00EF564B">
        <w:rPr>
          <w:sz w:val="28"/>
        </w:rPr>
        <w:t>SANITÀ E SOCIALITÀ</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EF564B" w:rsidRPr="007713F3" w:rsidRDefault="00EF564B" w:rsidP="00EF564B">
      <w:pPr>
        <w:rPr>
          <w:rFonts w:cs="Arial"/>
          <w:b/>
          <w:sz w:val="28"/>
          <w:szCs w:val="28"/>
        </w:rPr>
      </w:pPr>
      <w:bookmarkStart w:id="1" w:name="_Toc532286235"/>
      <w:r w:rsidRPr="007713F3">
        <w:rPr>
          <w:rFonts w:cs="Arial"/>
          <w:b/>
          <w:sz w:val="28"/>
          <w:szCs w:val="28"/>
        </w:rPr>
        <w:t xml:space="preserve">della Commissione </w:t>
      </w:r>
      <w:r>
        <w:rPr>
          <w:rFonts w:cs="Arial"/>
          <w:b/>
          <w:sz w:val="28"/>
          <w:szCs w:val="28"/>
        </w:rPr>
        <w:t>sanità e sicurezza sociale</w:t>
      </w:r>
    </w:p>
    <w:p w:rsidR="00EF564B" w:rsidRPr="00EF564B" w:rsidRDefault="00EF564B" w:rsidP="00EF564B">
      <w:pPr>
        <w:rPr>
          <w:b/>
          <w:bCs/>
          <w:sz w:val="28"/>
          <w:szCs w:val="28"/>
        </w:rPr>
      </w:pPr>
      <w:r w:rsidRPr="00C13F97">
        <w:rPr>
          <w:b/>
          <w:bCs/>
          <w:sz w:val="28"/>
          <w:szCs w:val="28"/>
        </w:rPr>
        <w:t>sull</w:t>
      </w:r>
      <w:r>
        <w:rPr>
          <w:b/>
          <w:bCs/>
          <w:sz w:val="28"/>
          <w:szCs w:val="28"/>
        </w:rPr>
        <w:t>'</w:t>
      </w:r>
      <w:r w:rsidRPr="00C13F97">
        <w:rPr>
          <w:b/>
          <w:bCs/>
          <w:sz w:val="28"/>
          <w:szCs w:val="28"/>
        </w:rPr>
        <w:t xml:space="preserve">iniziativa parlamentare 20 giugno 2016 presentata nella forma generica da Amanda Rückert e cofirmatari </w:t>
      </w:r>
      <w:r w:rsidRPr="00EF564B">
        <w:rPr>
          <w:b/>
          <w:bCs/>
          <w:iCs/>
          <w:sz w:val="28"/>
          <w:szCs w:val="28"/>
        </w:rPr>
        <w:t>"Sussidi casse malati: aiuti a chi ha davvero bisogno!"</w:t>
      </w:r>
    </w:p>
    <w:p w:rsidR="00EF564B" w:rsidRDefault="00EF564B" w:rsidP="00EF564B">
      <w:pPr>
        <w:tabs>
          <w:tab w:val="left" w:pos="1985"/>
          <w:tab w:val="left" w:pos="4933"/>
        </w:tabs>
        <w:ind w:right="-1"/>
        <w:rPr>
          <w:rFonts w:cs="Arial"/>
          <w:szCs w:val="24"/>
        </w:rPr>
      </w:pPr>
    </w:p>
    <w:p w:rsidR="00EF564B" w:rsidRDefault="00EF564B" w:rsidP="00EF564B">
      <w:pPr>
        <w:tabs>
          <w:tab w:val="left" w:pos="1985"/>
          <w:tab w:val="left" w:pos="4933"/>
        </w:tabs>
        <w:ind w:right="-1"/>
        <w:rPr>
          <w:rFonts w:cs="Arial"/>
          <w:szCs w:val="24"/>
        </w:rPr>
      </w:pPr>
    </w:p>
    <w:p w:rsidR="00EF564B" w:rsidRDefault="00EF564B" w:rsidP="00EF564B">
      <w:pPr>
        <w:tabs>
          <w:tab w:val="left" w:pos="1985"/>
          <w:tab w:val="left" w:pos="4933"/>
        </w:tabs>
        <w:ind w:right="-1"/>
        <w:rPr>
          <w:rFonts w:cs="Arial"/>
          <w:szCs w:val="24"/>
        </w:rPr>
      </w:pPr>
    </w:p>
    <w:p w:rsidR="00EF564B" w:rsidRPr="00236AD1" w:rsidRDefault="00EF564B" w:rsidP="000E64C7">
      <w:pPr>
        <w:pStyle w:val="Titolo1"/>
        <w:numPr>
          <w:ilvl w:val="0"/>
          <w:numId w:val="0"/>
        </w:numPr>
        <w:ind w:left="567" w:hanging="567"/>
        <w:rPr>
          <w:rFonts w:eastAsia="MS Mincho"/>
          <w:caps w:val="0"/>
          <w:lang w:val="it-CH"/>
        </w:rPr>
      </w:pPr>
      <w:bookmarkStart w:id="2" w:name="_Toc359971098"/>
      <w:bookmarkStart w:id="3" w:name="_Toc473552395"/>
      <w:r w:rsidRPr="00236AD1">
        <w:rPr>
          <w:rFonts w:eastAsia="MS Mincho"/>
          <w:caps w:val="0"/>
          <w:lang w:val="it-CH"/>
        </w:rPr>
        <w:t>I.</w:t>
      </w:r>
      <w:r w:rsidRPr="00236AD1">
        <w:rPr>
          <w:rFonts w:eastAsia="MS Mincho"/>
          <w:caps w:val="0"/>
          <w:lang w:val="it-CH"/>
        </w:rPr>
        <w:tab/>
        <w:t>L</w:t>
      </w:r>
      <w:r>
        <w:rPr>
          <w:rFonts w:eastAsia="MS Mincho"/>
          <w:caps w:val="0"/>
          <w:lang w:val="it-CH"/>
        </w:rPr>
        <w:t>'</w:t>
      </w:r>
      <w:r w:rsidRPr="00236AD1">
        <w:rPr>
          <w:rFonts w:eastAsia="MS Mincho"/>
          <w:caps w:val="0"/>
          <w:lang w:val="it-CH"/>
        </w:rPr>
        <w:t xml:space="preserve">INIZIATIVA </w:t>
      </w:r>
      <w:bookmarkEnd w:id="2"/>
      <w:bookmarkEnd w:id="3"/>
    </w:p>
    <w:p w:rsidR="00EF564B" w:rsidRPr="009D5765" w:rsidRDefault="00EF564B" w:rsidP="00EF564B">
      <w:pPr>
        <w:spacing w:before="120"/>
        <w:rPr>
          <w:rFonts w:cs="Arial"/>
          <w:szCs w:val="24"/>
        </w:rPr>
      </w:pPr>
      <w:r w:rsidRPr="009D5765">
        <w:rPr>
          <w:rFonts w:cs="Arial"/>
          <w:szCs w:val="24"/>
        </w:rPr>
        <w:t>In data 20 giugno 2016 alcuni deputati di vari partiti hanno sottoscritto e presentato l</w:t>
      </w:r>
      <w:r>
        <w:rPr>
          <w:rFonts w:cs="Arial"/>
          <w:szCs w:val="24"/>
        </w:rPr>
        <w:t>'</w:t>
      </w:r>
      <w:r w:rsidRPr="009D5765">
        <w:rPr>
          <w:rFonts w:cs="Arial"/>
          <w:szCs w:val="24"/>
        </w:rPr>
        <w:t>iniziativa parlamentare in forma generica rubricata sub no. IG605 di cui sopra. Per economia si rinvia al testo integrale pubblicato tenuto conto che nel frattempo l</w:t>
      </w:r>
      <w:r>
        <w:rPr>
          <w:rFonts w:cs="Arial"/>
          <w:szCs w:val="24"/>
        </w:rPr>
        <w:t>'</w:t>
      </w:r>
      <w:r w:rsidRPr="009D5765">
        <w:rPr>
          <w:rFonts w:cs="Arial"/>
          <w:szCs w:val="24"/>
        </w:rPr>
        <w:t>iniziativa ha ottenuto de facto soddisfazione come diremo in appresso.</w:t>
      </w:r>
    </w:p>
    <w:p w:rsidR="00EF564B" w:rsidRPr="009D5765" w:rsidRDefault="00EF564B" w:rsidP="00EF564B">
      <w:pPr>
        <w:spacing w:before="120"/>
        <w:rPr>
          <w:rFonts w:cs="Arial"/>
          <w:szCs w:val="24"/>
        </w:rPr>
      </w:pPr>
    </w:p>
    <w:p w:rsidR="00EF564B" w:rsidRPr="009D5765" w:rsidRDefault="00EF564B" w:rsidP="00EF564B">
      <w:pPr>
        <w:spacing w:before="120"/>
        <w:rPr>
          <w:rFonts w:cs="Arial"/>
          <w:szCs w:val="24"/>
        </w:rPr>
      </w:pPr>
      <w:r w:rsidRPr="009D5765">
        <w:rPr>
          <w:rFonts w:cs="Arial"/>
          <w:szCs w:val="24"/>
        </w:rPr>
        <w:t>In estrema sintesi, dopo varie prem</w:t>
      </w:r>
      <w:r>
        <w:rPr>
          <w:rFonts w:cs="Arial"/>
          <w:szCs w:val="24"/>
        </w:rPr>
        <w:t xml:space="preserve">esse e richiami a norme della </w:t>
      </w:r>
      <w:proofErr w:type="spellStart"/>
      <w:r>
        <w:rPr>
          <w:rFonts w:cs="Arial"/>
          <w:szCs w:val="24"/>
        </w:rPr>
        <w:t>LA</w:t>
      </w:r>
      <w:r w:rsidRPr="009D5765">
        <w:rPr>
          <w:rFonts w:cs="Arial"/>
          <w:szCs w:val="24"/>
        </w:rPr>
        <w:t>Mal</w:t>
      </w:r>
      <w:proofErr w:type="spellEnd"/>
      <w:r w:rsidRPr="009D5765">
        <w:rPr>
          <w:rFonts w:cs="Arial"/>
          <w:szCs w:val="24"/>
        </w:rPr>
        <w:t xml:space="preserve">, </w:t>
      </w:r>
      <w:proofErr w:type="spellStart"/>
      <w:r w:rsidRPr="009D5765">
        <w:rPr>
          <w:rFonts w:cs="Arial"/>
          <w:szCs w:val="24"/>
        </w:rPr>
        <w:t>LCAMal</w:t>
      </w:r>
      <w:proofErr w:type="spellEnd"/>
      <w:r w:rsidRPr="009D5765">
        <w:rPr>
          <w:rFonts w:cs="Arial"/>
          <w:szCs w:val="24"/>
        </w:rPr>
        <w:t xml:space="preserve"> e del relativo regolamento di applicazione circa lo statu quo legislativo di allora, l</w:t>
      </w:r>
      <w:r>
        <w:rPr>
          <w:rFonts w:cs="Arial"/>
          <w:szCs w:val="24"/>
        </w:rPr>
        <w:t>'</w:t>
      </w:r>
      <w:r w:rsidRPr="009D5765">
        <w:rPr>
          <w:rFonts w:cs="Arial"/>
          <w:szCs w:val="24"/>
        </w:rPr>
        <w:t>iniziativa poneva in evidenza il fatto che dette normative e prassi amministrative prevedevano che:</w:t>
      </w:r>
    </w:p>
    <w:p w:rsidR="00EF564B" w:rsidRPr="009D5765" w:rsidRDefault="00EF564B" w:rsidP="000E64C7">
      <w:pPr>
        <w:numPr>
          <w:ilvl w:val="0"/>
          <w:numId w:val="12"/>
        </w:numPr>
        <w:spacing w:before="80"/>
        <w:ind w:left="284" w:hanging="284"/>
        <w:rPr>
          <w:rFonts w:cs="Arial"/>
          <w:szCs w:val="24"/>
        </w:rPr>
      </w:pPr>
      <w:r w:rsidRPr="009D5765">
        <w:rPr>
          <w:rFonts w:cs="Arial"/>
          <w:szCs w:val="24"/>
        </w:rPr>
        <w:t xml:space="preserve"> gli assicurati di condizione economica modesta</w:t>
      </w:r>
      <w:r>
        <w:rPr>
          <w:rFonts w:cs="Arial"/>
          <w:szCs w:val="24"/>
        </w:rPr>
        <w:t xml:space="preserve"> avessero –</w:t>
      </w:r>
      <w:r w:rsidRPr="009D5765">
        <w:rPr>
          <w:rFonts w:cs="Arial"/>
          <w:szCs w:val="24"/>
        </w:rPr>
        <w:t xml:space="preserve"> come giustamente hanno tuttora diritto </w:t>
      </w:r>
      <w:r>
        <w:rPr>
          <w:rFonts w:cs="Arial"/>
          <w:szCs w:val="24"/>
        </w:rPr>
        <w:t xml:space="preserve">– </w:t>
      </w:r>
      <w:r w:rsidRPr="009D5765">
        <w:rPr>
          <w:rFonts w:cs="Arial"/>
          <w:szCs w:val="24"/>
        </w:rPr>
        <w:t>a un</w:t>
      </w:r>
      <w:r>
        <w:rPr>
          <w:rFonts w:cs="Arial"/>
          <w:szCs w:val="24"/>
        </w:rPr>
        <w:t>'</w:t>
      </w:r>
      <w:r w:rsidRPr="009D5765">
        <w:rPr>
          <w:rFonts w:cs="Arial"/>
          <w:szCs w:val="24"/>
        </w:rPr>
        <w:t>adeguata riduzione del premio,</w:t>
      </w:r>
    </w:p>
    <w:p w:rsidR="00EF564B" w:rsidRPr="009D5765" w:rsidRDefault="00EF564B" w:rsidP="000E64C7">
      <w:pPr>
        <w:numPr>
          <w:ilvl w:val="0"/>
          <w:numId w:val="12"/>
        </w:numPr>
        <w:spacing w:before="80"/>
        <w:ind w:left="284" w:hanging="284"/>
        <w:rPr>
          <w:rFonts w:cs="Arial"/>
          <w:szCs w:val="24"/>
        </w:rPr>
      </w:pPr>
      <w:r w:rsidRPr="009D5765">
        <w:rPr>
          <w:rFonts w:cs="Arial"/>
          <w:szCs w:val="24"/>
        </w:rPr>
        <w:t>la base di riferimento per l</w:t>
      </w:r>
      <w:r>
        <w:rPr>
          <w:rFonts w:cs="Arial"/>
          <w:szCs w:val="24"/>
        </w:rPr>
        <w:t>'</w:t>
      </w:r>
      <w:r w:rsidRPr="009D5765">
        <w:rPr>
          <w:rFonts w:cs="Arial"/>
          <w:szCs w:val="24"/>
        </w:rPr>
        <w:t>accertamento di tale condizione economica avveniva alla luce della più recente tassazione;</w:t>
      </w:r>
    </w:p>
    <w:p w:rsidR="00EF564B" w:rsidRPr="009D5765" w:rsidRDefault="00EF564B" w:rsidP="000E64C7">
      <w:pPr>
        <w:numPr>
          <w:ilvl w:val="0"/>
          <w:numId w:val="12"/>
        </w:numPr>
        <w:spacing w:before="80"/>
        <w:ind w:left="284" w:hanging="284"/>
        <w:rPr>
          <w:rFonts w:cs="Arial"/>
          <w:szCs w:val="24"/>
        </w:rPr>
      </w:pPr>
      <w:r w:rsidRPr="009D5765">
        <w:rPr>
          <w:rFonts w:cs="Arial"/>
          <w:szCs w:val="24"/>
        </w:rPr>
        <w:t>qualora, rispetto all'ultima tassazione disponibile, le condizioni economiche di una</w:t>
      </w:r>
      <w:r>
        <w:rPr>
          <w:rFonts w:cs="Arial"/>
          <w:szCs w:val="24"/>
        </w:rPr>
        <w:t xml:space="preserve"> </w:t>
      </w:r>
      <w:r w:rsidRPr="009D5765">
        <w:rPr>
          <w:rFonts w:cs="Arial"/>
          <w:szCs w:val="24"/>
        </w:rPr>
        <w:t>persona fossero ulteriormente peggiorate, quest'ultima aveva, e ha, diritto a un'ulteriore riduzione, previa esibizione di documenti attestanti il peggioramento del proprio stato.</w:t>
      </w:r>
    </w:p>
    <w:p w:rsidR="00EF564B" w:rsidRPr="009D5765" w:rsidRDefault="00EF564B" w:rsidP="00EF564B">
      <w:pPr>
        <w:rPr>
          <w:rFonts w:cs="Arial"/>
          <w:szCs w:val="24"/>
        </w:rPr>
      </w:pPr>
    </w:p>
    <w:p w:rsidR="00EF564B" w:rsidRPr="009D5765" w:rsidRDefault="00EF564B" w:rsidP="00EF564B">
      <w:pPr>
        <w:rPr>
          <w:rFonts w:cs="Arial"/>
          <w:szCs w:val="24"/>
        </w:rPr>
      </w:pPr>
      <w:r w:rsidRPr="009D5765">
        <w:rPr>
          <w:rFonts w:cs="Arial"/>
          <w:szCs w:val="24"/>
        </w:rPr>
        <w:t xml:space="preserve">Invece, sottolineavano gli </w:t>
      </w:r>
      <w:proofErr w:type="spellStart"/>
      <w:r w:rsidRPr="009D5765">
        <w:rPr>
          <w:rFonts w:cs="Arial"/>
          <w:szCs w:val="24"/>
        </w:rPr>
        <w:t>iniziativisti</w:t>
      </w:r>
      <w:proofErr w:type="spellEnd"/>
      <w:r w:rsidRPr="009D5765">
        <w:rPr>
          <w:rFonts w:cs="Arial"/>
          <w:szCs w:val="24"/>
        </w:rPr>
        <w:t>, se le condizioni economiche di un assicurato fossero migliorate rispetto a quelle dimostrate dall</w:t>
      </w:r>
      <w:r>
        <w:rPr>
          <w:rFonts w:cs="Arial"/>
          <w:szCs w:val="24"/>
        </w:rPr>
        <w:t>'</w:t>
      </w:r>
      <w:r w:rsidRPr="009D5765">
        <w:rPr>
          <w:rFonts w:cs="Arial"/>
          <w:szCs w:val="24"/>
        </w:rPr>
        <w:t>ultima tassazione disponibile, la legge non avrebbe dato alcuna possibilità di decurtamento della riduzione del premio. Questo comportava potenziali casi di abuso e ingiustizia.</w:t>
      </w:r>
    </w:p>
    <w:p w:rsidR="00EF564B" w:rsidRPr="009D5765" w:rsidRDefault="00EF564B" w:rsidP="00EF564B">
      <w:pPr>
        <w:rPr>
          <w:rFonts w:cs="Arial"/>
          <w:szCs w:val="24"/>
        </w:rPr>
      </w:pPr>
    </w:p>
    <w:p w:rsidR="00EF564B" w:rsidRPr="009D5765" w:rsidRDefault="00EF564B" w:rsidP="00EF564B">
      <w:pPr>
        <w:rPr>
          <w:rFonts w:cs="Arial"/>
          <w:szCs w:val="24"/>
        </w:rPr>
      </w:pPr>
      <w:r w:rsidRPr="009D5765">
        <w:rPr>
          <w:rFonts w:cs="Arial"/>
          <w:szCs w:val="24"/>
        </w:rPr>
        <w:t xml:space="preserve">Gli </w:t>
      </w:r>
      <w:proofErr w:type="spellStart"/>
      <w:r w:rsidRPr="009D5765">
        <w:rPr>
          <w:rFonts w:cs="Arial"/>
          <w:szCs w:val="24"/>
        </w:rPr>
        <w:t>iniziativisti</w:t>
      </w:r>
      <w:proofErr w:type="spellEnd"/>
      <w:r w:rsidRPr="009D5765">
        <w:rPr>
          <w:rFonts w:cs="Arial"/>
          <w:szCs w:val="24"/>
        </w:rPr>
        <w:t xml:space="preserve"> postulavano quindi che si ovviasse a livello regolamentare a questo vuoto o</w:t>
      </w:r>
      <w:r>
        <w:rPr>
          <w:rFonts w:cs="Arial"/>
          <w:szCs w:val="24"/>
        </w:rPr>
        <w:t>,</w:t>
      </w:r>
      <w:r w:rsidRPr="009D5765">
        <w:rPr>
          <w:rFonts w:cs="Arial"/>
          <w:szCs w:val="24"/>
        </w:rPr>
        <w:t xml:space="preserve"> meglio</w:t>
      </w:r>
      <w:r>
        <w:rPr>
          <w:rFonts w:cs="Arial"/>
          <w:szCs w:val="24"/>
        </w:rPr>
        <w:t>,</w:t>
      </w:r>
      <w:r w:rsidRPr="009D5765">
        <w:rPr>
          <w:rFonts w:cs="Arial"/>
          <w:szCs w:val="24"/>
        </w:rPr>
        <w:t xml:space="preserve"> lacuna legislativa, a beneficio delle casse cantonali e nel rispetto della parità di trattamento degli assicurati.</w:t>
      </w:r>
    </w:p>
    <w:p w:rsidR="00EF564B" w:rsidRPr="009D5765" w:rsidRDefault="00EF564B" w:rsidP="00EF564B">
      <w:pPr>
        <w:rPr>
          <w:rFonts w:cs="Arial"/>
          <w:szCs w:val="24"/>
        </w:rPr>
      </w:pPr>
    </w:p>
    <w:p w:rsidR="00EF564B" w:rsidRPr="009D5765" w:rsidRDefault="00EF564B" w:rsidP="00EF564B">
      <w:pPr>
        <w:rPr>
          <w:rFonts w:cs="Arial"/>
          <w:szCs w:val="24"/>
        </w:rPr>
      </w:pPr>
      <w:r w:rsidRPr="009D5765">
        <w:rPr>
          <w:rFonts w:cs="Arial"/>
          <w:szCs w:val="24"/>
        </w:rPr>
        <w:t>Essi stessi suggerivano di intervenire sull</w:t>
      </w:r>
      <w:r>
        <w:rPr>
          <w:rFonts w:cs="Arial"/>
          <w:szCs w:val="24"/>
        </w:rPr>
        <w:t>'</w:t>
      </w:r>
      <w:r w:rsidRPr="009D5765">
        <w:rPr>
          <w:rFonts w:cs="Arial"/>
          <w:szCs w:val="24"/>
        </w:rPr>
        <w:t xml:space="preserve">art. 14 </w:t>
      </w:r>
      <w:proofErr w:type="spellStart"/>
      <w:r w:rsidRPr="009D5765">
        <w:rPr>
          <w:rFonts w:cs="Arial"/>
          <w:szCs w:val="24"/>
        </w:rPr>
        <w:t>RLCAMal</w:t>
      </w:r>
      <w:proofErr w:type="spellEnd"/>
      <w:r w:rsidRPr="009D5765">
        <w:rPr>
          <w:rFonts w:cs="Arial"/>
          <w:szCs w:val="24"/>
        </w:rPr>
        <w:t xml:space="preserve"> che prevede alcune eccezioni, in deroga all</w:t>
      </w:r>
      <w:r>
        <w:rPr>
          <w:rFonts w:cs="Arial"/>
          <w:szCs w:val="24"/>
        </w:rPr>
        <w:t>'</w:t>
      </w:r>
      <w:r w:rsidRPr="009D5765">
        <w:rPr>
          <w:rFonts w:cs="Arial"/>
          <w:szCs w:val="24"/>
        </w:rPr>
        <w:t xml:space="preserve">art. 30 </w:t>
      </w:r>
      <w:proofErr w:type="spellStart"/>
      <w:r w:rsidRPr="009D5765">
        <w:rPr>
          <w:rFonts w:cs="Arial"/>
          <w:szCs w:val="24"/>
        </w:rPr>
        <w:t>LCAMal</w:t>
      </w:r>
      <w:proofErr w:type="spellEnd"/>
      <w:r w:rsidRPr="009D5765">
        <w:rPr>
          <w:rFonts w:cs="Arial"/>
          <w:szCs w:val="24"/>
        </w:rPr>
        <w:t>.</w:t>
      </w:r>
    </w:p>
    <w:p w:rsidR="00EF564B" w:rsidRDefault="00EF564B" w:rsidP="00EF564B">
      <w:pPr>
        <w:tabs>
          <w:tab w:val="left" w:pos="4820"/>
        </w:tabs>
        <w:rPr>
          <w:rFonts w:cs="Arial"/>
          <w:szCs w:val="24"/>
        </w:rPr>
      </w:pPr>
      <w:r>
        <w:rPr>
          <w:rFonts w:cs="Arial"/>
          <w:szCs w:val="24"/>
        </w:rPr>
        <w:t xml:space="preserve">In particolare, l'iniziativa chiede che l'accertamento non avvenga più su richiesta, bensì diventi la regola adottata d'ufficio dai servizi preposti (in modo da permettere, se del caso, la procedura di restituzione di cui all'art. 49 </w:t>
      </w:r>
      <w:proofErr w:type="spellStart"/>
      <w:r>
        <w:rPr>
          <w:rFonts w:cs="Arial"/>
          <w:szCs w:val="24"/>
        </w:rPr>
        <w:t>LCAMal</w:t>
      </w:r>
      <w:proofErr w:type="spellEnd"/>
      <w:r>
        <w:rPr>
          <w:rFonts w:cs="Arial"/>
          <w:szCs w:val="24"/>
        </w:rPr>
        <w:t xml:space="preserve">). Essa chiede inoltre che il servizio, prima di erogare il sussidio, si fondi sulla notifica di tassazione più recente a disposizione. Infine, che sia modificato il cpv. 3 dell'art. 14 </w:t>
      </w:r>
      <w:proofErr w:type="spellStart"/>
      <w:r>
        <w:rPr>
          <w:rFonts w:cs="Arial"/>
          <w:szCs w:val="24"/>
        </w:rPr>
        <w:t>RLCAMal</w:t>
      </w:r>
      <w:proofErr w:type="spellEnd"/>
      <w:r>
        <w:rPr>
          <w:rFonts w:cs="Arial"/>
          <w:szCs w:val="24"/>
        </w:rPr>
        <w:t xml:space="preserve">, segnatamente nei casi di calcolo </w:t>
      </w:r>
      <w:r>
        <w:rPr>
          <w:rFonts w:cs="Arial"/>
          <w:szCs w:val="24"/>
        </w:rPr>
        <w:lastRenderedPageBreak/>
        <w:t>del reddito di riferimento al di fuori o in assenza della tassazione fiscale determinante ai sensi dei cpv. 1 e 2 del disposto medesimo, e che in caso di esistenza di sostanza e reddito della sostanza, i dati necessari siano desunti dall'ultima tassazione fiscale cresciuta in giudicato al memento della decisione (e non dell'istanza come oggi previsto).</w:t>
      </w:r>
    </w:p>
    <w:p w:rsidR="00EF564B" w:rsidRDefault="00EF564B" w:rsidP="00EF564B">
      <w:pPr>
        <w:rPr>
          <w:rFonts w:cs="Arial"/>
          <w:szCs w:val="24"/>
        </w:rPr>
      </w:pPr>
    </w:p>
    <w:p w:rsidR="00EF564B" w:rsidRPr="009D5765" w:rsidRDefault="00EF564B" w:rsidP="00EF564B">
      <w:pPr>
        <w:spacing w:before="120"/>
        <w:rPr>
          <w:rFonts w:cs="Arial"/>
          <w:szCs w:val="24"/>
        </w:rPr>
      </w:pPr>
      <w:r w:rsidRPr="009D5765">
        <w:rPr>
          <w:rFonts w:cs="Arial"/>
          <w:szCs w:val="24"/>
        </w:rPr>
        <w:t>In occasione di una sua seduta durante la quale è stato sentito il Consigliere di Stato e i suoi funzionari preposti per un più ampio giro di orizzonte sulle varie tematiche in capo ai premi di casa malati, si è potuto appurare che</w:t>
      </w:r>
      <w:r>
        <w:rPr>
          <w:rFonts w:cs="Arial"/>
          <w:szCs w:val="24"/>
        </w:rPr>
        <w:t>,</w:t>
      </w:r>
      <w:r w:rsidRPr="009D5765">
        <w:rPr>
          <w:rFonts w:cs="Arial"/>
          <w:szCs w:val="24"/>
        </w:rPr>
        <w:t xml:space="preserve"> di fatto</w:t>
      </w:r>
      <w:r>
        <w:rPr>
          <w:rFonts w:cs="Arial"/>
          <w:szCs w:val="24"/>
        </w:rPr>
        <w:t>,</w:t>
      </w:r>
      <w:r w:rsidRPr="009D5765">
        <w:rPr>
          <w:rFonts w:cs="Arial"/>
          <w:szCs w:val="24"/>
        </w:rPr>
        <w:t xml:space="preserve"> il Consiglio di Stato aveva deciso di recepire le suggestioni di cui all</w:t>
      </w:r>
      <w:r>
        <w:rPr>
          <w:rFonts w:cs="Arial"/>
          <w:szCs w:val="24"/>
        </w:rPr>
        <w:t>'</w:t>
      </w:r>
      <w:r w:rsidRPr="009D5765">
        <w:rPr>
          <w:rFonts w:cs="Arial"/>
          <w:szCs w:val="24"/>
        </w:rPr>
        <w:t>iniziativa parlamentare sopra richiamata</w:t>
      </w:r>
      <w:r>
        <w:rPr>
          <w:rFonts w:cs="Arial"/>
          <w:szCs w:val="24"/>
        </w:rPr>
        <w:t>,</w:t>
      </w:r>
      <w:r w:rsidRPr="009D5765">
        <w:rPr>
          <w:rFonts w:cs="Arial"/>
          <w:szCs w:val="24"/>
        </w:rPr>
        <w:t xml:space="preserve"> </w:t>
      </w:r>
      <w:r>
        <w:rPr>
          <w:rFonts w:cs="Arial"/>
          <w:szCs w:val="24"/>
        </w:rPr>
        <w:t xml:space="preserve">modificando il </w:t>
      </w:r>
      <w:proofErr w:type="spellStart"/>
      <w:r>
        <w:rPr>
          <w:rFonts w:cs="Arial"/>
          <w:szCs w:val="24"/>
        </w:rPr>
        <w:t>RLCAMal</w:t>
      </w:r>
      <w:proofErr w:type="spellEnd"/>
      <w:r>
        <w:rPr>
          <w:rFonts w:cs="Arial"/>
          <w:szCs w:val="24"/>
        </w:rPr>
        <w:t xml:space="preserve"> (vedi BU n. 134 16/2018 del 13 aprile) come segue:</w:t>
      </w:r>
    </w:p>
    <w:p w:rsidR="00EF564B" w:rsidRDefault="00EF564B" w:rsidP="00EF564B">
      <w:pPr>
        <w:rPr>
          <w:rFonts w:cs="Arial"/>
          <w:szCs w:val="24"/>
        </w:rPr>
      </w:pPr>
    </w:p>
    <w:p w:rsidR="00EF564B" w:rsidRDefault="00EF564B" w:rsidP="00EF564B">
      <w:pPr>
        <w:rPr>
          <w:rFonts w:cs="Arial"/>
          <w:szCs w:val="24"/>
        </w:rPr>
      </w:pPr>
    </w:p>
    <w:tbl>
      <w:tblPr>
        <w:tblW w:w="0" w:type="auto"/>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0"/>
      </w:tblGrid>
      <w:tr w:rsidR="00EF564B" w:rsidRPr="0052114D" w:rsidTr="00386A64">
        <w:trPr>
          <w:tblHeader/>
          <w:jc w:val="center"/>
        </w:trPr>
        <w:tc>
          <w:tcPr>
            <w:tcW w:w="4782" w:type="dxa"/>
            <w:shd w:val="pct10" w:color="auto" w:fill="auto"/>
          </w:tcPr>
          <w:p w:rsidR="00EF564B" w:rsidRPr="0052114D" w:rsidRDefault="00EF564B" w:rsidP="00386A64">
            <w:pPr>
              <w:widowControl w:val="0"/>
              <w:spacing w:before="120" w:after="120"/>
              <w:rPr>
                <w:b/>
                <w:sz w:val="22"/>
              </w:rPr>
            </w:pPr>
            <w:r w:rsidRPr="0052114D">
              <w:rPr>
                <w:b/>
                <w:sz w:val="22"/>
              </w:rPr>
              <w:t>Testo precedente</w:t>
            </w:r>
          </w:p>
        </w:tc>
        <w:tc>
          <w:tcPr>
            <w:tcW w:w="4780" w:type="dxa"/>
            <w:shd w:val="pct10" w:color="auto" w:fill="auto"/>
          </w:tcPr>
          <w:p w:rsidR="00EF564B" w:rsidRPr="0052114D" w:rsidRDefault="00EF564B" w:rsidP="00386A64">
            <w:pPr>
              <w:spacing w:before="120" w:after="120"/>
              <w:ind w:left="57" w:right="57"/>
              <w:rPr>
                <w:b/>
                <w:sz w:val="22"/>
              </w:rPr>
            </w:pPr>
            <w:r w:rsidRPr="0052114D">
              <w:rPr>
                <w:b/>
                <w:sz w:val="22"/>
              </w:rPr>
              <w:t>Modifica del CdS (10.04.2018)</w:t>
            </w:r>
          </w:p>
        </w:tc>
      </w:tr>
      <w:tr w:rsidR="00EF564B" w:rsidRPr="0052114D" w:rsidTr="00386A64">
        <w:trPr>
          <w:jc w:val="center"/>
        </w:trPr>
        <w:tc>
          <w:tcPr>
            <w:tcW w:w="4782" w:type="dxa"/>
            <w:shd w:val="clear" w:color="auto" w:fill="auto"/>
          </w:tcPr>
          <w:p w:rsidR="00EF564B" w:rsidRPr="0052114D" w:rsidRDefault="00EF564B" w:rsidP="000E64C7">
            <w:pPr>
              <w:widowControl w:val="0"/>
              <w:spacing w:before="40"/>
              <w:rPr>
                <w:b/>
                <w:sz w:val="22"/>
              </w:rPr>
            </w:pPr>
            <w:r w:rsidRPr="0052114D">
              <w:rPr>
                <w:b/>
                <w:sz w:val="22"/>
              </w:rPr>
              <w:t>Cap. 4</w:t>
            </w:r>
          </w:p>
          <w:p w:rsidR="00EF564B" w:rsidRPr="0052114D" w:rsidRDefault="00EF564B" w:rsidP="00386A64">
            <w:pPr>
              <w:widowControl w:val="0"/>
              <w:rPr>
                <w:b/>
                <w:sz w:val="22"/>
              </w:rPr>
            </w:pPr>
            <w:r w:rsidRPr="0052114D">
              <w:rPr>
                <w:b/>
                <w:sz w:val="22"/>
              </w:rPr>
              <w:t>Reddito di riferimento</w:t>
            </w:r>
          </w:p>
          <w:p w:rsidR="00EF564B" w:rsidRPr="0052114D" w:rsidRDefault="00EF564B" w:rsidP="00386A64">
            <w:pPr>
              <w:widowControl w:val="0"/>
              <w:rPr>
                <w:b/>
                <w:sz w:val="22"/>
              </w:rPr>
            </w:pPr>
            <w:r w:rsidRPr="0052114D">
              <w:rPr>
                <w:b/>
                <w:sz w:val="22"/>
              </w:rPr>
              <w:t>A. Accertamento al di fuori o in assenza della tassazione fiscale determinante</w:t>
            </w:r>
          </w:p>
          <w:p w:rsidR="00EF564B" w:rsidRPr="0052114D" w:rsidRDefault="00EF564B" w:rsidP="00386A64">
            <w:pPr>
              <w:widowControl w:val="0"/>
              <w:rPr>
                <w:b/>
                <w:sz w:val="22"/>
              </w:rPr>
            </w:pPr>
          </w:p>
        </w:tc>
        <w:tc>
          <w:tcPr>
            <w:tcW w:w="4780" w:type="dxa"/>
            <w:shd w:val="clear" w:color="auto" w:fill="auto"/>
          </w:tcPr>
          <w:p w:rsidR="00EF564B" w:rsidRPr="0052114D" w:rsidRDefault="00EF564B" w:rsidP="000E64C7">
            <w:pPr>
              <w:widowControl w:val="0"/>
              <w:spacing w:before="40"/>
              <w:rPr>
                <w:b/>
                <w:sz w:val="22"/>
              </w:rPr>
            </w:pPr>
            <w:r w:rsidRPr="0052114D">
              <w:rPr>
                <w:b/>
                <w:sz w:val="22"/>
              </w:rPr>
              <w:t>Cap. 4</w:t>
            </w:r>
          </w:p>
          <w:p w:rsidR="00EF564B" w:rsidRPr="0052114D" w:rsidRDefault="00EF564B" w:rsidP="00386A64">
            <w:pPr>
              <w:widowControl w:val="0"/>
              <w:rPr>
                <w:b/>
                <w:sz w:val="22"/>
              </w:rPr>
            </w:pPr>
            <w:r w:rsidRPr="0052114D">
              <w:rPr>
                <w:b/>
                <w:sz w:val="22"/>
              </w:rPr>
              <w:t>Reddito di riferimento</w:t>
            </w:r>
          </w:p>
          <w:p w:rsidR="00EF564B" w:rsidRPr="0052114D" w:rsidRDefault="00EF564B" w:rsidP="00386A64">
            <w:pPr>
              <w:widowControl w:val="0"/>
              <w:rPr>
                <w:b/>
                <w:sz w:val="22"/>
              </w:rPr>
            </w:pPr>
            <w:r w:rsidRPr="0052114D">
              <w:rPr>
                <w:b/>
                <w:sz w:val="22"/>
              </w:rPr>
              <w:t>A. Accertamento al di fuori o in assenza della tassazione fiscale determinante</w:t>
            </w:r>
          </w:p>
          <w:p w:rsidR="00EF564B" w:rsidRPr="0052114D" w:rsidRDefault="00EF564B" w:rsidP="00386A64">
            <w:pPr>
              <w:widowControl w:val="0"/>
              <w:rPr>
                <w:b/>
                <w:sz w:val="22"/>
              </w:rPr>
            </w:pPr>
          </w:p>
        </w:tc>
      </w:tr>
      <w:tr w:rsidR="00EF564B" w:rsidRPr="0052114D" w:rsidTr="00386A64">
        <w:trPr>
          <w:jc w:val="center"/>
        </w:trPr>
        <w:tc>
          <w:tcPr>
            <w:tcW w:w="4782" w:type="dxa"/>
            <w:shd w:val="clear" w:color="auto" w:fill="auto"/>
          </w:tcPr>
          <w:p w:rsidR="00EF564B" w:rsidRPr="0052114D" w:rsidRDefault="00EF564B" w:rsidP="00DA1825">
            <w:pPr>
              <w:widowControl w:val="0"/>
              <w:spacing w:before="40"/>
              <w:rPr>
                <w:b/>
                <w:sz w:val="22"/>
              </w:rPr>
            </w:pPr>
            <w:r w:rsidRPr="0052114D">
              <w:rPr>
                <w:b/>
                <w:sz w:val="22"/>
              </w:rPr>
              <w:t>Art. 14 cpv. 1, 2 e 3</w:t>
            </w:r>
          </w:p>
          <w:p w:rsidR="00EF564B" w:rsidRPr="0052114D" w:rsidRDefault="00EF564B" w:rsidP="00386A64">
            <w:pPr>
              <w:widowControl w:val="0"/>
              <w:rPr>
                <w:sz w:val="22"/>
              </w:rPr>
            </w:pPr>
          </w:p>
          <w:p w:rsidR="00EF564B" w:rsidRPr="0052114D" w:rsidRDefault="00EF564B" w:rsidP="00386A64">
            <w:pPr>
              <w:widowControl w:val="0"/>
              <w:rPr>
                <w:sz w:val="22"/>
              </w:rPr>
            </w:pPr>
            <w:r w:rsidRPr="0052114D">
              <w:rPr>
                <w:sz w:val="22"/>
                <w:vertAlign w:val="superscript"/>
              </w:rPr>
              <w:t>1</w:t>
            </w:r>
            <w:r w:rsidRPr="0052114D">
              <w:rPr>
                <w:sz w:val="22"/>
              </w:rPr>
              <w:t xml:space="preserve">La Cassa cantonale di compensazione AVS/AI/IPG accerta i dati necessari per il calcolo del reddito di riferimento al di fuori o in assenza della tassazione fiscale determinante, nei seguenti casi: </w:t>
            </w:r>
          </w:p>
          <w:p w:rsidR="00EF564B" w:rsidRPr="0052114D" w:rsidRDefault="00EF564B" w:rsidP="00386A64">
            <w:pPr>
              <w:widowControl w:val="0"/>
              <w:ind w:left="284" w:hanging="284"/>
              <w:rPr>
                <w:sz w:val="22"/>
              </w:rPr>
            </w:pPr>
            <w:r w:rsidRPr="0052114D">
              <w:rPr>
                <w:sz w:val="22"/>
              </w:rPr>
              <w:t>a)</w:t>
            </w:r>
            <w:r w:rsidRPr="0052114D">
              <w:rPr>
                <w:sz w:val="22"/>
              </w:rPr>
              <w:tab/>
              <w:t>persone soggette all'imposta alla fonte e persone soggette all'obbligo d'assicurazione svizzero in forza dell'Accordo CH/UE sulla libera circolazione delle persone o dell'Accordo di emendamento della Convenzione istitutiva dell'AELS, non tassate in Svizzera;</w:t>
            </w:r>
          </w:p>
          <w:p w:rsidR="00EF564B" w:rsidRPr="0052114D" w:rsidRDefault="00EF564B" w:rsidP="00386A64">
            <w:pPr>
              <w:widowControl w:val="0"/>
              <w:ind w:left="284" w:hanging="284"/>
              <w:rPr>
                <w:sz w:val="22"/>
              </w:rPr>
            </w:pPr>
            <w:r w:rsidRPr="0052114D">
              <w:rPr>
                <w:sz w:val="22"/>
              </w:rPr>
              <w:t>b)</w:t>
            </w:r>
            <w:r w:rsidRPr="0052114D">
              <w:rPr>
                <w:sz w:val="22"/>
              </w:rPr>
              <w:tab/>
              <w:t>persone domiciliate che, al momento dell'istanza, non dispongono di alcuna tassazione fiscale e per le quali non sarà emessa una tassazione relativa al periodo fiscale determinante;</w:t>
            </w:r>
          </w:p>
          <w:p w:rsidR="00EF564B" w:rsidRPr="0052114D" w:rsidRDefault="00EF564B" w:rsidP="00386A64">
            <w:pPr>
              <w:widowControl w:val="0"/>
              <w:ind w:left="284" w:hanging="284"/>
              <w:rPr>
                <w:sz w:val="22"/>
              </w:rPr>
            </w:pPr>
            <w:r w:rsidRPr="0052114D">
              <w:rPr>
                <w:sz w:val="22"/>
              </w:rPr>
              <w:t>c)</w:t>
            </w:r>
            <w:r w:rsidRPr="0052114D">
              <w:rPr>
                <w:sz w:val="22"/>
              </w:rPr>
              <w:tab/>
              <w:t>decesso del coniuge o del partner registrato;</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d)</w:t>
            </w:r>
            <w:r w:rsidRPr="0052114D">
              <w:rPr>
                <w:sz w:val="22"/>
              </w:rPr>
              <w:tab/>
              <w:t>divorzio o separazione per sentenza giudiziaria o di fatto, scioglimento dell'unione domestica registrata;</w:t>
            </w:r>
          </w:p>
          <w:p w:rsidR="00EF564B" w:rsidRPr="0052114D" w:rsidRDefault="00EF564B" w:rsidP="00386A64">
            <w:pPr>
              <w:widowControl w:val="0"/>
              <w:ind w:left="284" w:hanging="284"/>
              <w:rPr>
                <w:sz w:val="22"/>
              </w:rPr>
            </w:pPr>
            <w:r w:rsidRPr="0052114D">
              <w:rPr>
                <w:sz w:val="22"/>
              </w:rPr>
              <w:t>e)</w:t>
            </w:r>
            <w:r w:rsidRPr="0052114D">
              <w:rPr>
                <w:sz w:val="22"/>
              </w:rPr>
              <w:tab/>
              <w:t>cessazione totale dell'attività lucrativa a seguito di pensionamento, infortunio e/o malattia, maternità/paternità;</w:t>
            </w:r>
          </w:p>
          <w:p w:rsidR="00EF564B" w:rsidRPr="0052114D" w:rsidRDefault="00EF564B" w:rsidP="00386A64">
            <w:pPr>
              <w:widowControl w:val="0"/>
              <w:ind w:left="284" w:hanging="284"/>
              <w:rPr>
                <w:sz w:val="22"/>
              </w:rPr>
            </w:pPr>
            <w:r w:rsidRPr="0052114D">
              <w:rPr>
                <w:sz w:val="22"/>
              </w:rPr>
              <w:t>f)</w:t>
            </w:r>
            <w:r w:rsidRPr="0052114D">
              <w:rPr>
                <w:sz w:val="22"/>
              </w:rPr>
              <w:tab/>
              <w:t>cessazione totale dell'attività lucrativa a seguito di riqualificazione o perfezionamento professionale;</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DA1825">
            <w:pPr>
              <w:widowControl w:val="0"/>
              <w:spacing w:before="40"/>
              <w:ind w:left="284" w:hanging="284"/>
              <w:rPr>
                <w:sz w:val="22"/>
              </w:rPr>
            </w:pPr>
            <w:r w:rsidRPr="0052114D">
              <w:rPr>
                <w:sz w:val="22"/>
              </w:rPr>
              <w:lastRenderedPageBreak/>
              <w:t>g)</w:t>
            </w:r>
            <w:r w:rsidRPr="0052114D">
              <w:rPr>
                <w:sz w:val="22"/>
              </w:rPr>
              <w:tab/>
              <w:t>cessazione totale dell'attività lucrativa a seguito di disoccupazione;</w:t>
            </w:r>
          </w:p>
          <w:p w:rsidR="00EF564B" w:rsidRPr="0052114D" w:rsidRDefault="00EF564B" w:rsidP="00386A64">
            <w:pPr>
              <w:widowControl w:val="0"/>
              <w:ind w:left="284" w:hanging="284"/>
              <w:rPr>
                <w:sz w:val="22"/>
              </w:rPr>
            </w:pPr>
            <w:r w:rsidRPr="0052114D">
              <w:rPr>
                <w:sz w:val="22"/>
              </w:rPr>
              <w:t>h)</w:t>
            </w:r>
            <w:r w:rsidRPr="0052114D">
              <w:rPr>
                <w:sz w:val="22"/>
              </w:rPr>
              <w:tab/>
              <w:t>persone sole conformemente all'art. 11 cpv. 1 del presente regolamento che hanno iniziato un'attività lucrativa dopo avere terminato la prima formazione.</w:t>
            </w:r>
          </w:p>
          <w:p w:rsidR="00EF564B" w:rsidRPr="0052114D" w:rsidRDefault="00EF564B" w:rsidP="000E64C7">
            <w:pPr>
              <w:widowControl w:val="0"/>
              <w:spacing w:before="120"/>
              <w:rPr>
                <w:sz w:val="22"/>
              </w:rPr>
            </w:pPr>
            <w:r w:rsidRPr="0052114D">
              <w:rPr>
                <w:sz w:val="22"/>
                <w:vertAlign w:val="superscript"/>
              </w:rPr>
              <w:t>2</w:t>
            </w:r>
            <w:r w:rsidRPr="0052114D">
              <w:rPr>
                <w:sz w:val="22"/>
              </w:rPr>
              <w:t>La Cassa cantonale di compensazione AVS/AI/IPG accerta, su richiesta, i dati necessari per il calcolo di riferimento al di fuori o in assenza della tassazione fiscale determinante in caso di:</w:t>
            </w:r>
          </w:p>
          <w:p w:rsidR="00EF564B" w:rsidRPr="0052114D" w:rsidRDefault="00EF564B" w:rsidP="00386A64">
            <w:pPr>
              <w:widowControl w:val="0"/>
              <w:ind w:left="284" w:hanging="284"/>
              <w:rPr>
                <w:sz w:val="22"/>
              </w:rPr>
            </w:pPr>
            <w:r w:rsidRPr="0052114D">
              <w:rPr>
                <w:sz w:val="22"/>
              </w:rPr>
              <w:t>a)</w:t>
            </w:r>
            <w:r w:rsidRPr="0052114D">
              <w:rPr>
                <w:sz w:val="22"/>
              </w:rPr>
              <w:tab/>
              <w:t xml:space="preserve">cessazione parziale dell'attività lucrativa nelle situazioni di cui alle </w:t>
            </w:r>
            <w:proofErr w:type="spellStart"/>
            <w:r w:rsidRPr="0052114D">
              <w:rPr>
                <w:sz w:val="22"/>
              </w:rPr>
              <w:t>lett</w:t>
            </w:r>
            <w:proofErr w:type="spellEnd"/>
            <w:r w:rsidRPr="0052114D">
              <w:rPr>
                <w:sz w:val="22"/>
              </w:rPr>
              <w:t>. e), f) e g) del capoverso 1;</w:t>
            </w:r>
          </w:p>
          <w:p w:rsidR="00EF564B" w:rsidRPr="0052114D" w:rsidRDefault="00EF564B" w:rsidP="00386A64">
            <w:pPr>
              <w:widowControl w:val="0"/>
              <w:ind w:left="284" w:hanging="284"/>
              <w:rPr>
                <w:sz w:val="22"/>
              </w:rPr>
            </w:pPr>
          </w:p>
          <w:p w:rsidR="00EF564B" w:rsidRPr="0052114D" w:rsidRDefault="00EF564B" w:rsidP="00386A64">
            <w:pPr>
              <w:widowControl w:val="0"/>
              <w:rPr>
                <w:sz w:val="22"/>
              </w:rPr>
            </w:pPr>
          </w:p>
          <w:p w:rsidR="00EF564B" w:rsidRPr="0052114D" w:rsidRDefault="00EF564B" w:rsidP="00386A64">
            <w:pPr>
              <w:widowControl w:val="0"/>
              <w:ind w:left="284" w:hanging="284"/>
              <w:rPr>
                <w:sz w:val="22"/>
              </w:rPr>
            </w:pPr>
            <w:r w:rsidRPr="0052114D">
              <w:rPr>
                <w:sz w:val="22"/>
              </w:rPr>
              <w:t>b)</w:t>
            </w:r>
            <w:r w:rsidRPr="0052114D">
              <w:rPr>
                <w:sz w:val="22"/>
              </w:rPr>
              <w:tab/>
              <w:t>diminuzione delle prestazioni, in forma di rendite e indennità giornaliere delle assicurazioni sociali o private, o delle pensioni alimentari, rispetto al relativo dato desunto dalla tassazione fiscale determinante;</w:t>
            </w:r>
          </w:p>
          <w:p w:rsidR="00EF564B" w:rsidRPr="0052114D" w:rsidRDefault="00EF564B" w:rsidP="00386A64">
            <w:pPr>
              <w:widowControl w:val="0"/>
              <w:ind w:left="284" w:hanging="284"/>
              <w:rPr>
                <w:sz w:val="22"/>
              </w:rPr>
            </w:pPr>
            <w:r w:rsidRPr="0052114D">
              <w:rPr>
                <w:sz w:val="22"/>
              </w:rPr>
              <w:t>c)</w:t>
            </w:r>
            <w:r w:rsidRPr="0052114D">
              <w:rPr>
                <w:sz w:val="22"/>
              </w:rPr>
              <w:tab/>
              <w:t xml:space="preserve">diminuzione del reddito da lavoro (da attività dipendente o indipendente) per altri fattori oltre a quelli indicati alla </w:t>
            </w:r>
            <w:proofErr w:type="spellStart"/>
            <w:r w:rsidRPr="0052114D">
              <w:rPr>
                <w:sz w:val="22"/>
              </w:rPr>
              <w:t>lett</w:t>
            </w:r>
            <w:proofErr w:type="spellEnd"/>
            <w:r w:rsidRPr="0052114D">
              <w:rPr>
                <w:sz w:val="22"/>
              </w:rPr>
              <w:t>. a), rispetto al relativo dato desunto dalla tassazione fiscale determinante;</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d)</w:t>
            </w:r>
            <w:r w:rsidRPr="0052114D">
              <w:rPr>
                <w:sz w:val="22"/>
              </w:rPr>
              <w:tab/>
              <w:t>diminuzione degli affitti percepiti, rispetto al relativo dato desunto dalla tassazione fiscale determinante;</w:t>
            </w:r>
          </w:p>
          <w:p w:rsidR="00EF564B" w:rsidRPr="0052114D" w:rsidRDefault="00EF564B" w:rsidP="00386A64">
            <w:pPr>
              <w:widowControl w:val="0"/>
              <w:ind w:left="284" w:hanging="284"/>
              <w:rPr>
                <w:sz w:val="22"/>
              </w:rPr>
            </w:pPr>
            <w:r w:rsidRPr="0052114D">
              <w:rPr>
                <w:sz w:val="22"/>
              </w:rPr>
              <w:t>e)</w:t>
            </w:r>
            <w:r w:rsidRPr="0052114D">
              <w:rPr>
                <w:sz w:val="22"/>
              </w:rPr>
              <w:tab/>
              <w:t>diminuzione importante dei valori di sostanza desunti dalla tassazione fiscale determinante, se l'utilizzo della sostanza è comprovato e giustificato per necessità primarie proprie.</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rPr>
                <w:sz w:val="22"/>
                <w:vertAlign w:val="superscript"/>
              </w:rPr>
            </w:pPr>
          </w:p>
          <w:p w:rsidR="00EF564B" w:rsidRPr="0052114D" w:rsidRDefault="00EF564B" w:rsidP="000E64C7">
            <w:pPr>
              <w:widowControl w:val="0"/>
              <w:spacing w:before="120"/>
              <w:rPr>
                <w:sz w:val="22"/>
              </w:rPr>
            </w:pPr>
            <w:r w:rsidRPr="0052114D">
              <w:rPr>
                <w:sz w:val="22"/>
                <w:vertAlign w:val="superscript"/>
              </w:rPr>
              <w:t>3</w:t>
            </w:r>
            <w:r w:rsidRPr="0052114D">
              <w:rPr>
                <w:sz w:val="22"/>
              </w:rPr>
              <w:t>Nelle evenienze di cui ai capoversi 1 e 2, in caso di esistenza di sostanza e reddito della sostanza (immobiliare e mobiliare), i dati necessari sono desunti dall'ultima tassazione fiscale cresciuta in giudicato al momento dell'istanza.</w:t>
            </w:r>
          </w:p>
          <w:p w:rsidR="00EF564B" w:rsidRPr="0052114D" w:rsidRDefault="00EF564B" w:rsidP="00386A64">
            <w:pPr>
              <w:widowControl w:val="0"/>
              <w:rPr>
                <w:sz w:val="22"/>
              </w:rPr>
            </w:pPr>
          </w:p>
        </w:tc>
        <w:tc>
          <w:tcPr>
            <w:tcW w:w="4780" w:type="dxa"/>
            <w:shd w:val="clear" w:color="auto" w:fill="auto"/>
          </w:tcPr>
          <w:p w:rsidR="00EF564B" w:rsidRPr="0052114D" w:rsidRDefault="00EF564B" w:rsidP="00DA1825">
            <w:pPr>
              <w:widowControl w:val="0"/>
              <w:spacing w:before="40"/>
              <w:rPr>
                <w:b/>
                <w:sz w:val="22"/>
              </w:rPr>
            </w:pPr>
            <w:r w:rsidRPr="0052114D">
              <w:rPr>
                <w:b/>
                <w:sz w:val="22"/>
              </w:rPr>
              <w:lastRenderedPageBreak/>
              <w:t>Art. 14 cpv. 1, 2 e 3</w:t>
            </w:r>
          </w:p>
          <w:p w:rsidR="00EF564B" w:rsidRPr="0052114D" w:rsidRDefault="00EF564B" w:rsidP="00386A64">
            <w:pPr>
              <w:widowControl w:val="0"/>
              <w:rPr>
                <w:b/>
                <w:sz w:val="22"/>
              </w:rPr>
            </w:pPr>
          </w:p>
          <w:p w:rsidR="00EF564B" w:rsidRPr="0052114D" w:rsidRDefault="00EF564B" w:rsidP="00386A64">
            <w:pPr>
              <w:widowControl w:val="0"/>
              <w:rPr>
                <w:sz w:val="22"/>
              </w:rPr>
            </w:pPr>
            <w:r w:rsidRPr="0052114D">
              <w:rPr>
                <w:sz w:val="22"/>
                <w:vertAlign w:val="superscript"/>
              </w:rPr>
              <w:t>1</w:t>
            </w:r>
            <w:r w:rsidRPr="0052114D">
              <w:rPr>
                <w:sz w:val="22"/>
              </w:rPr>
              <w:t>Il reddito di riferimento è determinato sulla scorta della situazione finanziaria e familiare più recenti nei seguenti casi:</w:t>
            </w:r>
          </w:p>
          <w:p w:rsidR="00EF564B" w:rsidRPr="0052114D" w:rsidRDefault="00EF564B" w:rsidP="00386A64">
            <w:pPr>
              <w:widowControl w:val="0"/>
              <w:rPr>
                <w:sz w:val="22"/>
              </w:rPr>
            </w:pPr>
          </w:p>
          <w:p w:rsidR="00EF564B" w:rsidRPr="0052114D" w:rsidRDefault="00EF564B" w:rsidP="00386A64">
            <w:pPr>
              <w:widowControl w:val="0"/>
              <w:rPr>
                <w:sz w:val="22"/>
              </w:rPr>
            </w:pPr>
          </w:p>
          <w:p w:rsidR="00EF564B" w:rsidRPr="0052114D" w:rsidRDefault="00EF564B" w:rsidP="00386A64">
            <w:pPr>
              <w:widowControl w:val="0"/>
              <w:ind w:left="284" w:hanging="284"/>
              <w:rPr>
                <w:sz w:val="22"/>
              </w:rPr>
            </w:pPr>
            <w:r w:rsidRPr="0052114D">
              <w:rPr>
                <w:sz w:val="22"/>
              </w:rPr>
              <w:t>a)</w:t>
            </w:r>
            <w:r w:rsidRPr="0052114D">
              <w:rPr>
                <w:sz w:val="22"/>
              </w:rPr>
              <w:tab/>
            </w:r>
            <w:r w:rsidRPr="0052114D">
              <w:rPr>
                <w:i/>
                <w:sz w:val="22"/>
              </w:rPr>
              <w:t>invariat</w:t>
            </w:r>
            <w:r w:rsidR="000E64C7">
              <w:rPr>
                <w:i/>
                <w:sz w:val="22"/>
              </w:rPr>
              <w:t>a</w:t>
            </w:r>
            <w:r w:rsidRPr="0052114D">
              <w:rPr>
                <w:i/>
                <w:sz w:val="22"/>
              </w:rPr>
              <w:t xml:space="preserve"> </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b)</w:t>
            </w:r>
            <w:r w:rsidRPr="0052114D">
              <w:rPr>
                <w:sz w:val="22"/>
              </w:rPr>
              <w:tab/>
            </w:r>
            <w:r w:rsidRPr="0052114D">
              <w:rPr>
                <w:i/>
                <w:sz w:val="22"/>
              </w:rPr>
              <w:t>invariat</w:t>
            </w:r>
            <w:r w:rsidR="000E64C7">
              <w:rPr>
                <w:i/>
                <w:sz w:val="22"/>
              </w:rPr>
              <w:t>a</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c)</w:t>
            </w:r>
            <w:r w:rsidRPr="0052114D">
              <w:rPr>
                <w:sz w:val="22"/>
              </w:rPr>
              <w:tab/>
              <w:t>persone sole conformemente all'art. 11 capoverso 1 che hanno iniziato un'attività lucrativa dopo avere terminato la prima formazione;</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d)</w:t>
            </w:r>
            <w:r w:rsidRPr="0052114D">
              <w:rPr>
                <w:sz w:val="22"/>
              </w:rPr>
              <w:tab/>
              <w:t>decesso del coniuge o del partner registrato;</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e)</w:t>
            </w:r>
            <w:r w:rsidRPr="0052114D">
              <w:rPr>
                <w:sz w:val="22"/>
              </w:rPr>
              <w:tab/>
              <w:t>divorzio o separazione per sentenza giudiziaria o di fatto, scioglimento dell'unione domestica registrata;</w:t>
            </w:r>
          </w:p>
          <w:p w:rsidR="00EF564B" w:rsidRPr="0052114D" w:rsidRDefault="00EF564B" w:rsidP="00DA1825">
            <w:pPr>
              <w:widowControl w:val="0"/>
              <w:spacing w:after="40"/>
              <w:ind w:left="284" w:hanging="284"/>
              <w:rPr>
                <w:sz w:val="22"/>
              </w:rPr>
            </w:pPr>
            <w:r w:rsidRPr="0052114D">
              <w:rPr>
                <w:sz w:val="22"/>
              </w:rPr>
              <w:t>f)</w:t>
            </w:r>
            <w:r w:rsidRPr="0052114D">
              <w:rPr>
                <w:sz w:val="22"/>
              </w:rPr>
              <w:tab/>
              <w:t>cessazione totale dell'attività lucrativa a seguito di disoccupazione, pensionamento, infortunio, malattia, maternità o paternità, riqualificazione o perfezionamento professionale</w:t>
            </w:r>
          </w:p>
          <w:p w:rsidR="00EF564B" w:rsidRPr="0052114D" w:rsidRDefault="00EF564B" w:rsidP="00DA1825">
            <w:pPr>
              <w:widowControl w:val="0"/>
              <w:tabs>
                <w:tab w:val="left" w:pos="317"/>
              </w:tabs>
              <w:spacing w:before="40"/>
              <w:rPr>
                <w:sz w:val="22"/>
              </w:rPr>
            </w:pPr>
            <w:r w:rsidRPr="0052114D">
              <w:rPr>
                <w:sz w:val="22"/>
              </w:rPr>
              <w:lastRenderedPageBreak/>
              <w:t>g)</w:t>
            </w:r>
            <w:r w:rsidRPr="0052114D">
              <w:rPr>
                <w:sz w:val="22"/>
              </w:rPr>
              <w:tab/>
            </w:r>
            <w:r w:rsidRPr="0052114D">
              <w:rPr>
                <w:i/>
                <w:sz w:val="22"/>
              </w:rPr>
              <w:t>abrogat</w:t>
            </w:r>
            <w:r w:rsidR="000E64C7">
              <w:rPr>
                <w:i/>
                <w:sz w:val="22"/>
              </w:rPr>
              <w:t>a</w:t>
            </w:r>
            <w:r w:rsidRPr="0052114D">
              <w:rPr>
                <w:i/>
                <w:sz w:val="22"/>
              </w:rPr>
              <w:t>;</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h)</w:t>
            </w:r>
            <w:r w:rsidRPr="0052114D">
              <w:rPr>
                <w:sz w:val="22"/>
              </w:rPr>
              <w:tab/>
            </w:r>
            <w:r w:rsidRPr="0052114D">
              <w:rPr>
                <w:i/>
                <w:sz w:val="22"/>
              </w:rPr>
              <w:t>abrogat</w:t>
            </w:r>
            <w:r w:rsidR="000E64C7">
              <w:rPr>
                <w:i/>
                <w:sz w:val="22"/>
              </w:rPr>
              <w:t>a</w:t>
            </w:r>
            <w:r w:rsidRPr="0052114D">
              <w:rPr>
                <w:i/>
                <w:sz w:val="22"/>
              </w:rPr>
              <w:t>.</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p>
          <w:p w:rsidR="00EF564B" w:rsidRPr="0052114D" w:rsidRDefault="00EF564B" w:rsidP="000E64C7">
            <w:pPr>
              <w:widowControl w:val="0"/>
              <w:spacing w:before="120"/>
              <w:rPr>
                <w:sz w:val="22"/>
              </w:rPr>
            </w:pPr>
            <w:r w:rsidRPr="0052114D">
              <w:rPr>
                <w:sz w:val="22"/>
                <w:vertAlign w:val="superscript"/>
              </w:rPr>
              <w:t>2</w:t>
            </w:r>
            <w:r w:rsidRPr="0052114D">
              <w:rPr>
                <w:sz w:val="22"/>
              </w:rPr>
              <w:t>Su richiesta, il reddito di riferimento è determinato sulla scorta della situazione finanziaria e familiare più recente nei seguenti casi:</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a)</w:t>
            </w:r>
            <w:r w:rsidRPr="0052114D">
              <w:rPr>
                <w:sz w:val="22"/>
              </w:rPr>
              <w:tab/>
              <w:t>cessazione parziale dell'attività lucrativa a seguito di disoccupazione, pensionamento, infortunio, malattia, maternità o paternità, riqualificazione o perfezionamento professionale;</w:t>
            </w:r>
          </w:p>
          <w:p w:rsidR="00EF564B" w:rsidRPr="0052114D" w:rsidRDefault="00EF564B" w:rsidP="00386A64">
            <w:pPr>
              <w:widowControl w:val="0"/>
              <w:ind w:left="284" w:hanging="284"/>
              <w:rPr>
                <w:sz w:val="22"/>
              </w:rPr>
            </w:pPr>
            <w:r w:rsidRPr="0052114D">
              <w:rPr>
                <w:sz w:val="22"/>
              </w:rPr>
              <w:t>b)</w:t>
            </w:r>
            <w:r w:rsidRPr="0052114D">
              <w:rPr>
                <w:sz w:val="22"/>
              </w:rPr>
              <w:tab/>
              <w:t>diminuzione o aumento del reddito da lavoro (da attività dipendente o indipendente), rispetto al relativo dato desunto dalla tassazione fiscale determinante;</w:t>
            </w:r>
          </w:p>
          <w:p w:rsidR="00EF564B" w:rsidRPr="0052114D" w:rsidRDefault="00EF564B" w:rsidP="00386A64">
            <w:pPr>
              <w:widowControl w:val="0"/>
              <w:ind w:left="284" w:hanging="284"/>
              <w:rPr>
                <w:sz w:val="22"/>
              </w:rPr>
            </w:pPr>
          </w:p>
          <w:p w:rsidR="00EF564B" w:rsidRPr="0052114D" w:rsidRDefault="00EF564B" w:rsidP="00386A64">
            <w:pPr>
              <w:widowControl w:val="0"/>
              <w:ind w:left="284" w:hanging="284"/>
              <w:rPr>
                <w:sz w:val="22"/>
              </w:rPr>
            </w:pPr>
            <w:r w:rsidRPr="0052114D">
              <w:rPr>
                <w:sz w:val="22"/>
              </w:rPr>
              <w:t>c)</w:t>
            </w:r>
            <w:r w:rsidRPr="0052114D">
              <w:rPr>
                <w:sz w:val="22"/>
              </w:rPr>
              <w:tab/>
              <w:t>diminuzione o aumento delle prestazioni in forma di rendite, di indennità giornaliere delle assicurazioni sociali o private e delle pensioni alimentari, rispetto al relativo dato desunto dalla tassazione fiscale determinate;</w:t>
            </w:r>
          </w:p>
          <w:p w:rsidR="00EF564B" w:rsidRPr="0052114D" w:rsidRDefault="00EF564B" w:rsidP="00386A64">
            <w:pPr>
              <w:widowControl w:val="0"/>
              <w:ind w:left="284" w:hanging="284"/>
              <w:rPr>
                <w:sz w:val="22"/>
              </w:rPr>
            </w:pPr>
            <w:r w:rsidRPr="0052114D">
              <w:rPr>
                <w:sz w:val="22"/>
              </w:rPr>
              <w:t>d)</w:t>
            </w:r>
            <w:r w:rsidRPr="0052114D">
              <w:rPr>
                <w:sz w:val="22"/>
              </w:rPr>
              <w:tab/>
              <w:t>diminuzione o aumento degli affitti percepiti, rispetto al relativo dato desunto dalla tassazione fiscale determinante;</w:t>
            </w:r>
          </w:p>
          <w:p w:rsidR="00EF564B" w:rsidRPr="0052114D" w:rsidRDefault="00EF564B" w:rsidP="00386A64">
            <w:pPr>
              <w:widowControl w:val="0"/>
              <w:ind w:left="284" w:hanging="284"/>
              <w:rPr>
                <w:sz w:val="22"/>
              </w:rPr>
            </w:pPr>
            <w:r w:rsidRPr="0052114D">
              <w:rPr>
                <w:sz w:val="22"/>
              </w:rPr>
              <w:t>e)</w:t>
            </w:r>
            <w:r w:rsidRPr="0052114D">
              <w:rPr>
                <w:sz w:val="22"/>
              </w:rPr>
              <w:tab/>
              <w:t xml:space="preserve">diminuzione di almeno fr.10'000.- dei valori di sostanza, se l'utilizzo della sostanza è comprovato e giustificato per necessità primarie proprie, rispetto al relativo dato desunto dalla tassazione fiscale determinante;  </w:t>
            </w:r>
          </w:p>
          <w:p w:rsidR="00EF564B" w:rsidRPr="0052114D" w:rsidRDefault="00EF564B" w:rsidP="00386A64">
            <w:pPr>
              <w:widowControl w:val="0"/>
              <w:ind w:left="317" w:hanging="317"/>
              <w:rPr>
                <w:sz w:val="22"/>
              </w:rPr>
            </w:pPr>
            <w:r w:rsidRPr="0052114D">
              <w:rPr>
                <w:sz w:val="22"/>
              </w:rPr>
              <w:t>f)</w:t>
            </w:r>
            <w:r w:rsidRPr="0052114D">
              <w:rPr>
                <w:sz w:val="22"/>
              </w:rPr>
              <w:tab/>
              <w:t xml:space="preserve">aumento di almeno </w:t>
            </w:r>
            <w:proofErr w:type="spellStart"/>
            <w:r w:rsidRPr="0052114D">
              <w:rPr>
                <w:sz w:val="22"/>
              </w:rPr>
              <w:t>fr</w:t>
            </w:r>
            <w:proofErr w:type="spellEnd"/>
            <w:r w:rsidRPr="0052114D">
              <w:rPr>
                <w:sz w:val="22"/>
              </w:rPr>
              <w:t>. 10'000.- dei valori di sostanza, rispetto al relativo dato desunto dalla tassazione fiscale determinante.</w:t>
            </w:r>
          </w:p>
          <w:p w:rsidR="00EF564B" w:rsidRPr="0052114D" w:rsidRDefault="00EF564B" w:rsidP="000E64C7">
            <w:pPr>
              <w:widowControl w:val="0"/>
              <w:spacing w:before="120"/>
              <w:rPr>
                <w:sz w:val="22"/>
              </w:rPr>
            </w:pPr>
            <w:r w:rsidRPr="0052114D">
              <w:rPr>
                <w:sz w:val="22"/>
                <w:vertAlign w:val="superscript"/>
              </w:rPr>
              <w:t>3</w:t>
            </w:r>
            <w:r w:rsidRPr="0052114D">
              <w:rPr>
                <w:sz w:val="22"/>
              </w:rPr>
              <w:t xml:space="preserve">Nelle evenienze di cui al capoverso 1 e al capoverso 2 </w:t>
            </w:r>
            <w:proofErr w:type="spellStart"/>
            <w:r w:rsidRPr="0052114D">
              <w:rPr>
                <w:sz w:val="22"/>
              </w:rPr>
              <w:t>lett</w:t>
            </w:r>
            <w:proofErr w:type="spellEnd"/>
            <w:r w:rsidRPr="0052114D">
              <w:rPr>
                <w:sz w:val="22"/>
              </w:rPr>
              <w:t>. a-c), in caso di esistenza di sostanza e reddito della sostanza mobiliare e immobiliare, i dati necessari sono desunti dall'ultima tassazione fiscale cresciuta in giudicato al momento dell'istanza.</w:t>
            </w:r>
          </w:p>
          <w:p w:rsidR="00EF564B" w:rsidRPr="0052114D" w:rsidRDefault="00EF564B" w:rsidP="00386A64">
            <w:pPr>
              <w:widowControl w:val="0"/>
              <w:rPr>
                <w:b/>
                <w:sz w:val="22"/>
              </w:rPr>
            </w:pPr>
          </w:p>
        </w:tc>
      </w:tr>
    </w:tbl>
    <w:p w:rsidR="00EF564B" w:rsidRPr="009D5765" w:rsidRDefault="00EF564B" w:rsidP="00EF564B">
      <w:pPr>
        <w:rPr>
          <w:rFonts w:cs="Arial"/>
          <w:szCs w:val="24"/>
        </w:rPr>
      </w:pPr>
    </w:p>
    <w:p w:rsidR="00EF564B" w:rsidRPr="009D5765" w:rsidRDefault="00EF564B" w:rsidP="00EF564B">
      <w:pPr>
        <w:spacing w:before="120"/>
        <w:rPr>
          <w:rFonts w:cs="Arial"/>
          <w:szCs w:val="24"/>
        </w:rPr>
      </w:pPr>
    </w:p>
    <w:p w:rsidR="000E64C7" w:rsidRDefault="000E64C7">
      <w:pPr>
        <w:rPr>
          <w:rFonts w:eastAsia="MS Mincho"/>
          <w:b/>
          <w:szCs w:val="24"/>
          <w:lang w:eastAsia="it-IT"/>
        </w:rPr>
      </w:pPr>
      <w:r>
        <w:rPr>
          <w:rFonts w:eastAsia="MS Mincho"/>
          <w:caps/>
        </w:rPr>
        <w:br w:type="page"/>
      </w:r>
    </w:p>
    <w:p w:rsidR="00EF564B" w:rsidRPr="00E279E1" w:rsidRDefault="00EF564B" w:rsidP="000E64C7">
      <w:pPr>
        <w:pStyle w:val="Titolo1"/>
        <w:numPr>
          <w:ilvl w:val="0"/>
          <w:numId w:val="0"/>
        </w:numPr>
        <w:ind w:left="567" w:hanging="567"/>
        <w:rPr>
          <w:rFonts w:eastAsia="MS Mincho"/>
          <w:caps w:val="0"/>
          <w:lang w:val="it-CH"/>
        </w:rPr>
      </w:pPr>
      <w:r w:rsidRPr="00E279E1">
        <w:rPr>
          <w:rFonts w:eastAsia="MS Mincho"/>
          <w:caps w:val="0"/>
          <w:lang w:val="it-CH"/>
        </w:rPr>
        <w:lastRenderedPageBreak/>
        <w:t>II.</w:t>
      </w:r>
      <w:r w:rsidRPr="00E279E1">
        <w:rPr>
          <w:rFonts w:eastAsia="MS Mincho"/>
          <w:caps w:val="0"/>
          <w:lang w:val="it-CH"/>
        </w:rPr>
        <w:tab/>
        <w:t>LAVORI COMMISSIONALI</w:t>
      </w:r>
    </w:p>
    <w:p w:rsidR="00EF564B" w:rsidRDefault="00EF564B" w:rsidP="00DA1825">
      <w:r w:rsidRPr="009D5765">
        <w:t>L</w:t>
      </w:r>
      <w:r>
        <w:t>'</w:t>
      </w:r>
      <w:r w:rsidRPr="009D5765">
        <w:t>iniziativa in oggetto</w:t>
      </w:r>
      <w:r>
        <w:t>,</w:t>
      </w:r>
      <w:r w:rsidRPr="009D5765">
        <w:t xml:space="preserve"> rimasta formalmente inevasa a livello parlamentare</w:t>
      </w:r>
      <w:r>
        <w:t>, è giunta sui tavoli della S</w:t>
      </w:r>
      <w:r w:rsidRPr="009D5765">
        <w:t xml:space="preserve">ottocommissione </w:t>
      </w:r>
      <w:r>
        <w:t>"</w:t>
      </w:r>
      <w:proofErr w:type="spellStart"/>
      <w:r>
        <w:t>LCAMal</w:t>
      </w:r>
      <w:proofErr w:type="spellEnd"/>
      <w:r>
        <w:t xml:space="preserve">" </w:t>
      </w:r>
      <w:r w:rsidRPr="009D5765">
        <w:t xml:space="preserve">della scrivente neocostituita Commissione a cui sono stati demandati gli approfondimenti sui vari messaggi e atti parlamentari attinenti alla legislazione in materia di </w:t>
      </w:r>
      <w:r>
        <w:t>c</w:t>
      </w:r>
      <w:r w:rsidRPr="009D5765">
        <w:t>asse malati.</w:t>
      </w:r>
    </w:p>
    <w:p w:rsidR="00EF564B" w:rsidRDefault="00EF564B" w:rsidP="00DA1825"/>
    <w:p w:rsidR="00EF564B" w:rsidRDefault="00EF564B" w:rsidP="00DA1825"/>
    <w:p w:rsidR="00DA1825" w:rsidRPr="009D5765" w:rsidRDefault="00DA1825" w:rsidP="00DA1825"/>
    <w:p w:rsidR="00EF564B" w:rsidRPr="00EE3A60" w:rsidRDefault="00EF564B" w:rsidP="000E64C7">
      <w:pPr>
        <w:pStyle w:val="Titolo1"/>
        <w:numPr>
          <w:ilvl w:val="0"/>
          <w:numId w:val="0"/>
        </w:numPr>
        <w:ind w:left="567" w:hanging="567"/>
        <w:rPr>
          <w:rFonts w:eastAsia="MS Mincho"/>
          <w:caps w:val="0"/>
          <w:lang w:val="it-CH"/>
        </w:rPr>
      </w:pPr>
      <w:r>
        <w:rPr>
          <w:rFonts w:eastAsia="MS Mincho"/>
          <w:caps w:val="0"/>
          <w:lang w:val="it-CH"/>
        </w:rPr>
        <w:t>I</w:t>
      </w:r>
      <w:r w:rsidRPr="00E279E1">
        <w:rPr>
          <w:rFonts w:eastAsia="MS Mincho"/>
          <w:caps w:val="0"/>
          <w:lang w:val="it-CH"/>
        </w:rPr>
        <w:t>II.</w:t>
      </w:r>
      <w:r w:rsidRPr="00E279E1">
        <w:rPr>
          <w:rFonts w:eastAsia="MS Mincho"/>
          <w:caps w:val="0"/>
          <w:lang w:val="it-CH"/>
        </w:rPr>
        <w:tab/>
      </w:r>
      <w:r>
        <w:rPr>
          <w:rFonts w:eastAsia="MS Mincho"/>
          <w:caps w:val="0"/>
          <w:lang w:val="it-CH"/>
        </w:rPr>
        <w:t>CONCLUSIONI</w:t>
      </w:r>
    </w:p>
    <w:p w:rsidR="00EF564B" w:rsidRPr="00EE3A60" w:rsidRDefault="00EF564B" w:rsidP="00EF564B">
      <w:pPr>
        <w:autoSpaceDE w:val="0"/>
        <w:autoSpaceDN w:val="0"/>
        <w:adjustRightInd w:val="0"/>
        <w:rPr>
          <w:rFonts w:eastAsia="Calibri" w:cs="Arial"/>
          <w:szCs w:val="24"/>
        </w:rPr>
      </w:pPr>
      <w:r w:rsidRPr="00EE3A60">
        <w:rPr>
          <w:rFonts w:eastAsia="Calibri" w:cs="Arial"/>
          <w:szCs w:val="24"/>
        </w:rPr>
        <w:t>Il presente rapporto si è reso necessario formalmente, anche se le modifiche di cui sopra sono già entrate in vigore, per poter</w:t>
      </w:r>
      <w:r>
        <w:rPr>
          <w:rFonts w:eastAsia="Calibri" w:cs="Arial"/>
          <w:szCs w:val="24"/>
        </w:rPr>
        <w:t xml:space="preserve"> ritenere compiutamente evasa l'</w:t>
      </w:r>
      <w:r w:rsidRPr="00EE3A60">
        <w:rPr>
          <w:rFonts w:eastAsia="Calibri" w:cs="Arial"/>
          <w:szCs w:val="24"/>
        </w:rPr>
        <w:t>iniziativa parlamentare legislativa in oggetto</w:t>
      </w:r>
      <w:r>
        <w:rPr>
          <w:rFonts w:eastAsia="Calibri" w:cs="Arial"/>
          <w:szCs w:val="24"/>
        </w:rPr>
        <w:t>,</w:t>
      </w:r>
      <w:r w:rsidRPr="00EE3A60">
        <w:rPr>
          <w:rFonts w:eastAsia="Calibri" w:cs="Arial"/>
          <w:szCs w:val="24"/>
        </w:rPr>
        <w:t xml:space="preserve"> la quale è stata sostanzialmente accettata. Ragione per cui non ci resta che raccomandare al Gran Consiglio di approvare il presente Rapporto.</w:t>
      </w:r>
    </w:p>
    <w:p w:rsidR="00EF564B" w:rsidRDefault="00EF564B" w:rsidP="00EF564B">
      <w:pPr>
        <w:autoSpaceDE w:val="0"/>
        <w:autoSpaceDN w:val="0"/>
        <w:adjustRightInd w:val="0"/>
        <w:rPr>
          <w:rFonts w:eastAsia="Calibri" w:cs="Arial"/>
          <w:szCs w:val="24"/>
        </w:rPr>
      </w:pPr>
    </w:p>
    <w:p w:rsidR="000E64C7" w:rsidRPr="00EE3A60" w:rsidRDefault="000E64C7" w:rsidP="00EF564B">
      <w:pPr>
        <w:autoSpaceDE w:val="0"/>
        <w:autoSpaceDN w:val="0"/>
        <w:adjustRightInd w:val="0"/>
        <w:rPr>
          <w:rFonts w:eastAsia="Calibri" w:cs="Arial"/>
          <w:szCs w:val="24"/>
        </w:rPr>
      </w:pPr>
    </w:p>
    <w:p w:rsidR="00EF564B" w:rsidRPr="00EE3A60" w:rsidRDefault="00EF564B" w:rsidP="00EF564B">
      <w:pPr>
        <w:autoSpaceDE w:val="0"/>
        <w:autoSpaceDN w:val="0"/>
        <w:adjustRightInd w:val="0"/>
        <w:rPr>
          <w:rFonts w:eastAsia="Calibri" w:cs="Arial"/>
          <w:szCs w:val="24"/>
        </w:rPr>
      </w:pPr>
    </w:p>
    <w:p w:rsidR="00EF564B" w:rsidRPr="00EE3A60" w:rsidRDefault="00EF564B" w:rsidP="00EF564B">
      <w:pPr>
        <w:autoSpaceDE w:val="0"/>
        <w:autoSpaceDN w:val="0"/>
        <w:adjustRightInd w:val="0"/>
        <w:spacing w:after="120"/>
        <w:rPr>
          <w:rFonts w:eastAsia="Calibri" w:cs="Arial"/>
          <w:szCs w:val="24"/>
        </w:rPr>
      </w:pPr>
      <w:r w:rsidRPr="00EE3A60">
        <w:rPr>
          <w:rFonts w:eastAsia="Calibri" w:cs="Arial"/>
          <w:szCs w:val="24"/>
        </w:rPr>
        <w:t>Per la Commissione sanità e sicurezza sociale:</w:t>
      </w:r>
    </w:p>
    <w:p w:rsidR="00EF564B" w:rsidRPr="00EE3A60" w:rsidRDefault="00EF564B" w:rsidP="000E64C7">
      <w:r w:rsidRPr="00EE3A60">
        <w:t>Matteo Quadranti, relatore</w:t>
      </w:r>
    </w:p>
    <w:bookmarkEnd w:id="1"/>
    <w:p w:rsidR="000E64C7" w:rsidRDefault="000E64C7" w:rsidP="000E64C7">
      <w:r>
        <w:t xml:space="preserve">Agustoni - Alberti - Buzzini - Caverzasio - </w:t>
      </w:r>
    </w:p>
    <w:p w:rsidR="000E64C7" w:rsidRDefault="000E64C7" w:rsidP="000E64C7">
      <w:r>
        <w:t xml:space="preserve">Cedraschi - Crivelli Barella - Galeazzi - </w:t>
      </w:r>
    </w:p>
    <w:p w:rsidR="000E64C7" w:rsidRDefault="000E64C7" w:rsidP="000E64C7">
      <w:r>
        <w:t xml:space="preserve">Galusero - Ghisletta - Ghisolfi - Gianella Alex - </w:t>
      </w:r>
    </w:p>
    <w:p w:rsidR="000E64C7" w:rsidRDefault="000E64C7" w:rsidP="000E64C7">
      <w:r>
        <w:t>Jelmini - La Mantia - Polli - Riget - Robbiani</w:t>
      </w:r>
    </w:p>
    <w:p w:rsidR="006E4AE2" w:rsidRPr="00B860C2" w:rsidRDefault="006E4AE2" w:rsidP="00B860C2"/>
    <w:sectPr w:rsidR="006E4AE2" w:rsidRPr="00B860C2"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7B" w:rsidRDefault="004E187B" w:rsidP="008E77C6">
      <w:r>
        <w:separator/>
      </w:r>
    </w:p>
  </w:endnote>
  <w:endnote w:type="continuationSeparator" w:id="0">
    <w:p w:rsidR="004E187B" w:rsidRDefault="004E187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865A1F" w:rsidRPr="00865A1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7B" w:rsidRDefault="004E187B" w:rsidP="008E77C6">
      <w:r>
        <w:separator/>
      </w:r>
    </w:p>
  </w:footnote>
  <w:footnote w:type="continuationSeparator" w:id="0">
    <w:p w:rsidR="004E187B" w:rsidRDefault="004E187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54126BD5"/>
    <w:multiLevelType w:val="hybridMultilevel"/>
    <w:tmpl w:val="9CC488EE"/>
    <w:lvl w:ilvl="0" w:tplc="799CE3E6">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4"/>
  </w:num>
  <w:num w:numId="6">
    <w:abstractNumId w:val="0"/>
  </w:num>
  <w:num w:numId="7">
    <w:abstractNumId w:val="9"/>
  </w:num>
  <w:num w:numId="8">
    <w:abstractNumId w:val="2"/>
  </w:num>
  <w:num w:numId="9">
    <w:abstractNumId w:val="7"/>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E64C7"/>
    <w:rsid w:val="001574D7"/>
    <w:rsid w:val="00260C8C"/>
    <w:rsid w:val="002677DC"/>
    <w:rsid w:val="002E5E40"/>
    <w:rsid w:val="004E187B"/>
    <w:rsid w:val="0052425A"/>
    <w:rsid w:val="00586A8D"/>
    <w:rsid w:val="006C17AA"/>
    <w:rsid w:val="006D7A3B"/>
    <w:rsid w:val="006E4AE2"/>
    <w:rsid w:val="007352D3"/>
    <w:rsid w:val="007B5462"/>
    <w:rsid w:val="008034BD"/>
    <w:rsid w:val="00865A1F"/>
    <w:rsid w:val="00876352"/>
    <w:rsid w:val="008B2655"/>
    <w:rsid w:val="008B4137"/>
    <w:rsid w:val="008C767A"/>
    <w:rsid w:val="008E77C6"/>
    <w:rsid w:val="009770BB"/>
    <w:rsid w:val="009E008D"/>
    <w:rsid w:val="00A5465F"/>
    <w:rsid w:val="00A77678"/>
    <w:rsid w:val="00B860C2"/>
    <w:rsid w:val="00BC4C95"/>
    <w:rsid w:val="00BD5944"/>
    <w:rsid w:val="00CF6858"/>
    <w:rsid w:val="00D377B5"/>
    <w:rsid w:val="00D93B31"/>
    <w:rsid w:val="00DA1825"/>
    <w:rsid w:val="00E505DB"/>
    <w:rsid w:val="00E765A9"/>
    <w:rsid w:val="00EF564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E098-14A7-4A9A-8201-1146D932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1384</Words>
  <Characters>7893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2019-11-15T10:29:00Z</cp:lastPrinted>
  <dcterms:created xsi:type="dcterms:W3CDTF">2019-11-15T10:20:00Z</dcterms:created>
  <dcterms:modified xsi:type="dcterms:W3CDTF">2019-11-27T11:04:00Z</dcterms:modified>
</cp:coreProperties>
</file>