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0C2" w:rsidRPr="00D84277" w:rsidRDefault="00D84277" w:rsidP="00B860C2">
      <w:pPr>
        <w:rPr>
          <w:rFonts w:ascii="Gill Sans MT" w:hAnsi="Gill Sans MT" w:cs="Arial"/>
          <w:b/>
          <w:sz w:val="52"/>
          <w:szCs w:val="52"/>
        </w:rPr>
      </w:pPr>
      <w:r w:rsidRPr="00D84277">
        <w:rPr>
          <w:rFonts w:ascii="Gill Sans MT" w:hAnsi="Gill Sans MT" w:cs="Arial"/>
          <w:b/>
          <w:sz w:val="52"/>
          <w:szCs w:val="52"/>
        </w:rPr>
        <w:t>Rapporto</w:t>
      </w:r>
    </w:p>
    <w:p w:rsidR="00B860C2" w:rsidRDefault="00B860C2" w:rsidP="00B860C2"/>
    <w:p w:rsidR="00B860C2" w:rsidRDefault="00B860C2" w:rsidP="00B860C2">
      <w:pPr>
        <w:rPr>
          <w:rFonts w:cs="Arial"/>
          <w:szCs w:val="24"/>
        </w:rPr>
      </w:pPr>
    </w:p>
    <w:p w:rsidR="00B860C2" w:rsidRDefault="00B860C2" w:rsidP="00B860C2">
      <w:pPr>
        <w:rPr>
          <w:rFonts w:cs="Arial"/>
          <w:szCs w:val="24"/>
        </w:rPr>
      </w:pPr>
      <w:bookmarkStart w:id="0" w:name="_GoBack"/>
      <w:bookmarkEnd w:id="0"/>
    </w:p>
    <w:p w:rsidR="00B860C2" w:rsidRDefault="00955F4A" w:rsidP="00B860C2">
      <w:pPr>
        <w:tabs>
          <w:tab w:val="left" w:pos="2098"/>
          <w:tab w:val="left" w:pos="4933"/>
        </w:tabs>
        <w:rPr>
          <w:rFonts w:cs="Arial"/>
          <w:szCs w:val="24"/>
        </w:rPr>
      </w:pPr>
      <w:r>
        <w:rPr>
          <w:rFonts w:cs="Arial"/>
          <w:b/>
          <w:sz w:val="32"/>
          <w:szCs w:val="32"/>
        </w:rPr>
        <w:t>7725</w:t>
      </w:r>
      <w:r w:rsidR="00B860C2" w:rsidRPr="008B4137">
        <w:rPr>
          <w:rFonts w:cs="Arial"/>
          <w:b/>
          <w:sz w:val="32"/>
          <w:szCs w:val="32"/>
        </w:rPr>
        <w:t xml:space="preserve"> R</w:t>
      </w:r>
      <w:r w:rsidR="00B860C2" w:rsidRPr="008B4137">
        <w:rPr>
          <w:rFonts w:cs="Arial"/>
          <w:sz w:val="28"/>
          <w:szCs w:val="28"/>
        </w:rPr>
        <w:tab/>
      </w:r>
      <w:r>
        <w:rPr>
          <w:rFonts w:cs="Arial"/>
          <w:sz w:val="28"/>
          <w:szCs w:val="28"/>
        </w:rPr>
        <w:t>26 novembre 2019</w:t>
      </w:r>
      <w:r w:rsidR="00B860C2" w:rsidRPr="008B4137">
        <w:rPr>
          <w:rFonts w:cs="Arial"/>
          <w:sz w:val="28"/>
          <w:szCs w:val="28"/>
        </w:rPr>
        <w:tab/>
      </w:r>
      <w:r w:rsidRPr="001638CD">
        <w:rPr>
          <w:rFonts w:cs="Arial"/>
          <w:sz w:val="28"/>
          <w:szCs w:val="28"/>
        </w:rPr>
        <w:t>FINANZE E ECONOMIA</w:t>
      </w:r>
    </w:p>
    <w:p w:rsidR="00B860C2" w:rsidRDefault="00B860C2" w:rsidP="00B860C2">
      <w:pPr>
        <w:rPr>
          <w:rFonts w:cs="Arial"/>
          <w:szCs w:val="24"/>
        </w:rPr>
      </w:pPr>
    </w:p>
    <w:p w:rsidR="00B860C2" w:rsidRDefault="00B860C2" w:rsidP="00B860C2">
      <w:pPr>
        <w:rPr>
          <w:rFonts w:cs="Arial"/>
          <w:szCs w:val="24"/>
        </w:rPr>
      </w:pPr>
    </w:p>
    <w:p w:rsidR="00B860C2" w:rsidRDefault="00B860C2" w:rsidP="00B860C2">
      <w:pPr>
        <w:rPr>
          <w:rFonts w:cs="Arial"/>
          <w:szCs w:val="24"/>
        </w:rPr>
      </w:pPr>
    </w:p>
    <w:p w:rsidR="00B860C2" w:rsidRPr="002B6200" w:rsidRDefault="00B860C2" w:rsidP="00B860C2">
      <w:pPr>
        <w:rPr>
          <w:rFonts w:cs="Arial"/>
          <w:b/>
          <w:sz w:val="28"/>
          <w:szCs w:val="28"/>
        </w:rPr>
      </w:pPr>
      <w:r w:rsidRPr="002B6200">
        <w:rPr>
          <w:rFonts w:cs="Arial"/>
          <w:b/>
          <w:sz w:val="28"/>
          <w:szCs w:val="28"/>
        </w:rPr>
        <w:t>della Commissione</w:t>
      </w:r>
      <w:r w:rsidR="00955F4A" w:rsidRPr="002B6200">
        <w:rPr>
          <w:rFonts w:cs="Arial"/>
          <w:b/>
          <w:sz w:val="28"/>
          <w:szCs w:val="28"/>
        </w:rPr>
        <w:t xml:space="preserve"> economia e lavoro</w:t>
      </w:r>
    </w:p>
    <w:p w:rsidR="00955F4A" w:rsidRPr="002B6200" w:rsidRDefault="00B860C2" w:rsidP="001954C9">
      <w:pPr>
        <w:rPr>
          <w:rFonts w:cs="Arial"/>
          <w:b/>
          <w:sz w:val="28"/>
          <w:szCs w:val="28"/>
        </w:rPr>
      </w:pPr>
      <w:r w:rsidRPr="002B6200">
        <w:rPr>
          <w:rFonts w:cs="Arial"/>
          <w:b/>
          <w:sz w:val="28"/>
          <w:szCs w:val="28"/>
        </w:rPr>
        <w:t xml:space="preserve">sul messaggio </w:t>
      </w:r>
      <w:r w:rsidR="00955F4A" w:rsidRPr="002B6200">
        <w:rPr>
          <w:rFonts w:cs="Arial"/>
          <w:b/>
          <w:sz w:val="28"/>
          <w:szCs w:val="28"/>
        </w:rPr>
        <w:t>16 ottobre 2019 concernente</w:t>
      </w:r>
      <w:bookmarkStart w:id="1" w:name="_Toc532286235"/>
      <w:r w:rsidR="00955F4A" w:rsidRPr="002B6200">
        <w:rPr>
          <w:rFonts w:cs="Arial"/>
          <w:b/>
          <w:sz w:val="28"/>
          <w:szCs w:val="28"/>
        </w:rPr>
        <w:t>:</w:t>
      </w:r>
    </w:p>
    <w:p w:rsidR="00955F4A" w:rsidRDefault="00955F4A" w:rsidP="001954C9">
      <w:pPr>
        <w:rPr>
          <w:rFonts w:cs="Arial"/>
          <w:b/>
          <w:sz w:val="26"/>
          <w:szCs w:val="26"/>
        </w:rPr>
      </w:pPr>
    </w:p>
    <w:p w:rsidR="001954C9" w:rsidRPr="001638CD" w:rsidRDefault="00955F4A" w:rsidP="001954C9">
      <w:pPr>
        <w:rPr>
          <w:rFonts w:cs="Arial"/>
          <w:b/>
          <w:sz w:val="28"/>
          <w:szCs w:val="28"/>
        </w:rPr>
      </w:pPr>
      <w:r>
        <w:rPr>
          <w:rFonts w:cs="Arial"/>
          <w:b/>
          <w:sz w:val="28"/>
          <w:szCs w:val="28"/>
        </w:rPr>
        <w:t>R</w:t>
      </w:r>
      <w:r w:rsidR="001954C9" w:rsidRPr="001638CD">
        <w:rPr>
          <w:rFonts w:cs="Arial"/>
          <w:b/>
          <w:sz w:val="28"/>
          <w:szCs w:val="28"/>
        </w:rPr>
        <w:t xml:space="preserve">ichiesta di un credito quadro di </w:t>
      </w:r>
      <w:proofErr w:type="spellStart"/>
      <w:r w:rsidR="001954C9" w:rsidRPr="001638CD">
        <w:rPr>
          <w:rFonts w:cs="Arial"/>
          <w:b/>
          <w:sz w:val="28"/>
          <w:szCs w:val="28"/>
        </w:rPr>
        <w:t>fr</w:t>
      </w:r>
      <w:proofErr w:type="spellEnd"/>
      <w:r w:rsidR="001954C9" w:rsidRPr="001638CD">
        <w:rPr>
          <w:rFonts w:cs="Arial"/>
          <w:b/>
          <w:sz w:val="28"/>
          <w:szCs w:val="28"/>
        </w:rPr>
        <w:t>. 27'000'000.- per attuare misure cantonali ai sensi dell’art. 16 cpv. 1 della Legge d’applicazione della Legge federale sulla politica regionale del 6 ottobre 2006 (</w:t>
      </w:r>
      <w:proofErr w:type="spellStart"/>
      <w:r w:rsidR="001954C9" w:rsidRPr="001638CD">
        <w:rPr>
          <w:rFonts w:cs="Arial"/>
          <w:b/>
          <w:sz w:val="28"/>
          <w:szCs w:val="28"/>
        </w:rPr>
        <w:t>LaLPR</w:t>
      </w:r>
      <w:proofErr w:type="spellEnd"/>
      <w:r w:rsidR="001954C9" w:rsidRPr="001638CD">
        <w:rPr>
          <w:rFonts w:cs="Arial"/>
          <w:b/>
          <w:sz w:val="28"/>
          <w:szCs w:val="28"/>
        </w:rPr>
        <w:t xml:space="preserve"> del 22 giugno 2009) nel quadriennio 2020-2023 e proposta di modifiche di legge </w:t>
      </w:r>
    </w:p>
    <w:p w:rsidR="001954C9" w:rsidRPr="001638CD" w:rsidRDefault="001954C9" w:rsidP="001954C9">
      <w:pPr>
        <w:rPr>
          <w:rFonts w:cs="Arial"/>
          <w:b/>
          <w:sz w:val="28"/>
          <w:szCs w:val="28"/>
        </w:rPr>
      </w:pPr>
    </w:p>
    <w:p w:rsidR="001954C9" w:rsidRPr="001638CD" w:rsidRDefault="001954C9" w:rsidP="001954C9">
      <w:pPr>
        <w:rPr>
          <w:rFonts w:cs="Arial"/>
          <w:b/>
          <w:sz w:val="28"/>
          <w:szCs w:val="28"/>
        </w:rPr>
      </w:pPr>
      <w:r w:rsidRPr="001638CD">
        <w:rPr>
          <w:rFonts w:cs="Arial"/>
          <w:b/>
          <w:sz w:val="28"/>
          <w:szCs w:val="28"/>
        </w:rPr>
        <w:t xml:space="preserve">Richiesta di un credito quadro di </w:t>
      </w:r>
      <w:proofErr w:type="spellStart"/>
      <w:r w:rsidRPr="001638CD">
        <w:rPr>
          <w:rFonts w:cs="Arial"/>
          <w:b/>
          <w:sz w:val="28"/>
          <w:szCs w:val="28"/>
        </w:rPr>
        <w:t>fr</w:t>
      </w:r>
      <w:proofErr w:type="spellEnd"/>
      <w:r w:rsidRPr="001638CD">
        <w:rPr>
          <w:rFonts w:cs="Arial"/>
          <w:b/>
          <w:sz w:val="28"/>
          <w:szCs w:val="28"/>
        </w:rPr>
        <w:t xml:space="preserve">. 13'000'000.- per attuare misure di politica regionale cantonale complementari alla politica regionale della Confederazione per il quadriennio 2020-2023 </w:t>
      </w:r>
    </w:p>
    <w:p w:rsidR="001954C9" w:rsidRPr="001638CD" w:rsidRDefault="001954C9" w:rsidP="001954C9">
      <w:pPr>
        <w:rPr>
          <w:rFonts w:cs="Arial"/>
          <w:b/>
          <w:sz w:val="28"/>
          <w:szCs w:val="28"/>
        </w:rPr>
      </w:pPr>
    </w:p>
    <w:p w:rsidR="00955F4A" w:rsidRDefault="001954C9" w:rsidP="00955F4A">
      <w:pPr>
        <w:rPr>
          <w:rFonts w:cs="Arial"/>
          <w:b/>
          <w:sz w:val="28"/>
          <w:szCs w:val="28"/>
        </w:rPr>
      </w:pPr>
      <w:r w:rsidRPr="001638CD">
        <w:rPr>
          <w:rFonts w:cs="Arial"/>
          <w:b/>
          <w:sz w:val="28"/>
          <w:szCs w:val="28"/>
        </w:rPr>
        <w:t xml:space="preserve">Decreti legislativi concernenti misure ai sensi dell’art. 16 cpv. 1 della Legge d’applicazione della Legge federale sulla politica regionale del </w:t>
      </w:r>
      <w:r w:rsidR="00955F4A">
        <w:rPr>
          <w:rFonts w:cs="Arial"/>
          <w:b/>
          <w:sz w:val="28"/>
          <w:szCs w:val="28"/>
        </w:rPr>
        <w:br/>
      </w:r>
      <w:r w:rsidRPr="001638CD">
        <w:rPr>
          <w:rFonts w:cs="Arial"/>
          <w:b/>
          <w:sz w:val="28"/>
          <w:szCs w:val="28"/>
        </w:rPr>
        <w:t>6 ottobre 2006 (</w:t>
      </w:r>
      <w:proofErr w:type="spellStart"/>
      <w:r w:rsidRPr="001638CD">
        <w:rPr>
          <w:rFonts w:cs="Arial"/>
          <w:b/>
          <w:sz w:val="28"/>
          <w:szCs w:val="28"/>
        </w:rPr>
        <w:t>LaLPR</w:t>
      </w:r>
      <w:proofErr w:type="spellEnd"/>
      <w:r w:rsidRPr="001638CD">
        <w:rPr>
          <w:rFonts w:cs="Arial"/>
          <w:b/>
          <w:sz w:val="28"/>
          <w:szCs w:val="28"/>
        </w:rPr>
        <w:t xml:space="preserve"> del 22 giugno 2009) n</w:t>
      </w:r>
      <w:r w:rsidR="00955F4A">
        <w:rPr>
          <w:rFonts w:cs="Arial"/>
          <w:b/>
          <w:sz w:val="28"/>
          <w:szCs w:val="28"/>
        </w:rPr>
        <w:t>el quadriennio 2020-2023 per:</w:t>
      </w:r>
    </w:p>
    <w:p w:rsidR="001954C9" w:rsidRPr="001638CD" w:rsidRDefault="00955F4A" w:rsidP="00955F4A">
      <w:pPr>
        <w:tabs>
          <w:tab w:val="left" w:pos="284"/>
        </w:tabs>
        <w:spacing w:before="80"/>
        <w:ind w:left="284" w:hanging="284"/>
        <w:rPr>
          <w:rFonts w:cs="Arial"/>
          <w:b/>
          <w:sz w:val="28"/>
          <w:szCs w:val="28"/>
        </w:rPr>
      </w:pPr>
      <w:r>
        <w:rPr>
          <w:rFonts w:cs="Arial"/>
          <w:b/>
          <w:sz w:val="28"/>
          <w:szCs w:val="28"/>
        </w:rPr>
        <w:t>•</w:t>
      </w:r>
      <w:r>
        <w:rPr>
          <w:rFonts w:cs="Arial"/>
          <w:b/>
          <w:sz w:val="28"/>
          <w:szCs w:val="28"/>
        </w:rPr>
        <w:tab/>
      </w:r>
      <w:r w:rsidR="001954C9" w:rsidRPr="001638CD">
        <w:rPr>
          <w:rFonts w:cs="Arial"/>
          <w:b/>
          <w:sz w:val="28"/>
          <w:szCs w:val="28"/>
        </w:rPr>
        <w:t xml:space="preserve">la partecipazione al programma d’attuazione San Gottardo 2020-2023; </w:t>
      </w:r>
    </w:p>
    <w:p w:rsidR="001954C9" w:rsidRPr="00955F4A" w:rsidRDefault="001954C9" w:rsidP="00955F4A">
      <w:pPr>
        <w:pStyle w:val="Paragrafoelenco"/>
        <w:numPr>
          <w:ilvl w:val="0"/>
          <w:numId w:val="13"/>
        </w:numPr>
        <w:tabs>
          <w:tab w:val="left" w:pos="284"/>
        </w:tabs>
        <w:spacing w:before="80"/>
        <w:ind w:left="284" w:hanging="284"/>
        <w:rPr>
          <w:rFonts w:cs="Arial"/>
          <w:b/>
          <w:sz w:val="28"/>
          <w:szCs w:val="28"/>
        </w:rPr>
      </w:pPr>
      <w:r w:rsidRPr="00955F4A">
        <w:rPr>
          <w:rFonts w:cs="Arial"/>
          <w:b/>
          <w:sz w:val="28"/>
          <w:szCs w:val="28"/>
        </w:rPr>
        <w:t xml:space="preserve">il finanziamento del management regionale (Agenzie regionali per lo sviluppo); </w:t>
      </w:r>
    </w:p>
    <w:p w:rsidR="001954C9" w:rsidRPr="00955F4A" w:rsidRDefault="001954C9" w:rsidP="00955F4A">
      <w:pPr>
        <w:pStyle w:val="Paragrafoelenco"/>
        <w:numPr>
          <w:ilvl w:val="0"/>
          <w:numId w:val="13"/>
        </w:numPr>
        <w:tabs>
          <w:tab w:val="left" w:pos="284"/>
        </w:tabs>
        <w:spacing w:before="80"/>
        <w:ind w:left="284" w:hanging="284"/>
        <w:rPr>
          <w:rFonts w:cs="Arial"/>
          <w:b/>
          <w:sz w:val="28"/>
          <w:szCs w:val="28"/>
        </w:rPr>
      </w:pPr>
      <w:r w:rsidRPr="00955F4A">
        <w:rPr>
          <w:rFonts w:cs="Arial"/>
          <w:b/>
          <w:sz w:val="28"/>
          <w:szCs w:val="28"/>
        </w:rPr>
        <w:t xml:space="preserve">il finanziamento del rafforzamento del sistema regionale dell’innovazione (Fondazione Agire); </w:t>
      </w:r>
    </w:p>
    <w:p w:rsidR="001954C9" w:rsidRPr="00955F4A" w:rsidRDefault="001954C9" w:rsidP="00955F4A">
      <w:pPr>
        <w:pStyle w:val="Paragrafoelenco"/>
        <w:numPr>
          <w:ilvl w:val="0"/>
          <w:numId w:val="13"/>
        </w:numPr>
        <w:tabs>
          <w:tab w:val="left" w:pos="284"/>
        </w:tabs>
        <w:spacing w:before="80"/>
        <w:ind w:left="284" w:hanging="284"/>
        <w:rPr>
          <w:rFonts w:cs="Arial"/>
          <w:b/>
          <w:sz w:val="28"/>
          <w:szCs w:val="28"/>
        </w:rPr>
      </w:pPr>
      <w:r w:rsidRPr="00955F4A">
        <w:rPr>
          <w:rFonts w:cs="Arial"/>
          <w:b/>
          <w:sz w:val="28"/>
          <w:szCs w:val="28"/>
        </w:rPr>
        <w:t xml:space="preserve">il finanziamento del riposizionamento della Fondazione Centro di competenza mobilità sostenibile e ferroviaria </w:t>
      </w:r>
    </w:p>
    <w:p w:rsidR="001954C9" w:rsidRPr="001638CD" w:rsidRDefault="001954C9" w:rsidP="001954C9">
      <w:pPr>
        <w:rPr>
          <w:rFonts w:cs="Arial"/>
          <w:b/>
          <w:sz w:val="28"/>
          <w:szCs w:val="28"/>
        </w:rPr>
      </w:pPr>
    </w:p>
    <w:p w:rsidR="001954C9" w:rsidRPr="001638CD" w:rsidRDefault="001954C9" w:rsidP="001954C9">
      <w:pPr>
        <w:rPr>
          <w:rFonts w:cs="Arial"/>
        </w:rPr>
      </w:pPr>
      <w:r w:rsidRPr="001638CD">
        <w:rPr>
          <w:rFonts w:cs="Arial"/>
          <w:b/>
          <w:sz w:val="28"/>
          <w:szCs w:val="28"/>
        </w:rPr>
        <w:t xml:space="preserve">Decreto legislativo concernente lo stanziamento di un sussidio a fondo perso massimo di </w:t>
      </w:r>
      <w:proofErr w:type="spellStart"/>
      <w:r w:rsidRPr="001638CD">
        <w:rPr>
          <w:rFonts w:cs="Arial"/>
          <w:b/>
          <w:sz w:val="28"/>
          <w:szCs w:val="28"/>
        </w:rPr>
        <w:t>fr</w:t>
      </w:r>
      <w:proofErr w:type="spellEnd"/>
      <w:r w:rsidRPr="001638CD">
        <w:rPr>
          <w:rFonts w:cs="Arial"/>
          <w:b/>
          <w:sz w:val="28"/>
          <w:szCs w:val="28"/>
        </w:rPr>
        <w:t>. 2’000'000.- per il periodo 2020-2023 ai sensi dall’art. 14a Legge sull’agricoltura del 3 dicembre 2002 e proposta di modifica di legge</w:t>
      </w:r>
    </w:p>
    <w:p w:rsidR="001954C9" w:rsidRPr="00113B0A" w:rsidRDefault="001954C9" w:rsidP="001954C9">
      <w:pPr>
        <w:rPr>
          <w:rFonts w:cs="Arial"/>
        </w:rPr>
      </w:pPr>
    </w:p>
    <w:p w:rsidR="001954C9" w:rsidRPr="00113B0A" w:rsidRDefault="001954C9" w:rsidP="001954C9">
      <w:pPr>
        <w:rPr>
          <w:rFonts w:cs="Arial"/>
        </w:rPr>
      </w:pPr>
    </w:p>
    <w:p w:rsidR="001954C9" w:rsidRPr="001638CD" w:rsidRDefault="001954C9" w:rsidP="001954C9">
      <w:pPr>
        <w:rPr>
          <w:rFonts w:cs="Arial"/>
          <w:b/>
        </w:rPr>
      </w:pPr>
      <w:r>
        <w:rPr>
          <w:rFonts w:cs="Arial"/>
          <w:b/>
        </w:rPr>
        <w:br w:type="page"/>
      </w:r>
      <w:r w:rsidRPr="001638CD">
        <w:rPr>
          <w:rFonts w:cs="Arial"/>
          <w:b/>
        </w:rPr>
        <w:lastRenderedPageBreak/>
        <w:t>INDICE</w:t>
      </w:r>
    </w:p>
    <w:p w:rsidR="001954C9" w:rsidRPr="001638CD" w:rsidRDefault="001954C9" w:rsidP="001954C9">
      <w:pPr>
        <w:rPr>
          <w:rFonts w:cs="Arial"/>
          <w:b/>
        </w:rPr>
      </w:pPr>
    </w:p>
    <w:p w:rsidR="00B93281" w:rsidRPr="00B93281" w:rsidRDefault="00B93281">
      <w:pPr>
        <w:pStyle w:val="Sommario1"/>
        <w:tabs>
          <w:tab w:val="left" w:pos="660"/>
          <w:tab w:val="right" w:leader="dot" w:pos="9628"/>
        </w:tabs>
        <w:rPr>
          <w:rFonts w:asciiTheme="minorHAnsi" w:eastAsiaTheme="minorEastAsia" w:hAnsiTheme="minorHAnsi" w:cstheme="minorBidi"/>
          <w:caps w:val="0"/>
          <w:noProof/>
          <w:sz w:val="22"/>
          <w:szCs w:val="22"/>
          <w:lang w:val="it-CH" w:eastAsia="it-CH"/>
        </w:rPr>
      </w:pPr>
      <w:r w:rsidRPr="00B93281">
        <w:rPr>
          <w:rFonts w:cs="Arial"/>
          <w:sz w:val="22"/>
          <w:szCs w:val="22"/>
        </w:rPr>
        <w:fldChar w:fldCharType="begin"/>
      </w:r>
      <w:r w:rsidRPr="00B93281">
        <w:rPr>
          <w:rFonts w:cs="Arial"/>
          <w:sz w:val="22"/>
          <w:szCs w:val="22"/>
        </w:rPr>
        <w:instrText xml:space="preserve"> TOC \o "1-2" \h \z \u </w:instrText>
      </w:r>
      <w:r w:rsidRPr="00B93281">
        <w:rPr>
          <w:rFonts w:cs="Arial"/>
          <w:sz w:val="22"/>
          <w:szCs w:val="22"/>
        </w:rPr>
        <w:fldChar w:fldCharType="separate"/>
      </w:r>
      <w:hyperlink w:anchor="_Toc25743279" w:history="1">
        <w:r w:rsidRPr="00B93281">
          <w:rPr>
            <w:rStyle w:val="Collegamentoipertestuale"/>
            <w:rFonts w:cs="Arial"/>
            <w:noProof/>
            <w:sz w:val="22"/>
            <w:szCs w:val="22"/>
          </w:rPr>
          <w:t>1.</w:t>
        </w:r>
        <w:r w:rsidRPr="00B93281">
          <w:rPr>
            <w:rFonts w:asciiTheme="minorHAnsi" w:eastAsiaTheme="minorEastAsia" w:hAnsiTheme="minorHAnsi" w:cstheme="minorBidi"/>
            <w:caps w:val="0"/>
            <w:noProof/>
            <w:sz w:val="22"/>
            <w:szCs w:val="22"/>
            <w:lang w:val="it-CH" w:eastAsia="it-CH"/>
          </w:rPr>
          <w:tab/>
        </w:r>
        <w:r w:rsidRPr="00B93281">
          <w:rPr>
            <w:rStyle w:val="Collegamentoipertestuale"/>
            <w:rFonts w:cs="Arial"/>
            <w:noProof/>
            <w:sz w:val="22"/>
            <w:szCs w:val="22"/>
          </w:rPr>
          <w:t>INTRODUZIONE</w:t>
        </w:r>
        <w:r w:rsidRPr="00B93281">
          <w:rPr>
            <w:noProof/>
            <w:webHidden/>
            <w:sz w:val="22"/>
            <w:szCs w:val="22"/>
          </w:rPr>
          <w:tab/>
        </w:r>
        <w:r w:rsidRPr="00B93281">
          <w:rPr>
            <w:noProof/>
            <w:webHidden/>
            <w:sz w:val="22"/>
            <w:szCs w:val="22"/>
          </w:rPr>
          <w:fldChar w:fldCharType="begin"/>
        </w:r>
        <w:r w:rsidRPr="00B93281">
          <w:rPr>
            <w:noProof/>
            <w:webHidden/>
            <w:sz w:val="22"/>
            <w:szCs w:val="22"/>
          </w:rPr>
          <w:instrText xml:space="preserve"> PAGEREF _Toc25743279 \h </w:instrText>
        </w:r>
        <w:r w:rsidRPr="00B93281">
          <w:rPr>
            <w:noProof/>
            <w:webHidden/>
            <w:sz w:val="22"/>
            <w:szCs w:val="22"/>
          </w:rPr>
        </w:r>
        <w:r w:rsidRPr="00B93281">
          <w:rPr>
            <w:noProof/>
            <w:webHidden/>
            <w:sz w:val="22"/>
            <w:szCs w:val="22"/>
          </w:rPr>
          <w:fldChar w:fldCharType="separate"/>
        </w:r>
        <w:r w:rsidR="002B6200">
          <w:rPr>
            <w:noProof/>
            <w:webHidden/>
            <w:sz w:val="22"/>
            <w:szCs w:val="22"/>
          </w:rPr>
          <w:t>2</w:t>
        </w:r>
        <w:r w:rsidRPr="00B93281">
          <w:rPr>
            <w:noProof/>
            <w:webHidden/>
            <w:sz w:val="22"/>
            <w:szCs w:val="22"/>
          </w:rPr>
          <w:fldChar w:fldCharType="end"/>
        </w:r>
      </w:hyperlink>
    </w:p>
    <w:p w:rsidR="00B93281" w:rsidRPr="00B93281" w:rsidRDefault="005C427D">
      <w:pPr>
        <w:pStyle w:val="Sommario1"/>
        <w:tabs>
          <w:tab w:val="left" w:pos="660"/>
          <w:tab w:val="right" w:leader="dot" w:pos="9628"/>
        </w:tabs>
        <w:rPr>
          <w:rFonts w:asciiTheme="minorHAnsi" w:eastAsiaTheme="minorEastAsia" w:hAnsiTheme="minorHAnsi" w:cstheme="minorBidi"/>
          <w:caps w:val="0"/>
          <w:noProof/>
          <w:sz w:val="22"/>
          <w:szCs w:val="22"/>
          <w:lang w:val="it-CH" w:eastAsia="it-CH"/>
        </w:rPr>
      </w:pPr>
      <w:hyperlink w:anchor="_Toc25743280" w:history="1">
        <w:r w:rsidR="00B93281" w:rsidRPr="00B93281">
          <w:rPr>
            <w:rStyle w:val="Collegamentoipertestuale"/>
            <w:rFonts w:cs="Arial"/>
            <w:noProof/>
            <w:sz w:val="22"/>
            <w:szCs w:val="22"/>
          </w:rPr>
          <w:t>2.</w:t>
        </w:r>
        <w:r w:rsidR="00B93281" w:rsidRPr="00B93281">
          <w:rPr>
            <w:rFonts w:asciiTheme="minorHAnsi" w:eastAsiaTheme="minorEastAsia" w:hAnsiTheme="minorHAnsi" w:cstheme="minorBidi"/>
            <w:caps w:val="0"/>
            <w:noProof/>
            <w:sz w:val="22"/>
            <w:szCs w:val="22"/>
            <w:lang w:val="it-CH" w:eastAsia="it-CH"/>
          </w:rPr>
          <w:tab/>
        </w:r>
        <w:r w:rsidR="00B93281" w:rsidRPr="00B93281">
          <w:rPr>
            <w:rStyle w:val="Collegamentoipertestuale"/>
            <w:rFonts w:cs="Arial"/>
            <w:noProof/>
            <w:sz w:val="22"/>
            <w:szCs w:val="22"/>
          </w:rPr>
          <w:t>IL PERIODO 2016-2019: UN QUADRIENNIO POSITIVO</w:t>
        </w:r>
        <w:r w:rsidR="00B93281" w:rsidRPr="00B93281">
          <w:rPr>
            <w:noProof/>
            <w:webHidden/>
            <w:sz w:val="22"/>
            <w:szCs w:val="22"/>
          </w:rPr>
          <w:tab/>
        </w:r>
        <w:r w:rsidR="00B93281" w:rsidRPr="00B93281">
          <w:rPr>
            <w:noProof/>
            <w:webHidden/>
            <w:sz w:val="22"/>
            <w:szCs w:val="22"/>
          </w:rPr>
          <w:fldChar w:fldCharType="begin"/>
        </w:r>
        <w:r w:rsidR="00B93281" w:rsidRPr="00B93281">
          <w:rPr>
            <w:noProof/>
            <w:webHidden/>
            <w:sz w:val="22"/>
            <w:szCs w:val="22"/>
          </w:rPr>
          <w:instrText xml:space="preserve"> PAGEREF _Toc25743280 \h </w:instrText>
        </w:r>
        <w:r w:rsidR="00B93281" w:rsidRPr="00B93281">
          <w:rPr>
            <w:noProof/>
            <w:webHidden/>
            <w:sz w:val="22"/>
            <w:szCs w:val="22"/>
          </w:rPr>
        </w:r>
        <w:r w:rsidR="00B93281" w:rsidRPr="00B93281">
          <w:rPr>
            <w:noProof/>
            <w:webHidden/>
            <w:sz w:val="22"/>
            <w:szCs w:val="22"/>
          </w:rPr>
          <w:fldChar w:fldCharType="separate"/>
        </w:r>
        <w:r w:rsidR="002B6200">
          <w:rPr>
            <w:noProof/>
            <w:webHidden/>
            <w:sz w:val="22"/>
            <w:szCs w:val="22"/>
          </w:rPr>
          <w:t>3</w:t>
        </w:r>
        <w:r w:rsidR="00B93281" w:rsidRPr="00B93281">
          <w:rPr>
            <w:noProof/>
            <w:webHidden/>
            <w:sz w:val="22"/>
            <w:szCs w:val="22"/>
          </w:rPr>
          <w:fldChar w:fldCharType="end"/>
        </w:r>
      </w:hyperlink>
    </w:p>
    <w:p w:rsidR="00B93281" w:rsidRPr="00B93281" w:rsidRDefault="005C427D">
      <w:pPr>
        <w:pStyle w:val="Sommario1"/>
        <w:tabs>
          <w:tab w:val="left" w:pos="660"/>
          <w:tab w:val="right" w:leader="dot" w:pos="9628"/>
        </w:tabs>
        <w:rPr>
          <w:rFonts w:asciiTheme="minorHAnsi" w:eastAsiaTheme="minorEastAsia" w:hAnsiTheme="minorHAnsi" w:cstheme="minorBidi"/>
          <w:caps w:val="0"/>
          <w:noProof/>
          <w:sz w:val="22"/>
          <w:szCs w:val="22"/>
          <w:lang w:val="it-CH" w:eastAsia="it-CH"/>
        </w:rPr>
      </w:pPr>
      <w:hyperlink w:anchor="_Toc25743281" w:history="1">
        <w:r w:rsidR="00B93281" w:rsidRPr="00B93281">
          <w:rPr>
            <w:rStyle w:val="Collegamentoipertestuale"/>
            <w:rFonts w:cs="Arial"/>
            <w:noProof/>
            <w:sz w:val="22"/>
            <w:szCs w:val="22"/>
          </w:rPr>
          <w:t>3.</w:t>
        </w:r>
        <w:r w:rsidR="00B93281" w:rsidRPr="00B93281">
          <w:rPr>
            <w:rFonts w:asciiTheme="minorHAnsi" w:eastAsiaTheme="minorEastAsia" w:hAnsiTheme="minorHAnsi" w:cstheme="minorBidi"/>
            <w:caps w:val="0"/>
            <w:noProof/>
            <w:sz w:val="22"/>
            <w:szCs w:val="22"/>
            <w:lang w:val="it-CH" w:eastAsia="it-CH"/>
          </w:rPr>
          <w:tab/>
        </w:r>
        <w:r w:rsidR="00B93281" w:rsidRPr="00B93281">
          <w:rPr>
            <w:rStyle w:val="Collegamentoipertestuale"/>
            <w:rFonts w:cs="Arial"/>
            <w:noProof/>
            <w:sz w:val="22"/>
            <w:szCs w:val="22"/>
          </w:rPr>
          <w:t>OBIETTIVI PER IL QUADRIENNIO 2020-2023</w:t>
        </w:r>
        <w:r w:rsidR="00B93281" w:rsidRPr="00B93281">
          <w:rPr>
            <w:noProof/>
            <w:webHidden/>
            <w:sz w:val="22"/>
            <w:szCs w:val="22"/>
          </w:rPr>
          <w:tab/>
        </w:r>
        <w:r w:rsidR="00B93281" w:rsidRPr="00B93281">
          <w:rPr>
            <w:noProof/>
            <w:webHidden/>
            <w:sz w:val="22"/>
            <w:szCs w:val="22"/>
          </w:rPr>
          <w:fldChar w:fldCharType="begin"/>
        </w:r>
        <w:r w:rsidR="00B93281" w:rsidRPr="00B93281">
          <w:rPr>
            <w:noProof/>
            <w:webHidden/>
            <w:sz w:val="22"/>
            <w:szCs w:val="22"/>
          </w:rPr>
          <w:instrText xml:space="preserve"> PAGEREF _Toc25743281 \h </w:instrText>
        </w:r>
        <w:r w:rsidR="00B93281" w:rsidRPr="00B93281">
          <w:rPr>
            <w:noProof/>
            <w:webHidden/>
            <w:sz w:val="22"/>
            <w:szCs w:val="22"/>
          </w:rPr>
        </w:r>
        <w:r w:rsidR="00B93281" w:rsidRPr="00B93281">
          <w:rPr>
            <w:noProof/>
            <w:webHidden/>
            <w:sz w:val="22"/>
            <w:szCs w:val="22"/>
          </w:rPr>
          <w:fldChar w:fldCharType="separate"/>
        </w:r>
        <w:r w:rsidR="002B6200">
          <w:rPr>
            <w:noProof/>
            <w:webHidden/>
            <w:sz w:val="22"/>
            <w:szCs w:val="22"/>
          </w:rPr>
          <w:t>5</w:t>
        </w:r>
        <w:r w:rsidR="00B93281" w:rsidRPr="00B93281">
          <w:rPr>
            <w:noProof/>
            <w:webHidden/>
            <w:sz w:val="22"/>
            <w:szCs w:val="22"/>
          </w:rPr>
          <w:fldChar w:fldCharType="end"/>
        </w:r>
      </w:hyperlink>
    </w:p>
    <w:p w:rsidR="00B93281" w:rsidRPr="00B93281" w:rsidRDefault="005C427D" w:rsidP="00B93281">
      <w:pPr>
        <w:pStyle w:val="Sommario2"/>
        <w:tabs>
          <w:tab w:val="left" w:pos="660"/>
          <w:tab w:val="right" w:leader="dot" w:pos="9628"/>
        </w:tabs>
        <w:spacing w:before="60"/>
        <w:rPr>
          <w:rFonts w:asciiTheme="minorHAnsi" w:eastAsiaTheme="minorEastAsia" w:hAnsiTheme="minorHAnsi" w:cstheme="minorBidi"/>
          <w:noProof/>
          <w:sz w:val="22"/>
          <w:szCs w:val="22"/>
          <w:lang w:val="it-CH" w:eastAsia="it-CH"/>
        </w:rPr>
      </w:pPr>
      <w:hyperlink w:anchor="_Toc25743282" w:history="1">
        <w:r w:rsidR="00B93281" w:rsidRPr="00B93281">
          <w:rPr>
            <w:rStyle w:val="Collegamentoipertestuale"/>
            <w:rFonts w:cs="Arial"/>
            <w:noProof/>
            <w:sz w:val="22"/>
            <w:szCs w:val="22"/>
          </w:rPr>
          <w:t>3.1</w:t>
        </w:r>
        <w:r w:rsidR="00B93281" w:rsidRPr="00B93281">
          <w:rPr>
            <w:rFonts w:asciiTheme="minorHAnsi" w:eastAsiaTheme="minorEastAsia" w:hAnsiTheme="minorHAnsi" w:cstheme="minorBidi"/>
            <w:noProof/>
            <w:sz w:val="22"/>
            <w:szCs w:val="22"/>
            <w:lang w:val="it-CH" w:eastAsia="it-CH"/>
          </w:rPr>
          <w:tab/>
        </w:r>
        <w:r w:rsidR="00B93281" w:rsidRPr="00B93281">
          <w:rPr>
            <w:rStyle w:val="Collegamentoipertestuale"/>
            <w:rFonts w:cs="Arial"/>
            <w:noProof/>
            <w:sz w:val="22"/>
            <w:szCs w:val="22"/>
          </w:rPr>
          <w:t>Piccole e medie imprese (PMI)</w:t>
        </w:r>
        <w:r w:rsidR="00B93281" w:rsidRPr="00B93281">
          <w:rPr>
            <w:noProof/>
            <w:webHidden/>
            <w:sz w:val="22"/>
            <w:szCs w:val="22"/>
          </w:rPr>
          <w:tab/>
        </w:r>
        <w:r w:rsidR="00B93281" w:rsidRPr="00B93281">
          <w:rPr>
            <w:noProof/>
            <w:webHidden/>
            <w:sz w:val="22"/>
            <w:szCs w:val="22"/>
          </w:rPr>
          <w:fldChar w:fldCharType="begin"/>
        </w:r>
        <w:r w:rsidR="00B93281" w:rsidRPr="00B93281">
          <w:rPr>
            <w:noProof/>
            <w:webHidden/>
            <w:sz w:val="22"/>
            <w:szCs w:val="22"/>
          </w:rPr>
          <w:instrText xml:space="preserve"> PAGEREF _Toc25743282 \h </w:instrText>
        </w:r>
        <w:r w:rsidR="00B93281" w:rsidRPr="00B93281">
          <w:rPr>
            <w:noProof/>
            <w:webHidden/>
            <w:sz w:val="22"/>
            <w:szCs w:val="22"/>
          </w:rPr>
        </w:r>
        <w:r w:rsidR="00B93281" w:rsidRPr="00B93281">
          <w:rPr>
            <w:noProof/>
            <w:webHidden/>
            <w:sz w:val="22"/>
            <w:szCs w:val="22"/>
          </w:rPr>
          <w:fldChar w:fldCharType="separate"/>
        </w:r>
        <w:r w:rsidR="002B6200">
          <w:rPr>
            <w:noProof/>
            <w:webHidden/>
            <w:sz w:val="22"/>
            <w:szCs w:val="22"/>
          </w:rPr>
          <w:t>5</w:t>
        </w:r>
        <w:r w:rsidR="00B93281" w:rsidRPr="00B93281">
          <w:rPr>
            <w:noProof/>
            <w:webHidden/>
            <w:sz w:val="22"/>
            <w:szCs w:val="22"/>
          </w:rPr>
          <w:fldChar w:fldCharType="end"/>
        </w:r>
      </w:hyperlink>
    </w:p>
    <w:p w:rsidR="00B93281" w:rsidRPr="00B93281" w:rsidRDefault="005C427D" w:rsidP="00B93281">
      <w:pPr>
        <w:pStyle w:val="Sommario2"/>
        <w:tabs>
          <w:tab w:val="left" w:pos="660"/>
          <w:tab w:val="right" w:leader="dot" w:pos="9628"/>
        </w:tabs>
        <w:spacing w:before="60"/>
        <w:rPr>
          <w:rFonts w:asciiTheme="minorHAnsi" w:eastAsiaTheme="minorEastAsia" w:hAnsiTheme="minorHAnsi" w:cstheme="minorBidi"/>
          <w:noProof/>
          <w:sz w:val="22"/>
          <w:szCs w:val="22"/>
          <w:lang w:val="it-CH" w:eastAsia="it-CH"/>
        </w:rPr>
      </w:pPr>
      <w:hyperlink w:anchor="_Toc25743283" w:history="1">
        <w:r w:rsidR="00B93281" w:rsidRPr="00B93281">
          <w:rPr>
            <w:rStyle w:val="Collegamentoipertestuale"/>
            <w:rFonts w:cs="Arial"/>
            <w:noProof/>
            <w:sz w:val="22"/>
            <w:szCs w:val="22"/>
          </w:rPr>
          <w:t>3.2</w:t>
        </w:r>
        <w:r w:rsidR="00B93281" w:rsidRPr="00B93281">
          <w:rPr>
            <w:rFonts w:asciiTheme="minorHAnsi" w:eastAsiaTheme="minorEastAsia" w:hAnsiTheme="minorHAnsi" w:cstheme="minorBidi"/>
            <w:noProof/>
            <w:sz w:val="22"/>
            <w:szCs w:val="22"/>
            <w:lang w:val="it-CH" w:eastAsia="it-CH"/>
          </w:rPr>
          <w:tab/>
        </w:r>
        <w:r w:rsidR="00B93281" w:rsidRPr="00B93281">
          <w:rPr>
            <w:rStyle w:val="Collegamentoipertestuale"/>
            <w:rFonts w:cs="Arial"/>
            <w:noProof/>
            <w:sz w:val="22"/>
            <w:szCs w:val="22"/>
          </w:rPr>
          <w:t>Turismo</w:t>
        </w:r>
        <w:r w:rsidR="00B93281" w:rsidRPr="00B93281">
          <w:rPr>
            <w:noProof/>
            <w:webHidden/>
            <w:sz w:val="22"/>
            <w:szCs w:val="22"/>
          </w:rPr>
          <w:tab/>
        </w:r>
        <w:r w:rsidR="00B93281" w:rsidRPr="00B93281">
          <w:rPr>
            <w:noProof/>
            <w:webHidden/>
            <w:sz w:val="22"/>
            <w:szCs w:val="22"/>
          </w:rPr>
          <w:fldChar w:fldCharType="begin"/>
        </w:r>
        <w:r w:rsidR="00B93281" w:rsidRPr="00B93281">
          <w:rPr>
            <w:noProof/>
            <w:webHidden/>
            <w:sz w:val="22"/>
            <w:szCs w:val="22"/>
          </w:rPr>
          <w:instrText xml:space="preserve"> PAGEREF _Toc25743283 \h </w:instrText>
        </w:r>
        <w:r w:rsidR="00B93281" w:rsidRPr="00B93281">
          <w:rPr>
            <w:noProof/>
            <w:webHidden/>
            <w:sz w:val="22"/>
            <w:szCs w:val="22"/>
          </w:rPr>
        </w:r>
        <w:r w:rsidR="00B93281" w:rsidRPr="00B93281">
          <w:rPr>
            <w:noProof/>
            <w:webHidden/>
            <w:sz w:val="22"/>
            <w:szCs w:val="22"/>
          </w:rPr>
          <w:fldChar w:fldCharType="separate"/>
        </w:r>
        <w:r w:rsidR="002B6200">
          <w:rPr>
            <w:noProof/>
            <w:webHidden/>
            <w:sz w:val="22"/>
            <w:szCs w:val="22"/>
          </w:rPr>
          <w:t>6</w:t>
        </w:r>
        <w:r w:rsidR="00B93281" w:rsidRPr="00B93281">
          <w:rPr>
            <w:noProof/>
            <w:webHidden/>
            <w:sz w:val="22"/>
            <w:szCs w:val="22"/>
          </w:rPr>
          <w:fldChar w:fldCharType="end"/>
        </w:r>
      </w:hyperlink>
    </w:p>
    <w:p w:rsidR="00B93281" w:rsidRPr="00B93281" w:rsidRDefault="005C427D" w:rsidP="00B93281">
      <w:pPr>
        <w:pStyle w:val="Sommario2"/>
        <w:tabs>
          <w:tab w:val="left" w:pos="660"/>
          <w:tab w:val="right" w:leader="dot" w:pos="9628"/>
        </w:tabs>
        <w:spacing w:before="60"/>
        <w:rPr>
          <w:rFonts w:asciiTheme="minorHAnsi" w:eastAsiaTheme="minorEastAsia" w:hAnsiTheme="minorHAnsi" w:cstheme="minorBidi"/>
          <w:noProof/>
          <w:sz w:val="22"/>
          <w:szCs w:val="22"/>
          <w:lang w:val="it-CH" w:eastAsia="it-CH"/>
        </w:rPr>
      </w:pPr>
      <w:hyperlink w:anchor="_Toc25743284" w:history="1">
        <w:r w:rsidR="00B93281" w:rsidRPr="00B93281">
          <w:rPr>
            <w:rStyle w:val="Collegamentoipertestuale"/>
            <w:rFonts w:cs="Arial"/>
            <w:noProof/>
            <w:sz w:val="22"/>
            <w:szCs w:val="22"/>
          </w:rPr>
          <w:t>3.3</w:t>
        </w:r>
        <w:r w:rsidR="00B93281" w:rsidRPr="00B93281">
          <w:rPr>
            <w:rFonts w:asciiTheme="minorHAnsi" w:eastAsiaTheme="minorEastAsia" w:hAnsiTheme="minorHAnsi" w:cstheme="minorBidi"/>
            <w:noProof/>
            <w:sz w:val="22"/>
            <w:szCs w:val="22"/>
            <w:lang w:val="it-CH" w:eastAsia="it-CH"/>
          </w:rPr>
          <w:tab/>
        </w:r>
        <w:r w:rsidR="00B93281" w:rsidRPr="00B93281">
          <w:rPr>
            <w:rStyle w:val="Collegamentoipertestuale"/>
            <w:rFonts w:cs="Arial"/>
            <w:noProof/>
            <w:sz w:val="22"/>
            <w:szCs w:val="22"/>
          </w:rPr>
          <w:t>Riposizionamento regioni periferiche</w:t>
        </w:r>
        <w:r w:rsidR="00B93281" w:rsidRPr="00B93281">
          <w:rPr>
            <w:noProof/>
            <w:webHidden/>
            <w:sz w:val="22"/>
            <w:szCs w:val="22"/>
          </w:rPr>
          <w:tab/>
        </w:r>
        <w:r w:rsidR="00B93281" w:rsidRPr="00B93281">
          <w:rPr>
            <w:noProof/>
            <w:webHidden/>
            <w:sz w:val="22"/>
            <w:szCs w:val="22"/>
          </w:rPr>
          <w:fldChar w:fldCharType="begin"/>
        </w:r>
        <w:r w:rsidR="00B93281" w:rsidRPr="00B93281">
          <w:rPr>
            <w:noProof/>
            <w:webHidden/>
            <w:sz w:val="22"/>
            <w:szCs w:val="22"/>
          </w:rPr>
          <w:instrText xml:space="preserve"> PAGEREF _Toc25743284 \h </w:instrText>
        </w:r>
        <w:r w:rsidR="00B93281" w:rsidRPr="00B93281">
          <w:rPr>
            <w:noProof/>
            <w:webHidden/>
            <w:sz w:val="22"/>
            <w:szCs w:val="22"/>
          </w:rPr>
        </w:r>
        <w:r w:rsidR="00B93281" w:rsidRPr="00B93281">
          <w:rPr>
            <w:noProof/>
            <w:webHidden/>
            <w:sz w:val="22"/>
            <w:szCs w:val="22"/>
          </w:rPr>
          <w:fldChar w:fldCharType="separate"/>
        </w:r>
        <w:r w:rsidR="002B6200">
          <w:rPr>
            <w:noProof/>
            <w:webHidden/>
            <w:sz w:val="22"/>
            <w:szCs w:val="22"/>
          </w:rPr>
          <w:t>7</w:t>
        </w:r>
        <w:r w:rsidR="00B93281" w:rsidRPr="00B93281">
          <w:rPr>
            <w:noProof/>
            <w:webHidden/>
            <w:sz w:val="22"/>
            <w:szCs w:val="22"/>
          </w:rPr>
          <w:fldChar w:fldCharType="end"/>
        </w:r>
      </w:hyperlink>
    </w:p>
    <w:p w:rsidR="00B93281" w:rsidRPr="00B93281" w:rsidRDefault="005C427D" w:rsidP="00B93281">
      <w:pPr>
        <w:pStyle w:val="Sommario2"/>
        <w:tabs>
          <w:tab w:val="left" w:pos="660"/>
          <w:tab w:val="right" w:leader="dot" w:pos="9628"/>
        </w:tabs>
        <w:spacing w:before="60"/>
        <w:rPr>
          <w:rFonts w:asciiTheme="minorHAnsi" w:eastAsiaTheme="minorEastAsia" w:hAnsiTheme="minorHAnsi" w:cstheme="minorBidi"/>
          <w:noProof/>
          <w:sz w:val="22"/>
          <w:szCs w:val="22"/>
          <w:lang w:val="it-CH" w:eastAsia="it-CH"/>
        </w:rPr>
      </w:pPr>
      <w:hyperlink w:anchor="_Toc25743285" w:history="1">
        <w:r w:rsidR="00B93281" w:rsidRPr="00B93281">
          <w:rPr>
            <w:rStyle w:val="Collegamentoipertestuale"/>
            <w:noProof/>
            <w:sz w:val="22"/>
            <w:szCs w:val="22"/>
          </w:rPr>
          <w:t>3.4</w:t>
        </w:r>
        <w:r w:rsidR="00B93281" w:rsidRPr="00B93281">
          <w:rPr>
            <w:rFonts w:asciiTheme="minorHAnsi" w:eastAsiaTheme="minorEastAsia" w:hAnsiTheme="minorHAnsi" w:cstheme="minorBidi"/>
            <w:noProof/>
            <w:sz w:val="22"/>
            <w:szCs w:val="22"/>
            <w:lang w:val="it-CH" w:eastAsia="it-CH"/>
          </w:rPr>
          <w:tab/>
        </w:r>
        <w:r w:rsidR="00B93281" w:rsidRPr="00B93281">
          <w:rPr>
            <w:rStyle w:val="Collegamentoipertestuale"/>
            <w:noProof/>
            <w:sz w:val="22"/>
            <w:szCs w:val="22"/>
          </w:rPr>
          <w:t>Verifica della sostenibilità del programma d’attuazione</w:t>
        </w:r>
        <w:r w:rsidR="00B93281" w:rsidRPr="00B93281">
          <w:rPr>
            <w:noProof/>
            <w:webHidden/>
            <w:sz w:val="22"/>
            <w:szCs w:val="22"/>
          </w:rPr>
          <w:tab/>
        </w:r>
        <w:r w:rsidR="00B93281" w:rsidRPr="00B93281">
          <w:rPr>
            <w:noProof/>
            <w:webHidden/>
            <w:sz w:val="22"/>
            <w:szCs w:val="22"/>
          </w:rPr>
          <w:fldChar w:fldCharType="begin"/>
        </w:r>
        <w:r w:rsidR="00B93281" w:rsidRPr="00B93281">
          <w:rPr>
            <w:noProof/>
            <w:webHidden/>
            <w:sz w:val="22"/>
            <w:szCs w:val="22"/>
          </w:rPr>
          <w:instrText xml:space="preserve"> PAGEREF _Toc25743285 \h </w:instrText>
        </w:r>
        <w:r w:rsidR="00B93281" w:rsidRPr="00B93281">
          <w:rPr>
            <w:noProof/>
            <w:webHidden/>
            <w:sz w:val="22"/>
            <w:szCs w:val="22"/>
          </w:rPr>
        </w:r>
        <w:r w:rsidR="00B93281" w:rsidRPr="00B93281">
          <w:rPr>
            <w:noProof/>
            <w:webHidden/>
            <w:sz w:val="22"/>
            <w:szCs w:val="22"/>
          </w:rPr>
          <w:fldChar w:fldCharType="separate"/>
        </w:r>
        <w:r w:rsidR="002B6200">
          <w:rPr>
            <w:noProof/>
            <w:webHidden/>
            <w:sz w:val="22"/>
            <w:szCs w:val="22"/>
          </w:rPr>
          <w:t>8</w:t>
        </w:r>
        <w:r w:rsidR="00B93281" w:rsidRPr="00B93281">
          <w:rPr>
            <w:noProof/>
            <w:webHidden/>
            <w:sz w:val="22"/>
            <w:szCs w:val="22"/>
          </w:rPr>
          <w:fldChar w:fldCharType="end"/>
        </w:r>
      </w:hyperlink>
    </w:p>
    <w:p w:rsidR="00B93281" w:rsidRPr="00B93281" w:rsidRDefault="005C427D">
      <w:pPr>
        <w:pStyle w:val="Sommario1"/>
        <w:tabs>
          <w:tab w:val="left" w:pos="660"/>
          <w:tab w:val="right" w:leader="dot" w:pos="9628"/>
        </w:tabs>
        <w:rPr>
          <w:rFonts w:asciiTheme="minorHAnsi" w:eastAsiaTheme="minorEastAsia" w:hAnsiTheme="minorHAnsi" w:cstheme="minorBidi"/>
          <w:caps w:val="0"/>
          <w:noProof/>
          <w:sz w:val="22"/>
          <w:szCs w:val="22"/>
          <w:lang w:val="it-CH" w:eastAsia="it-CH"/>
        </w:rPr>
      </w:pPr>
      <w:hyperlink w:anchor="_Toc25743286" w:history="1">
        <w:r w:rsidR="00B93281" w:rsidRPr="00B93281">
          <w:rPr>
            <w:rStyle w:val="Collegamentoipertestuale"/>
            <w:rFonts w:cs="Arial"/>
            <w:noProof/>
            <w:sz w:val="22"/>
            <w:szCs w:val="22"/>
          </w:rPr>
          <w:t>4.</w:t>
        </w:r>
        <w:r w:rsidR="00B93281" w:rsidRPr="00B93281">
          <w:rPr>
            <w:rFonts w:asciiTheme="minorHAnsi" w:eastAsiaTheme="minorEastAsia" w:hAnsiTheme="minorHAnsi" w:cstheme="minorBidi"/>
            <w:caps w:val="0"/>
            <w:noProof/>
            <w:sz w:val="22"/>
            <w:szCs w:val="22"/>
            <w:lang w:val="it-CH" w:eastAsia="it-CH"/>
          </w:rPr>
          <w:tab/>
        </w:r>
        <w:r w:rsidR="00B93281" w:rsidRPr="00B93281">
          <w:rPr>
            <w:rStyle w:val="Collegamentoipertestuale"/>
            <w:rFonts w:cs="Arial"/>
            <w:noProof/>
            <w:sz w:val="22"/>
            <w:szCs w:val="22"/>
          </w:rPr>
          <w:t>ALTRE INIZIATIVE</w:t>
        </w:r>
        <w:r w:rsidR="00B93281" w:rsidRPr="00B93281">
          <w:rPr>
            <w:noProof/>
            <w:webHidden/>
            <w:sz w:val="22"/>
            <w:szCs w:val="22"/>
          </w:rPr>
          <w:tab/>
        </w:r>
        <w:r w:rsidR="00B93281" w:rsidRPr="00B93281">
          <w:rPr>
            <w:noProof/>
            <w:webHidden/>
            <w:sz w:val="22"/>
            <w:szCs w:val="22"/>
          </w:rPr>
          <w:fldChar w:fldCharType="begin"/>
        </w:r>
        <w:r w:rsidR="00B93281" w:rsidRPr="00B93281">
          <w:rPr>
            <w:noProof/>
            <w:webHidden/>
            <w:sz w:val="22"/>
            <w:szCs w:val="22"/>
          </w:rPr>
          <w:instrText xml:space="preserve"> PAGEREF _Toc25743286 \h </w:instrText>
        </w:r>
        <w:r w:rsidR="00B93281" w:rsidRPr="00B93281">
          <w:rPr>
            <w:noProof/>
            <w:webHidden/>
            <w:sz w:val="22"/>
            <w:szCs w:val="22"/>
          </w:rPr>
        </w:r>
        <w:r w:rsidR="00B93281" w:rsidRPr="00B93281">
          <w:rPr>
            <w:noProof/>
            <w:webHidden/>
            <w:sz w:val="22"/>
            <w:szCs w:val="22"/>
          </w:rPr>
          <w:fldChar w:fldCharType="separate"/>
        </w:r>
        <w:r w:rsidR="002B6200">
          <w:rPr>
            <w:noProof/>
            <w:webHidden/>
            <w:sz w:val="22"/>
            <w:szCs w:val="22"/>
          </w:rPr>
          <w:t>8</w:t>
        </w:r>
        <w:r w:rsidR="00B93281" w:rsidRPr="00B93281">
          <w:rPr>
            <w:noProof/>
            <w:webHidden/>
            <w:sz w:val="22"/>
            <w:szCs w:val="22"/>
          </w:rPr>
          <w:fldChar w:fldCharType="end"/>
        </w:r>
      </w:hyperlink>
    </w:p>
    <w:p w:rsidR="00B93281" w:rsidRPr="00B93281" w:rsidRDefault="005C427D">
      <w:pPr>
        <w:pStyle w:val="Sommario1"/>
        <w:tabs>
          <w:tab w:val="left" w:pos="660"/>
          <w:tab w:val="right" w:leader="dot" w:pos="9628"/>
        </w:tabs>
        <w:rPr>
          <w:rFonts w:asciiTheme="minorHAnsi" w:eastAsiaTheme="minorEastAsia" w:hAnsiTheme="minorHAnsi" w:cstheme="minorBidi"/>
          <w:caps w:val="0"/>
          <w:noProof/>
          <w:sz w:val="22"/>
          <w:szCs w:val="22"/>
          <w:lang w:val="it-CH" w:eastAsia="it-CH"/>
        </w:rPr>
      </w:pPr>
      <w:hyperlink w:anchor="_Toc25743287" w:history="1">
        <w:r w:rsidR="00B93281" w:rsidRPr="00B93281">
          <w:rPr>
            <w:rStyle w:val="Collegamentoipertestuale"/>
            <w:rFonts w:cs="Arial"/>
            <w:noProof/>
            <w:sz w:val="22"/>
            <w:szCs w:val="22"/>
          </w:rPr>
          <w:t>5.</w:t>
        </w:r>
        <w:r w:rsidR="00B93281" w:rsidRPr="00B93281">
          <w:rPr>
            <w:rFonts w:asciiTheme="minorHAnsi" w:eastAsiaTheme="minorEastAsia" w:hAnsiTheme="minorHAnsi" w:cstheme="minorBidi"/>
            <w:caps w:val="0"/>
            <w:noProof/>
            <w:sz w:val="22"/>
            <w:szCs w:val="22"/>
            <w:lang w:val="it-CH" w:eastAsia="it-CH"/>
          </w:rPr>
          <w:tab/>
        </w:r>
        <w:r w:rsidR="00B93281" w:rsidRPr="00B93281">
          <w:rPr>
            <w:rStyle w:val="Collegamentoipertestuale"/>
            <w:rFonts w:cs="Arial"/>
            <w:noProof/>
            <w:sz w:val="22"/>
            <w:szCs w:val="22"/>
          </w:rPr>
          <w:t>IL DECRETO LEGISLATIVO (DL) COMPLEMENTARE</w:t>
        </w:r>
        <w:r w:rsidR="00B93281" w:rsidRPr="00B93281">
          <w:rPr>
            <w:noProof/>
            <w:webHidden/>
            <w:sz w:val="22"/>
            <w:szCs w:val="22"/>
          </w:rPr>
          <w:tab/>
        </w:r>
        <w:r w:rsidR="00B93281" w:rsidRPr="00B93281">
          <w:rPr>
            <w:noProof/>
            <w:webHidden/>
            <w:sz w:val="22"/>
            <w:szCs w:val="22"/>
          </w:rPr>
          <w:fldChar w:fldCharType="begin"/>
        </w:r>
        <w:r w:rsidR="00B93281" w:rsidRPr="00B93281">
          <w:rPr>
            <w:noProof/>
            <w:webHidden/>
            <w:sz w:val="22"/>
            <w:szCs w:val="22"/>
          </w:rPr>
          <w:instrText xml:space="preserve"> PAGEREF _Toc25743287 \h </w:instrText>
        </w:r>
        <w:r w:rsidR="00B93281" w:rsidRPr="00B93281">
          <w:rPr>
            <w:noProof/>
            <w:webHidden/>
            <w:sz w:val="22"/>
            <w:szCs w:val="22"/>
          </w:rPr>
        </w:r>
        <w:r w:rsidR="00B93281" w:rsidRPr="00B93281">
          <w:rPr>
            <w:noProof/>
            <w:webHidden/>
            <w:sz w:val="22"/>
            <w:szCs w:val="22"/>
          </w:rPr>
          <w:fldChar w:fldCharType="separate"/>
        </w:r>
        <w:r w:rsidR="002B6200">
          <w:rPr>
            <w:noProof/>
            <w:webHidden/>
            <w:sz w:val="22"/>
            <w:szCs w:val="22"/>
          </w:rPr>
          <w:t>9</w:t>
        </w:r>
        <w:r w:rsidR="00B93281" w:rsidRPr="00B93281">
          <w:rPr>
            <w:noProof/>
            <w:webHidden/>
            <w:sz w:val="22"/>
            <w:szCs w:val="22"/>
          </w:rPr>
          <w:fldChar w:fldCharType="end"/>
        </w:r>
      </w:hyperlink>
    </w:p>
    <w:p w:rsidR="00B93281" w:rsidRPr="00B93281" w:rsidRDefault="005C427D">
      <w:pPr>
        <w:pStyle w:val="Sommario1"/>
        <w:tabs>
          <w:tab w:val="left" w:pos="660"/>
          <w:tab w:val="right" w:leader="dot" w:pos="9628"/>
        </w:tabs>
        <w:rPr>
          <w:rFonts w:asciiTheme="minorHAnsi" w:eastAsiaTheme="minorEastAsia" w:hAnsiTheme="minorHAnsi" w:cstheme="minorBidi"/>
          <w:caps w:val="0"/>
          <w:noProof/>
          <w:sz w:val="22"/>
          <w:szCs w:val="22"/>
          <w:lang w:val="it-CH" w:eastAsia="it-CH"/>
        </w:rPr>
      </w:pPr>
      <w:hyperlink w:anchor="_Toc25743288" w:history="1">
        <w:r w:rsidR="00B93281" w:rsidRPr="00B93281">
          <w:rPr>
            <w:rStyle w:val="Collegamentoipertestuale"/>
            <w:rFonts w:cs="Arial"/>
            <w:noProof/>
            <w:sz w:val="22"/>
            <w:szCs w:val="22"/>
          </w:rPr>
          <w:t>6.</w:t>
        </w:r>
        <w:r w:rsidR="00B93281" w:rsidRPr="00B93281">
          <w:rPr>
            <w:rFonts w:asciiTheme="minorHAnsi" w:eastAsiaTheme="minorEastAsia" w:hAnsiTheme="minorHAnsi" w:cstheme="minorBidi"/>
            <w:caps w:val="0"/>
            <w:noProof/>
            <w:sz w:val="22"/>
            <w:szCs w:val="22"/>
            <w:lang w:val="it-CH" w:eastAsia="it-CH"/>
          </w:rPr>
          <w:tab/>
        </w:r>
        <w:r w:rsidR="00B93281" w:rsidRPr="00B93281">
          <w:rPr>
            <w:rStyle w:val="Collegamentoipertestuale"/>
            <w:rFonts w:cs="Arial"/>
            <w:noProof/>
            <w:sz w:val="22"/>
            <w:szCs w:val="22"/>
          </w:rPr>
          <w:t>RICHIESTA FINANZIARIA E STANZIAMENTO PER IL QUADRIENNIO 2020-2023</w:t>
        </w:r>
        <w:r w:rsidR="00B93281" w:rsidRPr="00B93281">
          <w:rPr>
            <w:noProof/>
            <w:webHidden/>
            <w:sz w:val="22"/>
            <w:szCs w:val="22"/>
          </w:rPr>
          <w:tab/>
        </w:r>
        <w:r w:rsidR="00B93281" w:rsidRPr="00B93281">
          <w:rPr>
            <w:noProof/>
            <w:webHidden/>
            <w:sz w:val="22"/>
            <w:szCs w:val="22"/>
          </w:rPr>
          <w:fldChar w:fldCharType="begin"/>
        </w:r>
        <w:r w:rsidR="00B93281" w:rsidRPr="00B93281">
          <w:rPr>
            <w:noProof/>
            <w:webHidden/>
            <w:sz w:val="22"/>
            <w:szCs w:val="22"/>
          </w:rPr>
          <w:instrText xml:space="preserve"> PAGEREF _Toc25743288 \h </w:instrText>
        </w:r>
        <w:r w:rsidR="00B93281" w:rsidRPr="00B93281">
          <w:rPr>
            <w:noProof/>
            <w:webHidden/>
            <w:sz w:val="22"/>
            <w:szCs w:val="22"/>
          </w:rPr>
        </w:r>
        <w:r w:rsidR="00B93281" w:rsidRPr="00B93281">
          <w:rPr>
            <w:noProof/>
            <w:webHidden/>
            <w:sz w:val="22"/>
            <w:szCs w:val="22"/>
          </w:rPr>
          <w:fldChar w:fldCharType="separate"/>
        </w:r>
        <w:r w:rsidR="002B6200">
          <w:rPr>
            <w:noProof/>
            <w:webHidden/>
            <w:sz w:val="22"/>
            <w:szCs w:val="22"/>
          </w:rPr>
          <w:t>9</w:t>
        </w:r>
        <w:r w:rsidR="00B93281" w:rsidRPr="00B93281">
          <w:rPr>
            <w:noProof/>
            <w:webHidden/>
            <w:sz w:val="22"/>
            <w:szCs w:val="22"/>
          </w:rPr>
          <w:fldChar w:fldCharType="end"/>
        </w:r>
      </w:hyperlink>
    </w:p>
    <w:p w:rsidR="00B93281" w:rsidRPr="00B93281" w:rsidRDefault="005C427D">
      <w:pPr>
        <w:pStyle w:val="Sommario1"/>
        <w:tabs>
          <w:tab w:val="left" w:pos="660"/>
          <w:tab w:val="right" w:leader="dot" w:pos="9628"/>
        </w:tabs>
        <w:rPr>
          <w:rFonts w:asciiTheme="minorHAnsi" w:eastAsiaTheme="minorEastAsia" w:hAnsiTheme="minorHAnsi" w:cstheme="minorBidi"/>
          <w:caps w:val="0"/>
          <w:noProof/>
          <w:sz w:val="22"/>
          <w:szCs w:val="22"/>
          <w:lang w:val="it-CH" w:eastAsia="it-CH"/>
        </w:rPr>
      </w:pPr>
      <w:hyperlink w:anchor="_Toc25743289" w:history="1">
        <w:r w:rsidR="00B93281" w:rsidRPr="00B93281">
          <w:rPr>
            <w:rStyle w:val="Collegamentoipertestuale"/>
            <w:rFonts w:cs="Arial"/>
            <w:noProof/>
            <w:sz w:val="22"/>
            <w:szCs w:val="22"/>
          </w:rPr>
          <w:t>7.</w:t>
        </w:r>
        <w:r w:rsidR="00B93281" w:rsidRPr="00B93281">
          <w:rPr>
            <w:rFonts w:asciiTheme="minorHAnsi" w:eastAsiaTheme="minorEastAsia" w:hAnsiTheme="minorHAnsi" w:cstheme="minorBidi"/>
            <w:caps w:val="0"/>
            <w:noProof/>
            <w:sz w:val="22"/>
            <w:szCs w:val="22"/>
            <w:lang w:val="it-CH" w:eastAsia="it-CH"/>
          </w:rPr>
          <w:tab/>
        </w:r>
        <w:r w:rsidR="00B93281" w:rsidRPr="00B93281">
          <w:rPr>
            <w:rStyle w:val="Collegamentoipertestuale"/>
            <w:rFonts w:cs="Arial"/>
            <w:noProof/>
            <w:sz w:val="22"/>
            <w:szCs w:val="22"/>
          </w:rPr>
          <w:t>MONITORAGGIO</w:t>
        </w:r>
        <w:r w:rsidR="00B93281" w:rsidRPr="00B93281">
          <w:rPr>
            <w:noProof/>
            <w:webHidden/>
            <w:sz w:val="22"/>
            <w:szCs w:val="22"/>
          </w:rPr>
          <w:tab/>
        </w:r>
        <w:r w:rsidR="00B93281" w:rsidRPr="00B93281">
          <w:rPr>
            <w:noProof/>
            <w:webHidden/>
            <w:sz w:val="22"/>
            <w:szCs w:val="22"/>
          </w:rPr>
          <w:fldChar w:fldCharType="begin"/>
        </w:r>
        <w:r w:rsidR="00B93281" w:rsidRPr="00B93281">
          <w:rPr>
            <w:noProof/>
            <w:webHidden/>
            <w:sz w:val="22"/>
            <w:szCs w:val="22"/>
          </w:rPr>
          <w:instrText xml:space="preserve"> PAGEREF _Toc25743289 \h </w:instrText>
        </w:r>
        <w:r w:rsidR="00B93281" w:rsidRPr="00B93281">
          <w:rPr>
            <w:noProof/>
            <w:webHidden/>
            <w:sz w:val="22"/>
            <w:szCs w:val="22"/>
          </w:rPr>
        </w:r>
        <w:r w:rsidR="00B93281" w:rsidRPr="00B93281">
          <w:rPr>
            <w:noProof/>
            <w:webHidden/>
            <w:sz w:val="22"/>
            <w:szCs w:val="22"/>
          </w:rPr>
          <w:fldChar w:fldCharType="separate"/>
        </w:r>
        <w:r w:rsidR="002B6200">
          <w:rPr>
            <w:noProof/>
            <w:webHidden/>
            <w:sz w:val="22"/>
            <w:szCs w:val="22"/>
          </w:rPr>
          <w:t>11</w:t>
        </w:r>
        <w:r w:rsidR="00B93281" w:rsidRPr="00B93281">
          <w:rPr>
            <w:noProof/>
            <w:webHidden/>
            <w:sz w:val="22"/>
            <w:szCs w:val="22"/>
          </w:rPr>
          <w:fldChar w:fldCharType="end"/>
        </w:r>
      </w:hyperlink>
    </w:p>
    <w:p w:rsidR="00B93281" w:rsidRPr="00B93281" w:rsidRDefault="005C427D">
      <w:pPr>
        <w:pStyle w:val="Sommario1"/>
        <w:tabs>
          <w:tab w:val="left" w:pos="660"/>
          <w:tab w:val="right" w:leader="dot" w:pos="9628"/>
        </w:tabs>
        <w:rPr>
          <w:rFonts w:asciiTheme="minorHAnsi" w:eastAsiaTheme="minorEastAsia" w:hAnsiTheme="minorHAnsi" w:cstheme="minorBidi"/>
          <w:caps w:val="0"/>
          <w:noProof/>
          <w:sz w:val="22"/>
          <w:szCs w:val="22"/>
          <w:lang w:val="it-CH" w:eastAsia="it-CH"/>
        </w:rPr>
      </w:pPr>
      <w:hyperlink w:anchor="_Toc25743290" w:history="1">
        <w:r w:rsidR="00B93281" w:rsidRPr="00B93281">
          <w:rPr>
            <w:rStyle w:val="Collegamentoipertestuale"/>
            <w:rFonts w:cs="Arial"/>
            <w:noProof/>
            <w:sz w:val="22"/>
            <w:szCs w:val="22"/>
          </w:rPr>
          <w:t>8.</w:t>
        </w:r>
        <w:r w:rsidR="00B93281" w:rsidRPr="00B93281">
          <w:rPr>
            <w:rFonts w:asciiTheme="minorHAnsi" w:eastAsiaTheme="minorEastAsia" w:hAnsiTheme="minorHAnsi" w:cstheme="minorBidi"/>
            <w:caps w:val="0"/>
            <w:noProof/>
            <w:sz w:val="22"/>
            <w:szCs w:val="22"/>
            <w:lang w:val="it-CH" w:eastAsia="it-CH"/>
          </w:rPr>
          <w:tab/>
        </w:r>
        <w:r w:rsidR="00B93281" w:rsidRPr="00B93281">
          <w:rPr>
            <w:rStyle w:val="Collegamentoipertestuale"/>
            <w:rFonts w:cs="Arial"/>
            <w:noProof/>
            <w:sz w:val="22"/>
            <w:szCs w:val="22"/>
          </w:rPr>
          <w:t>CONCLUSIONI</w:t>
        </w:r>
        <w:r w:rsidR="00B93281" w:rsidRPr="00B93281">
          <w:rPr>
            <w:noProof/>
            <w:webHidden/>
            <w:sz w:val="22"/>
            <w:szCs w:val="22"/>
          </w:rPr>
          <w:tab/>
        </w:r>
        <w:r w:rsidR="00B93281" w:rsidRPr="00B93281">
          <w:rPr>
            <w:noProof/>
            <w:webHidden/>
            <w:sz w:val="22"/>
            <w:szCs w:val="22"/>
          </w:rPr>
          <w:fldChar w:fldCharType="begin"/>
        </w:r>
        <w:r w:rsidR="00B93281" w:rsidRPr="00B93281">
          <w:rPr>
            <w:noProof/>
            <w:webHidden/>
            <w:sz w:val="22"/>
            <w:szCs w:val="22"/>
          </w:rPr>
          <w:instrText xml:space="preserve"> PAGEREF _Toc25743290 \h </w:instrText>
        </w:r>
        <w:r w:rsidR="00B93281" w:rsidRPr="00B93281">
          <w:rPr>
            <w:noProof/>
            <w:webHidden/>
            <w:sz w:val="22"/>
            <w:szCs w:val="22"/>
          </w:rPr>
        </w:r>
        <w:r w:rsidR="00B93281" w:rsidRPr="00B93281">
          <w:rPr>
            <w:noProof/>
            <w:webHidden/>
            <w:sz w:val="22"/>
            <w:szCs w:val="22"/>
          </w:rPr>
          <w:fldChar w:fldCharType="separate"/>
        </w:r>
        <w:r w:rsidR="002B6200">
          <w:rPr>
            <w:noProof/>
            <w:webHidden/>
            <w:sz w:val="22"/>
            <w:szCs w:val="22"/>
          </w:rPr>
          <w:t>11</w:t>
        </w:r>
        <w:r w:rsidR="00B93281" w:rsidRPr="00B93281">
          <w:rPr>
            <w:noProof/>
            <w:webHidden/>
            <w:sz w:val="22"/>
            <w:szCs w:val="22"/>
          </w:rPr>
          <w:fldChar w:fldCharType="end"/>
        </w:r>
      </w:hyperlink>
    </w:p>
    <w:p w:rsidR="00B93281" w:rsidRPr="00B93281" w:rsidRDefault="005C427D">
      <w:pPr>
        <w:pStyle w:val="Sommario1"/>
        <w:tabs>
          <w:tab w:val="left" w:pos="660"/>
          <w:tab w:val="right" w:leader="dot" w:pos="9628"/>
        </w:tabs>
        <w:rPr>
          <w:rFonts w:asciiTheme="minorHAnsi" w:eastAsiaTheme="minorEastAsia" w:hAnsiTheme="minorHAnsi" w:cstheme="minorBidi"/>
          <w:caps w:val="0"/>
          <w:noProof/>
          <w:sz w:val="22"/>
          <w:szCs w:val="22"/>
          <w:lang w:val="it-CH" w:eastAsia="it-CH"/>
        </w:rPr>
      </w:pPr>
      <w:hyperlink w:anchor="_Toc25743291" w:history="1">
        <w:r w:rsidR="00B93281" w:rsidRPr="00B93281">
          <w:rPr>
            <w:rStyle w:val="Collegamentoipertestuale"/>
            <w:noProof/>
            <w:sz w:val="22"/>
            <w:szCs w:val="22"/>
          </w:rPr>
          <w:t>9.</w:t>
        </w:r>
        <w:r w:rsidR="00B93281" w:rsidRPr="00B93281">
          <w:rPr>
            <w:rFonts w:asciiTheme="minorHAnsi" w:eastAsiaTheme="minorEastAsia" w:hAnsiTheme="minorHAnsi" w:cstheme="minorBidi"/>
            <w:caps w:val="0"/>
            <w:noProof/>
            <w:sz w:val="22"/>
            <w:szCs w:val="22"/>
            <w:lang w:val="it-CH" w:eastAsia="it-CH"/>
          </w:rPr>
          <w:tab/>
        </w:r>
        <w:r w:rsidR="00B93281" w:rsidRPr="00B93281">
          <w:rPr>
            <w:rStyle w:val="Collegamentoipertestuale"/>
            <w:noProof/>
            <w:sz w:val="22"/>
            <w:szCs w:val="22"/>
          </w:rPr>
          <w:t>Emendamenti</w:t>
        </w:r>
        <w:r w:rsidR="00B93281" w:rsidRPr="00B93281">
          <w:rPr>
            <w:noProof/>
            <w:webHidden/>
            <w:sz w:val="22"/>
            <w:szCs w:val="22"/>
          </w:rPr>
          <w:tab/>
        </w:r>
        <w:r w:rsidR="00B93281" w:rsidRPr="00B93281">
          <w:rPr>
            <w:noProof/>
            <w:webHidden/>
            <w:sz w:val="22"/>
            <w:szCs w:val="22"/>
          </w:rPr>
          <w:fldChar w:fldCharType="begin"/>
        </w:r>
        <w:r w:rsidR="00B93281" w:rsidRPr="00B93281">
          <w:rPr>
            <w:noProof/>
            <w:webHidden/>
            <w:sz w:val="22"/>
            <w:szCs w:val="22"/>
          </w:rPr>
          <w:instrText xml:space="preserve"> PAGEREF _Toc25743291 \h </w:instrText>
        </w:r>
        <w:r w:rsidR="00B93281" w:rsidRPr="00B93281">
          <w:rPr>
            <w:noProof/>
            <w:webHidden/>
            <w:sz w:val="22"/>
            <w:szCs w:val="22"/>
          </w:rPr>
        </w:r>
        <w:r w:rsidR="00B93281" w:rsidRPr="00B93281">
          <w:rPr>
            <w:noProof/>
            <w:webHidden/>
            <w:sz w:val="22"/>
            <w:szCs w:val="22"/>
          </w:rPr>
          <w:fldChar w:fldCharType="separate"/>
        </w:r>
        <w:r w:rsidR="002B6200">
          <w:rPr>
            <w:noProof/>
            <w:webHidden/>
            <w:sz w:val="22"/>
            <w:szCs w:val="22"/>
          </w:rPr>
          <w:t>12</w:t>
        </w:r>
        <w:r w:rsidR="00B93281" w:rsidRPr="00B93281">
          <w:rPr>
            <w:noProof/>
            <w:webHidden/>
            <w:sz w:val="22"/>
            <w:szCs w:val="22"/>
          </w:rPr>
          <w:fldChar w:fldCharType="end"/>
        </w:r>
      </w:hyperlink>
    </w:p>
    <w:p w:rsidR="001954C9" w:rsidRDefault="00B93281" w:rsidP="001954C9">
      <w:pPr>
        <w:rPr>
          <w:rFonts w:cs="Arial"/>
          <w:sz w:val="22"/>
        </w:rPr>
      </w:pPr>
      <w:r w:rsidRPr="00B93281">
        <w:rPr>
          <w:rFonts w:cs="Arial"/>
          <w:sz w:val="22"/>
        </w:rPr>
        <w:fldChar w:fldCharType="end"/>
      </w:r>
    </w:p>
    <w:p w:rsidR="00B93281" w:rsidRPr="00E039F9" w:rsidRDefault="00B93281" w:rsidP="001954C9">
      <w:pPr>
        <w:rPr>
          <w:rFonts w:cs="Arial"/>
        </w:rPr>
      </w:pPr>
    </w:p>
    <w:p w:rsidR="001954C9" w:rsidRDefault="001954C9" w:rsidP="001954C9"/>
    <w:p w:rsidR="001954C9" w:rsidRDefault="001954C9" w:rsidP="001954C9">
      <w:pPr>
        <w:jc w:val="center"/>
        <w:rPr>
          <w:sz w:val="28"/>
        </w:rPr>
      </w:pPr>
      <w:r>
        <w:rPr>
          <w:sz w:val="28"/>
        </w:rPr>
        <w:fldChar w:fldCharType="begin"/>
      </w:r>
      <w:r>
        <w:rPr>
          <w:sz w:val="28"/>
        </w:rPr>
        <w:instrText>SYMBOL 175 \f "Wingdings"</w:instrText>
      </w:r>
      <w:r>
        <w:rPr>
          <w:sz w:val="28"/>
        </w:rPr>
        <w:fldChar w:fldCharType="end"/>
      </w:r>
      <w:r>
        <w:rPr>
          <w:sz w:val="28"/>
        </w:rPr>
        <w:t xml:space="preserve"> </w:t>
      </w:r>
      <w:r>
        <w:rPr>
          <w:sz w:val="28"/>
        </w:rPr>
        <w:fldChar w:fldCharType="begin"/>
      </w:r>
      <w:r>
        <w:rPr>
          <w:sz w:val="28"/>
        </w:rPr>
        <w:instrText>SYMBOL 175 \f "Wingdings"</w:instrText>
      </w:r>
      <w:r>
        <w:rPr>
          <w:sz w:val="28"/>
        </w:rPr>
        <w:fldChar w:fldCharType="end"/>
      </w:r>
      <w:r>
        <w:rPr>
          <w:sz w:val="28"/>
        </w:rPr>
        <w:t xml:space="preserve"> </w:t>
      </w:r>
      <w:r>
        <w:rPr>
          <w:sz w:val="28"/>
        </w:rPr>
        <w:fldChar w:fldCharType="begin"/>
      </w:r>
      <w:r>
        <w:rPr>
          <w:sz w:val="28"/>
        </w:rPr>
        <w:instrText>SYMBOL 175 \f "Wingdings"</w:instrText>
      </w:r>
      <w:r>
        <w:rPr>
          <w:sz w:val="28"/>
        </w:rPr>
        <w:fldChar w:fldCharType="end"/>
      </w:r>
      <w:r>
        <w:rPr>
          <w:sz w:val="28"/>
        </w:rPr>
        <w:t xml:space="preserve"> </w:t>
      </w:r>
      <w:r>
        <w:rPr>
          <w:sz w:val="28"/>
        </w:rPr>
        <w:fldChar w:fldCharType="begin"/>
      </w:r>
      <w:r>
        <w:rPr>
          <w:sz w:val="28"/>
        </w:rPr>
        <w:instrText>SYMBOL 175 \f "Wingdings"</w:instrText>
      </w:r>
      <w:r>
        <w:rPr>
          <w:sz w:val="28"/>
        </w:rPr>
        <w:fldChar w:fldCharType="end"/>
      </w:r>
      <w:r>
        <w:rPr>
          <w:sz w:val="28"/>
        </w:rPr>
        <w:t xml:space="preserve"> </w:t>
      </w:r>
      <w:r>
        <w:rPr>
          <w:sz w:val="28"/>
        </w:rPr>
        <w:fldChar w:fldCharType="begin"/>
      </w:r>
      <w:r>
        <w:rPr>
          <w:sz w:val="28"/>
        </w:rPr>
        <w:instrText>SYMBOL 175 \f "Wingdings"</w:instrText>
      </w:r>
      <w:r>
        <w:rPr>
          <w:sz w:val="28"/>
        </w:rPr>
        <w:fldChar w:fldCharType="end"/>
      </w:r>
    </w:p>
    <w:p w:rsidR="001954C9" w:rsidRDefault="001954C9" w:rsidP="001954C9"/>
    <w:p w:rsidR="001954C9" w:rsidRDefault="001954C9" w:rsidP="001954C9">
      <w:pPr>
        <w:rPr>
          <w:rFonts w:cs="Arial"/>
        </w:rPr>
      </w:pPr>
    </w:p>
    <w:p w:rsidR="00194073" w:rsidRDefault="00194073" w:rsidP="001954C9">
      <w:pPr>
        <w:rPr>
          <w:rFonts w:cs="Arial"/>
        </w:rPr>
      </w:pPr>
    </w:p>
    <w:p w:rsidR="001954C9" w:rsidRPr="001638CD" w:rsidRDefault="001954C9" w:rsidP="001954C9">
      <w:pPr>
        <w:rPr>
          <w:rFonts w:cs="Arial"/>
        </w:rPr>
      </w:pPr>
    </w:p>
    <w:p w:rsidR="001954C9" w:rsidRPr="001638CD" w:rsidRDefault="001954C9" w:rsidP="001954C9">
      <w:pPr>
        <w:pStyle w:val="Titolo1"/>
        <w:rPr>
          <w:rFonts w:cs="Arial"/>
        </w:rPr>
      </w:pPr>
      <w:bookmarkStart w:id="2" w:name="_Toc24103850"/>
      <w:bookmarkStart w:id="3" w:name="_Toc25743279"/>
      <w:r w:rsidRPr="001638CD">
        <w:rPr>
          <w:rFonts w:cs="Arial"/>
        </w:rPr>
        <w:t>INTRODUZIONE</w:t>
      </w:r>
      <w:bookmarkEnd w:id="2"/>
      <w:bookmarkEnd w:id="3"/>
    </w:p>
    <w:p w:rsidR="001954C9" w:rsidRPr="009A1791" w:rsidRDefault="001954C9" w:rsidP="001954C9">
      <w:pPr>
        <w:tabs>
          <w:tab w:val="left" w:pos="426"/>
        </w:tabs>
        <w:rPr>
          <w:lang w:val="it-IT"/>
        </w:rPr>
      </w:pPr>
      <w:r w:rsidRPr="009A1791">
        <w:rPr>
          <w:lang w:val="it-IT"/>
        </w:rPr>
        <w:t>La politica economica regionale è da diversi anni un elemento centrale della strategia di sviluppo economico del Cantone Ticino che si focalizza su tre assi principali: la promozione dell’innovazione, del turismo e delle regioni periferiche.</w:t>
      </w:r>
    </w:p>
    <w:p w:rsidR="001954C9" w:rsidRPr="009A1791" w:rsidRDefault="001954C9" w:rsidP="001954C9">
      <w:pPr>
        <w:tabs>
          <w:tab w:val="left" w:pos="426"/>
        </w:tabs>
        <w:rPr>
          <w:lang w:val="it-IT"/>
        </w:rPr>
      </w:pPr>
    </w:p>
    <w:p w:rsidR="001954C9" w:rsidRDefault="001954C9" w:rsidP="00955F4A">
      <w:pPr>
        <w:rPr>
          <w:lang w:val="it-IT" w:eastAsia="it-IT"/>
        </w:rPr>
      </w:pPr>
      <w:r w:rsidRPr="009A1791">
        <w:rPr>
          <w:lang w:val="it-IT" w:eastAsia="it-IT"/>
        </w:rPr>
        <w:t xml:space="preserve">Il programma d’attuazione della </w:t>
      </w:r>
      <w:r w:rsidRPr="00B451F9">
        <w:rPr>
          <w:lang w:val="it-IT" w:eastAsia="it-IT"/>
        </w:rPr>
        <w:t>politica economica regionale 2020-2023 (</w:t>
      </w:r>
      <w:proofErr w:type="spellStart"/>
      <w:r w:rsidRPr="00B451F9">
        <w:rPr>
          <w:lang w:val="it-IT" w:eastAsia="it-IT"/>
        </w:rPr>
        <w:t>PdA</w:t>
      </w:r>
      <w:proofErr w:type="spellEnd"/>
      <w:r w:rsidRPr="00B451F9">
        <w:rPr>
          <w:lang w:val="it-IT" w:eastAsia="it-IT"/>
        </w:rPr>
        <w:t xml:space="preserve"> 20-23) – documento strategico elaborato sulla base delle indicazioni fornite dalla Segreteria di Stato dell’economia (SECO) – è stato approvato dal Consiglio di Stato il 3 luglio 2019. Il messaggio in oggetto richiede un credito quadro di 40 milioni di franchi per attuare misure di sostegno allo sviluppo economico cantonale nel quadriennio 2020-2023, suddivisi in 27 milioni per misure di politica economica regionale (PER) conformi alla legge d’applicazione della legge federale sulla politica regionale e 13 milioni per misure complementari cantonali. Accanto al credito quadro cantonale si aggiungerà il credito federale che sarà concesso dalla Segreteria di Stato dell'economia (SECO).</w:t>
      </w:r>
    </w:p>
    <w:p w:rsidR="00B93281" w:rsidRPr="00B451F9" w:rsidRDefault="00B93281" w:rsidP="00955F4A">
      <w:pPr>
        <w:rPr>
          <w:lang w:val="it-IT" w:eastAsia="it-IT"/>
        </w:rPr>
      </w:pPr>
    </w:p>
    <w:p w:rsidR="002E22F1" w:rsidRDefault="002E22F1">
      <w:r>
        <w:br w:type="page"/>
      </w:r>
    </w:p>
    <w:p w:rsidR="001954C9" w:rsidRPr="001638CD" w:rsidRDefault="001954C9" w:rsidP="001954C9">
      <w:pPr>
        <w:pStyle w:val="Titolo1"/>
        <w:rPr>
          <w:rFonts w:cs="Arial"/>
        </w:rPr>
      </w:pPr>
      <w:bookmarkStart w:id="4" w:name="_Toc24103851"/>
      <w:bookmarkStart w:id="5" w:name="_Toc25743280"/>
      <w:r w:rsidRPr="001638CD">
        <w:rPr>
          <w:rFonts w:cs="Arial"/>
        </w:rPr>
        <w:lastRenderedPageBreak/>
        <w:t>IL PERIODO 2016-2019: UN QUADRIENNIO POSITIVO</w:t>
      </w:r>
      <w:bookmarkEnd w:id="4"/>
      <w:bookmarkEnd w:id="5"/>
    </w:p>
    <w:p w:rsidR="001954C9" w:rsidRPr="009A1791" w:rsidRDefault="001954C9" w:rsidP="001954C9">
      <w:pPr>
        <w:tabs>
          <w:tab w:val="left" w:pos="426"/>
        </w:tabs>
        <w:rPr>
          <w:lang w:val="it-IT"/>
        </w:rPr>
      </w:pPr>
      <w:r w:rsidRPr="009A1791">
        <w:rPr>
          <w:lang w:val="it-IT"/>
        </w:rPr>
        <w:t xml:space="preserve">Il periodo 2016-2019 è senz’altro da considerare come un quadriennio positivo, durante il quale sono stati raggiunti importanti obiettivi negli ambiti del sostegno alle piccole e medie imprese (PMI), al turismo e al riposizionamento delle regioni periferiche. </w:t>
      </w:r>
    </w:p>
    <w:p w:rsidR="001954C9" w:rsidRPr="009A1791" w:rsidRDefault="001954C9" w:rsidP="001954C9">
      <w:pPr>
        <w:tabs>
          <w:tab w:val="left" w:pos="426"/>
        </w:tabs>
        <w:rPr>
          <w:lang w:val="it-IT"/>
        </w:rPr>
      </w:pPr>
    </w:p>
    <w:p w:rsidR="001954C9" w:rsidRPr="009A1791" w:rsidRDefault="001954C9" w:rsidP="001954C9">
      <w:pPr>
        <w:tabs>
          <w:tab w:val="left" w:pos="426"/>
        </w:tabs>
        <w:rPr>
          <w:lang w:val="it-IT"/>
        </w:rPr>
      </w:pPr>
      <w:r w:rsidRPr="009A1791">
        <w:rPr>
          <w:lang w:val="it-IT"/>
        </w:rPr>
        <w:t>Per una retrospettiva più puntuale dei risultati ottenuti, degli obiettivi raggiunti e la relativa allocazione delle risorse finanziarie, a complemento del messaggio governativo, ci riferiamo ai rapporti annuali che il Consiglio di Stato invia regolarmente a tutti i deputati in Gran Consiglio:</w:t>
      </w:r>
    </w:p>
    <w:p w:rsidR="001954C9" w:rsidRPr="009A1791" w:rsidRDefault="001954C9" w:rsidP="001954C9">
      <w:pPr>
        <w:tabs>
          <w:tab w:val="left" w:pos="426"/>
        </w:tabs>
        <w:rPr>
          <w:lang w:val="it-IT"/>
        </w:rPr>
      </w:pPr>
      <w:r w:rsidRPr="009A1791">
        <w:rPr>
          <w:lang w:val="it-IT"/>
        </w:rPr>
        <w:t>Rendiconto PER 2016, inviato al GC l’11 luglio 2017, con focus sui progetti più importanti.</w:t>
      </w:r>
    </w:p>
    <w:p w:rsidR="001954C9" w:rsidRPr="009A1791" w:rsidRDefault="001954C9" w:rsidP="001954C9">
      <w:pPr>
        <w:tabs>
          <w:tab w:val="left" w:pos="426"/>
        </w:tabs>
        <w:rPr>
          <w:lang w:val="it-IT"/>
        </w:rPr>
      </w:pPr>
      <w:r w:rsidRPr="009A1791">
        <w:rPr>
          <w:lang w:val="it-IT"/>
        </w:rPr>
        <w:t>Rendiconto PER 2017, inviato al GC il 4 luglio 2018, con focus sui progetti più importanti.</w:t>
      </w:r>
    </w:p>
    <w:p w:rsidR="001954C9" w:rsidRPr="009A1791" w:rsidRDefault="001954C9" w:rsidP="001954C9">
      <w:pPr>
        <w:tabs>
          <w:tab w:val="left" w:pos="426"/>
        </w:tabs>
        <w:rPr>
          <w:lang w:val="it-IT"/>
        </w:rPr>
      </w:pPr>
      <w:r w:rsidRPr="009A1791">
        <w:rPr>
          <w:lang w:val="it-IT"/>
        </w:rPr>
        <w:t xml:space="preserve">Rendiconto finale 2016-2019 provvisorio, con focus sui progetti più importanti, inviato alla SECO il 25 luglio (al GC verrà inoltrato il rapporto definitivo, che sarà inviato alla SECO a fine febbraio 2020). Su questo documento occorre fare </w:t>
      </w:r>
      <w:proofErr w:type="spellStart"/>
      <w:r w:rsidRPr="009A1791">
        <w:rPr>
          <w:lang w:val="it-IT"/>
        </w:rPr>
        <w:t>attentione</w:t>
      </w:r>
      <w:proofErr w:type="spellEnd"/>
      <w:r w:rsidRPr="009A1791">
        <w:rPr>
          <w:lang w:val="it-IT"/>
        </w:rPr>
        <w:t xml:space="preserve"> che, trattandosi di un documento provvisorio, i dati sono aggiornati al 31 maggio 2019, mentre quelli del messaggio sono aggiornati a fine agosto. Le principali evidenze di questo rendiconto provvisorio sono confluite nel capitolo 1 del programma d’attuazione della politica economica regionale 2020-2023, che contempla una retrospettiva generale del periodo 2016-2019, un’analisi sull’attuazione per i singoli obiettivi e una riflessione critica sulle conseguenze sul prossimo periodo 2020-2023.</w:t>
      </w:r>
    </w:p>
    <w:p w:rsidR="001954C9" w:rsidRPr="009A1791" w:rsidRDefault="001954C9" w:rsidP="001954C9">
      <w:pPr>
        <w:tabs>
          <w:tab w:val="left" w:pos="426"/>
        </w:tabs>
        <w:rPr>
          <w:lang w:val="it-IT"/>
        </w:rPr>
      </w:pPr>
    </w:p>
    <w:p w:rsidR="001954C9" w:rsidRPr="009A1791" w:rsidRDefault="001954C9" w:rsidP="001954C9">
      <w:pPr>
        <w:tabs>
          <w:tab w:val="left" w:pos="426"/>
        </w:tabs>
        <w:rPr>
          <w:lang w:val="it-IT"/>
        </w:rPr>
      </w:pPr>
      <w:r w:rsidRPr="009A1791">
        <w:rPr>
          <w:lang w:val="it-IT"/>
        </w:rPr>
        <w:t xml:space="preserve">Nell’ambito del sostegno alle PMI è stato consolidato il sistema regionale dell’innovazione, ormai sempre più riconosciuto nel panorama cantonale e nazionale. È stato inoltre possibile sostenere una ventina di progetti e raggiungere una moltitudine di beneficiari, ciò che ha comportato l’esaurimento pressoché totale dei mezzi finanziari disponibili. Si segnalano altresì i numerosi sforzi compiuti a sostegno delle start-up, ad esempio con il lancio del nuovo programma di accelerazione </w:t>
      </w:r>
      <w:proofErr w:type="spellStart"/>
      <w:r w:rsidRPr="009A1791">
        <w:rPr>
          <w:lang w:val="it-IT"/>
        </w:rPr>
        <w:t>Boldbrain</w:t>
      </w:r>
      <w:proofErr w:type="spellEnd"/>
      <w:r w:rsidRPr="009A1791">
        <w:rPr>
          <w:lang w:val="it-IT"/>
        </w:rPr>
        <w:t xml:space="preserve"> Startup Challenge.</w:t>
      </w:r>
    </w:p>
    <w:p w:rsidR="001954C9" w:rsidRPr="009A1791" w:rsidRDefault="001954C9" w:rsidP="001954C9">
      <w:pPr>
        <w:tabs>
          <w:tab w:val="left" w:pos="426"/>
        </w:tabs>
        <w:rPr>
          <w:lang w:val="it-IT"/>
        </w:rPr>
      </w:pPr>
    </w:p>
    <w:p w:rsidR="001954C9" w:rsidRPr="009A1791" w:rsidRDefault="001954C9" w:rsidP="001954C9">
      <w:pPr>
        <w:tabs>
          <w:tab w:val="left" w:pos="426"/>
        </w:tabs>
        <w:rPr>
          <w:lang w:val="it-IT"/>
        </w:rPr>
      </w:pPr>
      <w:r w:rsidRPr="009A1791">
        <w:rPr>
          <w:lang w:val="it-IT"/>
        </w:rPr>
        <w:t>Per quanto riguarda il turismo si ricorda che il Cantone si è dotato di una nuova Legge sul turismo nel 2015, ciò che ha richiesto un certo periodo di rodaggio. Nell’ambito della promozione del turismo sono stati stanziati meno sussidi di quanto ipotizzato, in particolare poiché alcuni progetti hanno vissuto una fase di progettazione più estesa, ciò che non ha permesso una loro concretizzazione nei tempi previsti. Per contro, l’iniziativa Ticino Ticket ha riscosso un importante successo, contribuendo in modo concreto a ridare slancio all’intero settore turistico ticinese e a generare indotto sul territorio. Si segnala anche il generale apprezzamento nei confronti delle offerte di formazione proposte agli operatori turistici, così come della nuova figura professionale dell’</w:t>
      </w:r>
      <w:proofErr w:type="spellStart"/>
      <w:r w:rsidRPr="009A1791">
        <w:rPr>
          <w:lang w:val="it-IT"/>
        </w:rPr>
        <w:t>Hospitality</w:t>
      </w:r>
      <w:proofErr w:type="spellEnd"/>
      <w:r w:rsidRPr="009A1791">
        <w:rPr>
          <w:lang w:val="it-IT"/>
        </w:rPr>
        <w:t xml:space="preserve"> Manager.</w:t>
      </w:r>
    </w:p>
    <w:p w:rsidR="001954C9" w:rsidRPr="009A1791" w:rsidRDefault="001954C9" w:rsidP="001954C9">
      <w:pPr>
        <w:tabs>
          <w:tab w:val="left" w:pos="426"/>
        </w:tabs>
        <w:rPr>
          <w:lang w:val="it-IT"/>
        </w:rPr>
      </w:pPr>
    </w:p>
    <w:p w:rsidR="001954C9" w:rsidRPr="009A1791" w:rsidRDefault="001954C9" w:rsidP="001954C9">
      <w:pPr>
        <w:tabs>
          <w:tab w:val="left" w:pos="426"/>
        </w:tabs>
        <w:rPr>
          <w:lang w:val="it-IT"/>
        </w:rPr>
      </w:pPr>
      <w:r w:rsidRPr="009A1791">
        <w:rPr>
          <w:lang w:val="it-IT"/>
        </w:rPr>
        <w:t xml:space="preserve">Il quadriennio in corso è stato sostanzialmente positivo per il riposizionamento delle regioni periferiche. La fase di elaborazione e condivisione dei </w:t>
      </w:r>
      <w:proofErr w:type="spellStart"/>
      <w:r w:rsidRPr="009A1791">
        <w:rPr>
          <w:lang w:val="it-IT"/>
        </w:rPr>
        <w:t>masterplan</w:t>
      </w:r>
      <w:proofErr w:type="spellEnd"/>
      <w:r w:rsidRPr="009A1791">
        <w:rPr>
          <w:lang w:val="it-IT"/>
        </w:rPr>
        <w:t xml:space="preserve"> è stata terminata con successo nelle regioni interessate – Valle di Blenio, Valle </w:t>
      </w:r>
      <w:proofErr w:type="spellStart"/>
      <w:r w:rsidRPr="009A1791">
        <w:rPr>
          <w:lang w:val="it-IT"/>
        </w:rPr>
        <w:t>Verzasca</w:t>
      </w:r>
      <w:proofErr w:type="spellEnd"/>
      <w:r w:rsidRPr="009A1791">
        <w:rPr>
          <w:lang w:val="it-IT"/>
        </w:rPr>
        <w:t xml:space="preserve">, Alta </w:t>
      </w:r>
      <w:proofErr w:type="spellStart"/>
      <w:r w:rsidRPr="009A1791">
        <w:rPr>
          <w:lang w:val="it-IT"/>
        </w:rPr>
        <w:t>Vallemaggia</w:t>
      </w:r>
      <w:proofErr w:type="spellEnd"/>
      <w:r w:rsidRPr="009A1791">
        <w:rPr>
          <w:lang w:val="it-IT"/>
        </w:rPr>
        <w:t xml:space="preserve">, </w:t>
      </w:r>
      <w:proofErr w:type="spellStart"/>
      <w:r w:rsidRPr="009A1791">
        <w:rPr>
          <w:lang w:val="it-IT"/>
        </w:rPr>
        <w:t>Centovalli</w:t>
      </w:r>
      <w:proofErr w:type="spellEnd"/>
      <w:r w:rsidRPr="009A1791">
        <w:rPr>
          <w:lang w:val="it-IT"/>
        </w:rPr>
        <w:t xml:space="preserve"> e Valle </w:t>
      </w:r>
      <w:proofErr w:type="spellStart"/>
      <w:r w:rsidRPr="009A1791">
        <w:rPr>
          <w:lang w:val="it-IT"/>
        </w:rPr>
        <w:t>Onsernone</w:t>
      </w:r>
      <w:proofErr w:type="spellEnd"/>
      <w:r w:rsidRPr="009A1791">
        <w:rPr>
          <w:lang w:val="it-IT"/>
        </w:rPr>
        <w:t xml:space="preserve"> – e si sta ora passando alla concretizzazione dei progetti faro.</w:t>
      </w:r>
    </w:p>
    <w:p w:rsidR="001954C9" w:rsidRPr="009A1791" w:rsidRDefault="001954C9" w:rsidP="001954C9">
      <w:pPr>
        <w:tabs>
          <w:tab w:val="left" w:pos="426"/>
        </w:tabs>
        <w:rPr>
          <w:lang w:val="it-IT"/>
        </w:rPr>
      </w:pPr>
    </w:p>
    <w:p w:rsidR="001954C9" w:rsidRPr="009A1791" w:rsidRDefault="001954C9" w:rsidP="001954C9">
      <w:pPr>
        <w:tabs>
          <w:tab w:val="left" w:pos="426"/>
        </w:tabs>
        <w:rPr>
          <w:lang w:val="it-IT"/>
        </w:rPr>
      </w:pPr>
      <w:r w:rsidRPr="009A1791">
        <w:rPr>
          <w:lang w:val="it-IT"/>
        </w:rPr>
        <w:t>L’utilizzo dei mezzi finanziari disponibili nel quadriennio in corso è riassunto nella tabella seguente. Da segnalare che il credito disponibile non è stato consumato nella sua totalità.</w:t>
      </w:r>
    </w:p>
    <w:p w:rsidR="001954C9" w:rsidRDefault="001954C9" w:rsidP="001954C9">
      <w:pPr>
        <w:tabs>
          <w:tab w:val="left" w:pos="426"/>
        </w:tabs>
      </w:pPr>
    </w:p>
    <w:p w:rsidR="001954C9" w:rsidRPr="00917E5A" w:rsidRDefault="001954C9" w:rsidP="001954C9">
      <w:pPr>
        <w:jc w:val="center"/>
        <w:rPr>
          <w:rFonts w:eastAsia="Calibri"/>
        </w:rPr>
      </w:pPr>
      <w:r w:rsidRPr="00D04CF1">
        <w:rPr>
          <w:rFonts w:eastAsia="Calibri"/>
          <w:noProof/>
          <w:lang w:eastAsia="it-CH"/>
        </w:rPr>
        <w:lastRenderedPageBreak/>
        <w:drawing>
          <wp:inline distT="0" distB="0" distL="0" distR="0" wp14:anchorId="15F2F883" wp14:editId="253483FF">
            <wp:extent cx="6118860" cy="4274820"/>
            <wp:effectExtent l="0" t="0" r="0" b="0"/>
            <wp:docPr id="1"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8860" cy="4274820"/>
                    </a:xfrm>
                    <a:prstGeom prst="rect">
                      <a:avLst/>
                    </a:prstGeom>
                    <a:noFill/>
                    <a:ln>
                      <a:noFill/>
                    </a:ln>
                  </pic:spPr>
                </pic:pic>
              </a:graphicData>
            </a:graphic>
          </wp:inline>
        </w:drawing>
      </w:r>
    </w:p>
    <w:p w:rsidR="001954C9" w:rsidRPr="002A31CB" w:rsidRDefault="001954C9" w:rsidP="001954C9">
      <w:pPr>
        <w:jc w:val="right"/>
        <w:rPr>
          <w:rFonts w:eastAsia="Calibri"/>
          <w:i/>
          <w:sz w:val="16"/>
          <w:szCs w:val="16"/>
        </w:rPr>
      </w:pPr>
      <w:r w:rsidRPr="002A31CB">
        <w:rPr>
          <w:rFonts w:eastAsia="Calibri"/>
          <w:i/>
          <w:sz w:val="16"/>
          <w:szCs w:val="16"/>
        </w:rPr>
        <w:t>Tabella 1 - stato al 31 agosto 2019</w:t>
      </w:r>
    </w:p>
    <w:p w:rsidR="001954C9" w:rsidRPr="002A31CB" w:rsidRDefault="001954C9" w:rsidP="001954C9">
      <w:pPr>
        <w:jc w:val="right"/>
        <w:rPr>
          <w:rFonts w:eastAsia="Calibri"/>
          <w:i/>
          <w:sz w:val="16"/>
          <w:szCs w:val="16"/>
          <w:highlight w:val="red"/>
        </w:rPr>
      </w:pPr>
      <w:r w:rsidRPr="002A31CB">
        <w:rPr>
          <w:rFonts w:eastAsia="Calibri"/>
          <w:i/>
          <w:sz w:val="16"/>
          <w:szCs w:val="16"/>
        </w:rPr>
        <w:t>*stima fondi previsti per progetti finanziati entro fine il 31 dicembre 2019</w:t>
      </w:r>
    </w:p>
    <w:p w:rsidR="001954C9" w:rsidRPr="002A31CB" w:rsidRDefault="001954C9" w:rsidP="001954C9">
      <w:pPr>
        <w:tabs>
          <w:tab w:val="left" w:pos="426"/>
        </w:tabs>
        <w:rPr>
          <w:rFonts w:eastAsia="Calibri"/>
          <w:sz w:val="21"/>
          <w:szCs w:val="16"/>
        </w:rPr>
      </w:pPr>
    </w:p>
    <w:p w:rsidR="001954C9" w:rsidRDefault="001954C9" w:rsidP="001954C9">
      <w:pPr>
        <w:tabs>
          <w:tab w:val="left" w:pos="426"/>
        </w:tabs>
        <w:rPr>
          <w:rFonts w:eastAsia="Calibri"/>
        </w:rPr>
      </w:pPr>
    </w:p>
    <w:p w:rsidR="001954C9" w:rsidRPr="009A1791" w:rsidRDefault="001954C9" w:rsidP="001954C9">
      <w:pPr>
        <w:tabs>
          <w:tab w:val="left" w:pos="426"/>
        </w:tabs>
        <w:rPr>
          <w:lang w:val="it-IT"/>
        </w:rPr>
      </w:pPr>
      <w:r w:rsidRPr="009A1791">
        <w:rPr>
          <w:lang w:val="it-IT"/>
        </w:rPr>
        <w:t xml:space="preserve">Per quanto riguarda il DL complementare, esso si è confermato un importante strumento a disposizione degli Enti regionali per lo sviluppo (ERS) per sostenere lo sviluppo regionale. Si segnala in particolare il finanziamento di rilevanti iniziative quali la ristrutturazione del </w:t>
      </w:r>
      <w:proofErr w:type="spellStart"/>
      <w:r w:rsidRPr="009A1791">
        <w:rPr>
          <w:lang w:val="it-IT"/>
        </w:rPr>
        <w:t>GranRex</w:t>
      </w:r>
      <w:proofErr w:type="spellEnd"/>
      <w:r w:rsidRPr="009A1791">
        <w:rPr>
          <w:lang w:val="it-IT"/>
        </w:rPr>
        <w:t xml:space="preserve"> a Locarno e quella di Casa </w:t>
      </w:r>
      <w:proofErr w:type="spellStart"/>
      <w:r w:rsidRPr="009A1791">
        <w:rPr>
          <w:lang w:val="it-IT"/>
        </w:rPr>
        <w:t>Begnudini</w:t>
      </w:r>
      <w:proofErr w:type="spellEnd"/>
      <w:r w:rsidRPr="009A1791">
        <w:rPr>
          <w:lang w:val="it-IT"/>
        </w:rPr>
        <w:t xml:space="preserve"> in Valle </w:t>
      </w:r>
      <w:proofErr w:type="spellStart"/>
      <w:r w:rsidRPr="009A1791">
        <w:rPr>
          <w:lang w:val="it-IT"/>
        </w:rPr>
        <w:t>Bavona</w:t>
      </w:r>
      <w:proofErr w:type="spellEnd"/>
      <w:r w:rsidRPr="009A1791">
        <w:rPr>
          <w:lang w:val="it-IT"/>
        </w:rPr>
        <w:t>. Si è inoltre proceduto con il finanziamento della manutenzione degli impianti di risalita “minori”.</w:t>
      </w:r>
    </w:p>
    <w:p w:rsidR="001954C9" w:rsidRPr="009A1791" w:rsidRDefault="001954C9" w:rsidP="001954C9">
      <w:pPr>
        <w:tabs>
          <w:tab w:val="left" w:pos="426"/>
        </w:tabs>
        <w:rPr>
          <w:lang w:val="it-IT"/>
        </w:rPr>
      </w:pPr>
    </w:p>
    <w:p w:rsidR="001954C9" w:rsidRPr="009A1791" w:rsidRDefault="001954C9" w:rsidP="001954C9">
      <w:pPr>
        <w:tabs>
          <w:tab w:val="left" w:pos="426"/>
        </w:tabs>
        <w:rPr>
          <w:lang w:val="it-IT"/>
        </w:rPr>
      </w:pPr>
      <w:r w:rsidRPr="009A1791">
        <w:rPr>
          <w:lang w:val="it-IT"/>
        </w:rPr>
        <w:t>Anche per il DL complementare non è stata consumata l’intera disponibilità finanziaria. Se da un lato i fondi di promozione regionale degli ERS (fondi FPR) sono stati interamente utilizzati</w:t>
      </w:r>
      <w:r w:rsidRPr="009A1791">
        <w:rPr>
          <w:lang w:val="it-IT"/>
        </w:rPr>
        <w:footnoteReference w:id="1"/>
      </w:r>
      <w:r w:rsidRPr="009A1791">
        <w:rPr>
          <w:lang w:val="it-IT"/>
        </w:rPr>
        <w:t xml:space="preserve">, d’altro lato i finanziamenti previsti per progetti strategici complementari alla PER sono stati utilizzati solo parzialmente. Alcuni progetti inizialmente ipotizzati per il periodo 2016-2019, quali la masseria di </w:t>
      </w:r>
      <w:proofErr w:type="spellStart"/>
      <w:r w:rsidRPr="009A1791">
        <w:rPr>
          <w:lang w:val="it-IT"/>
        </w:rPr>
        <w:t>Vigino</w:t>
      </w:r>
      <w:proofErr w:type="spellEnd"/>
      <w:r w:rsidRPr="009A1791">
        <w:rPr>
          <w:lang w:val="it-IT"/>
        </w:rPr>
        <w:t xml:space="preserve"> oppure il Centro </w:t>
      </w:r>
      <w:proofErr w:type="spellStart"/>
      <w:r w:rsidRPr="009A1791">
        <w:rPr>
          <w:lang w:val="it-IT"/>
        </w:rPr>
        <w:t>Polisport</w:t>
      </w:r>
      <w:proofErr w:type="spellEnd"/>
      <w:r w:rsidRPr="009A1791">
        <w:rPr>
          <w:lang w:val="it-IT"/>
        </w:rPr>
        <w:t xml:space="preserve"> di Blenio, non hanno raggiunto la maturazione necessaria per essere valutati in ottica di un sussidiamento cantonale.</w:t>
      </w:r>
    </w:p>
    <w:p w:rsidR="001954C9" w:rsidRPr="009A1791" w:rsidRDefault="001954C9" w:rsidP="00955F4A">
      <w:pPr>
        <w:tabs>
          <w:tab w:val="left" w:pos="426"/>
        </w:tabs>
        <w:spacing w:before="120"/>
        <w:rPr>
          <w:lang w:val="it-IT"/>
        </w:rPr>
      </w:pPr>
      <w:r w:rsidRPr="009A1791">
        <w:rPr>
          <w:lang w:val="it-IT"/>
        </w:rPr>
        <w:t>La tabella seguente illustra l’utilizzo dei mezzi finanziari del DL complementare.</w:t>
      </w:r>
    </w:p>
    <w:p w:rsidR="001954C9" w:rsidRPr="009A1791" w:rsidRDefault="001954C9" w:rsidP="001954C9">
      <w:pPr>
        <w:tabs>
          <w:tab w:val="left" w:pos="426"/>
        </w:tabs>
        <w:rPr>
          <w:lang w:val="it-IT"/>
        </w:rPr>
      </w:pPr>
    </w:p>
    <w:p w:rsidR="001954C9" w:rsidRDefault="001954C9" w:rsidP="001954C9">
      <w:pPr>
        <w:rPr>
          <w:rFonts w:eastAsia="Calibri"/>
        </w:rPr>
      </w:pPr>
      <w:r w:rsidRPr="002E3CE9">
        <w:rPr>
          <w:rFonts w:eastAsia="Calibri"/>
          <w:noProof/>
          <w:lang w:eastAsia="it-CH"/>
        </w:rPr>
        <w:drawing>
          <wp:inline distT="0" distB="0" distL="0" distR="0" wp14:anchorId="6AB88F46" wp14:editId="455D4EC4">
            <wp:extent cx="6118860" cy="61722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18860" cy="617220"/>
                    </a:xfrm>
                    <a:prstGeom prst="rect">
                      <a:avLst/>
                    </a:prstGeom>
                    <a:noFill/>
                    <a:ln>
                      <a:noFill/>
                    </a:ln>
                  </pic:spPr>
                </pic:pic>
              </a:graphicData>
            </a:graphic>
          </wp:inline>
        </w:drawing>
      </w:r>
    </w:p>
    <w:p w:rsidR="001954C9" w:rsidRPr="002A31CB" w:rsidRDefault="001954C9" w:rsidP="001954C9">
      <w:pPr>
        <w:jc w:val="right"/>
        <w:rPr>
          <w:rFonts w:eastAsia="Calibri"/>
          <w:i/>
          <w:sz w:val="16"/>
          <w:szCs w:val="16"/>
        </w:rPr>
      </w:pPr>
      <w:r w:rsidRPr="002A31CB">
        <w:rPr>
          <w:rFonts w:eastAsia="Calibri"/>
          <w:i/>
          <w:sz w:val="16"/>
          <w:szCs w:val="16"/>
        </w:rPr>
        <w:t>Tabella 2 - stato al 31 agosto 2019</w:t>
      </w:r>
    </w:p>
    <w:p w:rsidR="001954C9" w:rsidRDefault="001954C9" w:rsidP="001954C9">
      <w:pPr>
        <w:jc w:val="right"/>
        <w:rPr>
          <w:rFonts w:eastAsia="Calibri"/>
          <w:i/>
          <w:sz w:val="16"/>
          <w:szCs w:val="16"/>
        </w:rPr>
      </w:pPr>
      <w:r w:rsidRPr="002A31CB">
        <w:rPr>
          <w:rFonts w:eastAsia="Calibri"/>
          <w:i/>
          <w:sz w:val="16"/>
          <w:szCs w:val="16"/>
        </w:rPr>
        <w:t xml:space="preserve">* Ristrutturazione Casa </w:t>
      </w:r>
      <w:proofErr w:type="spellStart"/>
      <w:r w:rsidRPr="002A31CB">
        <w:rPr>
          <w:rFonts w:eastAsia="Calibri"/>
          <w:i/>
          <w:sz w:val="16"/>
          <w:szCs w:val="16"/>
        </w:rPr>
        <w:t>Begnudini</w:t>
      </w:r>
      <w:proofErr w:type="spellEnd"/>
      <w:r w:rsidRPr="002A31CB">
        <w:rPr>
          <w:rFonts w:eastAsia="Calibri"/>
          <w:i/>
          <w:sz w:val="16"/>
          <w:szCs w:val="16"/>
        </w:rPr>
        <w:t xml:space="preserve"> – Fondazione Valle </w:t>
      </w:r>
      <w:proofErr w:type="spellStart"/>
      <w:r w:rsidRPr="002A31CB">
        <w:rPr>
          <w:rFonts w:eastAsia="Calibri"/>
          <w:i/>
          <w:sz w:val="16"/>
          <w:szCs w:val="16"/>
        </w:rPr>
        <w:t>Bavona</w:t>
      </w:r>
      <w:proofErr w:type="spellEnd"/>
    </w:p>
    <w:p w:rsidR="001954C9" w:rsidRPr="001638CD" w:rsidRDefault="001954C9" w:rsidP="001954C9">
      <w:pPr>
        <w:pStyle w:val="Titolo1"/>
        <w:rPr>
          <w:rFonts w:cs="Arial"/>
        </w:rPr>
      </w:pPr>
      <w:r>
        <w:rPr>
          <w:rFonts w:eastAsia="Calibri"/>
          <w:i/>
          <w:sz w:val="16"/>
          <w:szCs w:val="16"/>
          <w:lang w:eastAsia="en-US"/>
        </w:rPr>
        <w:br w:type="page"/>
      </w:r>
      <w:bookmarkStart w:id="6" w:name="_Toc24103852"/>
      <w:bookmarkStart w:id="7" w:name="_Toc25743281"/>
      <w:r w:rsidRPr="001638CD">
        <w:rPr>
          <w:rFonts w:cs="Arial"/>
        </w:rPr>
        <w:lastRenderedPageBreak/>
        <w:t>OBIETTIVI PER IL QUADRIENNIO 2020-2023</w:t>
      </w:r>
      <w:bookmarkEnd w:id="6"/>
      <w:bookmarkEnd w:id="7"/>
      <w:r w:rsidRPr="001638CD">
        <w:rPr>
          <w:rFonts w:cs="Arial"/>
        </w:rPr>
        <w:t xml:space="preserve"> </w:t>
      </w:r>
    </w:p>
    <w:p w:rsidR="001954C9" w:rsidRPr="009A1791" w:rsidRDefault="001954C9" w:rsidP="001954C9">
      <w:pPr>
        <w:tabs>
          <w:tab w:val="left" w:pos="426"/>
        </w:tabs>
        <w:rPr>
          <w:lang w:val="it-IT"/>
        </w:rPr>
      </w:pPr>
      <w:r w:rsidRPr="009A1791">
        <w:rPr>
          <w:lang w:val="it-IT"/>
        </w:rPr>
        <w:t xml:space="preserve">Nel corso dell’estate il Consiglio di Stato ha approvato il Programma d’attuazione della politica economica regionale 2020-2023 del Cantone Ticino, il quale è parte integrante del messaggio governativo in oggetto. Il programma presenta la strategia di sviluppo economico che il Governo cantonale intende perseguire nel prossimo quadriennio e funge da base per la definizione del budget federale di politica economica regionale, nonché per la richiesta di credito quadro per lo stanziamento dei fondi cantonali di politica economica regionale. </w:t>
      </w:r>
    </w:p>
    <w:p w:rsidR="001954C9" w:rsidRPr="009A1791" w:rsidRDefault="001954C9" w:rsidP="001954C9">
      <w:pPr>
        <w:tabs>
          <w:tab w:val="left" w:pos="426"/>
        </w:tabs>
        <w:rPr>
          <w:lang w:val="it-IT"/>
        </w:rPr>
      </w:pPr>
    </w:p>
    <w:p w:rsidR="001954C9" w:rsidRPr="009A1791" w:rsidRDefault="001954C9" w:rsidP="001954C9">
      <w:pPr>
        <w:tabs>
          <w:tab w:val="left" w:pos="426"/>
        </w:tabs>
        <w:rPr>
          <w:lang w:val="it-IT"/>
        </w:rPr>
      </w:pPr>
      <w:r w:rsidRPr="009A1791">
        <w:rPr>
          <w:lang w:val="it-IT"/>
        </w:rPr>
        <w:t xml:space="preserve">Sulla base delle esperienze riscontrate è confermata la necessità di consolidare gli obiettivi che il Cantone si è posto per il quadriennio 2016-2019 – l’aumento della competitività delle PMI, il rafforzamento delle destinazioni turistiche e il sostegno alle regioni periferiche a potenziale inespresso – i quali rimangono validi e d’attualità anche per il periodo 2020-2023. </w:t>
      </w:r>
    </w:p>
    <w:p w:rsidR="001954C9" w:rsidRPr="009A1791" w:rsidRDefault="001954C9" w:rsidP="001954C9">
      <w:pPr>
        <w:tabs>
          <w:tab w:val="left" w:pos="426"/>
        </w:tabs>
        <w:rPr>
          <w:lang w:val="it-IT"/>
        </w:rPr>
      </w:pPr>
    </w:p>
    <w:p w:rsidR="001954C9" w:rsidRPr="009A1791" w:rsidRDefault="001954C9" w:rsidP="001954C9">
      <w:pPr>
        <w:tabs>
          <w:tab w:val="left" w:pos="426"/>
        </w:tabs>
        <w:rPr>
          <w:lang w:val="it-IT"/>
        </w:rPr>
      </w:pPr>
      <w:r w:rsidRPr="009A1791">
        <w:rPr>
          <w:lang w:val="it-IT"/>
        </w:rPr>
        <w:t xml:space="preserve">Questi tre obiettivi sono accumunati dalla volontà di favorire uno sviluppo economico equilibrato, sostenibile e duraturo, che valorizzi le peculiarità territoriali, lo spirito imprenditoriale e l’innovazione nel nostro Cantone. Si tratta, in definitiva, di predisporre le migliori condizioni quadro per mantenere e creare posti di lavoro di qualità e adeguatamente retribuiti. </w:t>
      </w:r>
    </w:p>
    <w:p w:rsidR="001954C9" w:rsidRPr="009A1791" w:rsidRDefault="001954C9" w:rsidP="001954C9">
      <w:pPr>
        <w:tabs>
          <w:tab w:val="left" w:pos="426"/>
        </w:tabs>
        <w:rPr>
          <w:lang w:val="it-IT"/>
        </w:rPr>
      </w:pPr>
    </w:p>
    <w:p w:rsidR="001954C9" w:rsidRPr="009A1791" w:rsidRDefault="001954C9" w:rsidP="001954C9">
      <w:pPr>
        <w:tabs>
          <w:tab w:val="left" w:pos="426"/>
        </w:tabs>
        <w:rPr>
          <w:lang w:val="it-IT"/>
        </w:rPr>
      </w:pPr>
      <w:r w:rsidRPr="009A1791">
        <w:rPr>
          <w:lang w:val="it-IT"/>
        </w:rPr>
        <w:t>L’approccio adottato permette di sostenere diversi settori economici, diverse regioni del nostro territorio e diversi tipi di imprenditorialità.</w:t>
      </w:r>
    </w:p>
    <w:p w:rsidR="001954C9" w:rsidRDefault="001954C9" w:rsidP="001954C9">
      <w:pPr>
        <w:rPr>
          <w:iCs/>
        </w:rPr>
      </w:pPr>
    </w:p>
    <w:p w:rsidR="001954C9" w:rsidRDefault="001954C9" w:rsidP="001954C9">
      <w:pPr>
        <w:rPr>
          <w:iCs/>
        </w:rPr>
      </w:pPr>
    </w:p>
    <w:p w:rsidR="001954C9" w:rsidRPr="001638CD" w:rsidRDefault="00955F4A" w:rsidP="001954C9">
      <w:pPr>
        <w:pStyle w:val="Titolo2"/>
        <w:rPr>
          <w:rFonts w:cs="Arial"/>
        </w:rPr>
      </w:pPr>
      <w:bookmarkStart w:id="8" w:name="_Toc24103853"/>
      <w:bookmarkStart w:id="9" w:name="_Toc25743282"/>
      <w:r>
        <w:rPr>
          <w:rFonts w:cs="Arial"/>
        </w:rPr>
        <w:t>3.1</w:t>
      </w:r>
      <w:r>
        <w:rPr>
          <w:rFonts w:cs="Arial"/>
        </w:rPr>
        <w:tab/>
      </w:r>
      <w:r w:rsidR="001954C9" w:rsidRPr="001638CD">
        <w:rPr>
          <w:rFonts w:cs="Arial"/>
        </w:rPr>
        <w:t>Piccole e medie imprese (PMI)</w:t>
      </w:r>
      <w:bookmarkEnd w:id="8"/>
      <w:bookmarkEnd w:id="9"/>
    </w:p>
    <w:p w:rsidR="001954C9" w:rsidRPr="009A1791" w:rsidRDefault="001954C9" w:rsidP="001954C9">
      <w:pPr>
        <w:tabs>
          <w:tab w:val="left" w:pos="426"/>
        </w:tabs>
        <w:rPr>
          <w:lang w:val="it-IT"/>
        </w:rPr>
      </w:pPr>
      <w:r w:rsidRPr="009A1791">
        <w:rPr>
          <w:lang w:val="it-IT"/>
        </w:rPr>
        <w:t>L’accresciuta concorrenza sul piano nazionale e internazionale e le dinamiche legate al fenomeno della digitalizzazione pongono le nostre PMI di fronte a importanti sfide. L’obiettivo è dunque di garantire loro le migliori condizioni per poter aumentare la loro capacità d’innovazione e la loro competitività.</w:t>
      </w:r>
    </w:p>
    <w:p w:rsidR="001954C9" w:rsidRPr="009A1791" w:rsidRDefault="001954C9" w:rsidP="001954C9">
      <w:pPr>
        <w:tabs>
          <w:tab w:val="left" w:pos="426"/>
        </w:tabs>
        <w:rPr>
          <w:lang w:val="it-IT"/>
        </w:rPr>
      </w:pPr>
      <w:r w:rsidRPr="009A1791">
        <w:rPr>
          <w:lang w:val="it-IT"/>
        </w:rPr>
        <w:t xml:space="preserve">Negli scorsi anni sono stati compiuti importanti sforzi tesi a consolidare il sistema regionale dell’innovazione. Nel prossimo quadriennio occorrerà proseguire nella direzione intrapresa allo scopo di rafforzarne ulteriormente l’efficacia, anche grazie a un ampliamento dell’offerta della Fondazione Agire. A questo proposito l’auspicio è che tutti gli attori che operano a sostegno dell’innovazione possano far convergere le loro azioni all’interno del sistema regionale dell’innovazione. </w:t>
      </w:r>
    </w:p>
    <w:p w:rsidR="001954C9" w:rsidRPr="009A1791" w:rsidRDefault="001954C9" w:rsidP="001954C9">
      <w:pPr>
        <w:tabs>
          <w:tab w:val="left" w:pos="426"/>
        </w:tabs>
        <w:rPr>
          <w:lang w:val="it-IT"/>
        </w:rPr>
      </w:pPr>
      <w:r w:rsidRPr="009A1791">
        <w:rPr>
          <w:lang w:val="it-IT"/>
        </w:rPr>
        <w:t xml:space="preserve">Come riportato nel programma d’attuazione della politica economica regionale 2020-2023 alcuni esempi di “sistema regionale dell’innovazione” sono le nuove misure dedicate alle start-up innovative, il lancio del nuovo programma d’accelerazione </w:t>
      </w:r>
      <w:proofErr w:type="spellStart"/>
      <w:r w:rsidRPr="009A1791">
        <w:rPr>
          <w:lang w:val="it-IT"/>
        </w:rPr>
        <w:t>Boldbrain</w:t>
      </w:r>
      <w:proofErr w:type="spellEnd"/>
      <w:r w:rsidRPr="009A1791">
        <w:rPr>
          <w:lang w:val="it-IT"/>
        </w:rPr>
        <w:t xml:space="preserve"> Startup Challenge, il trasferimento tecnologico coordinati dalla Fondazione AGIRE, o, ancora, il consolidamento del </w:t>
      </w:r>
      <w:proofErr w:type="spellStart"/>
      <w:r w:rsidRPr="009A1791">
        <w:rPr>
          <w:lang w:val="it-IT"/>
        </w:rPr>
        <w:t>Tecnopolo</w:t>
      </w:r>
      <w:proofErr w:type="spellEnd"/>
      <w:r w:rsidRPr="009A1791">
        <w:rPr>
          <w:lang w:val="it-IT"/>
        </w:rPr>
        <w:t xml:space="preserve"> Ticino quale luogo di aggregazione fisica di iniziative imprenditoriali innovative. Maggiori dettagli sono visibili nel portale dell’innovazione e dell’</w:t>
      </w:r>
      <w:proofErr w:type="spellStart"/>
      <w:r w:rsidRPr="009A1791">
        <w:rPr>
          <w:lang w:val="it-IT"/>
        </w:rPr>
        <w:t>imprenditorialita</w:t>
      </w:r>
      <w:proofErr w:type="spellEnd"/>
      <w:r w:rsidRPr="009A1791">
        <w:rPr>
          <w:lang w:val="it-IT"/>
        </w:rPr>
        <w:t xml:space="preserve">̀, sviluppato dal Cantone e raggiungibile all’indirizzo web </w:t>
      </w:r>
      <w:hyperlink r:id="rId11" w:history="1">
        <w:r w:rsidRPr="009A1791">
          <w:rPr>
            <w:lang w:val="it-IT"/>
          </w:rPr>
          <w:t>www.ti.ch/portale-impresa</w:t>
        </w:r>
      </w:hyperlink>
      <w:r w:rsidRPr="009A1791">
        <w:rPr>
          <w:lang w:val="it-IT"/>
        </w:rPr>
        <w:t xml:space="preserve"> .</w:t>
      </w:r>
    </w:p>
    <w:p w:rsidR="001954C9" w:rsidRPr="009A1791" w:rsidRDefault="001954C9" w:rsidP="001954C9">
      <w:pPr>
        <w:tabs>
          <w:tab w:val="left" w:pos="426"/>
        </w:tabs>
        <w:rPr>
          <w:lang w:val="it-IT"/>
        </w:rPr>
      </w:pPr>
      <w:r w:rsidRPr="009A1791">
        <w:rPr>
          <w:lang w:val="it-IT"/>
        </w:rPr>
        <w:t xml:space="preserve">Le condizioni quadro che incentivano l’innovazione sono sicuramente migliorate in Ticino, tant’è che un recente studio ha posizionato il nostro Cantone al secondo posto in una classifica che misura la forza innovativa di oltre 230 regioni d’Europa. L’adesione all’organizzazione di marketing territoriale Greater </w:t>
      </w:r>
      <w:proofErr w:type="spellStart"/>
      <w:r w:rsidRPr="009A1791">
        <w:rPr>
          <w:lang w:val="it-IT"/>
        </w:rPr>
        <w:t>Zurich</w:t>
      </w:r>
      <w:proofErr w:type="spellEnd"/>
      <w:r w:rsidRPr="009A1791">
        <w:rPr>
          <w:lang w:val="it-IT"/>
        </w:rPr>
        <w:t xml:space="preserve"> Area (GZA) e l’auspicato riconoscimento del nostro Cantone quale sede del Parco nazionale dell’innovazione (</w:t>
      </w:r>
      <w:proofErr w:type="spellStart"/>
      <w:r w:rsidRPr="009A1791">
        <w:rPr>
          <w:lang w:val="it-IT"/>
        </w:rPr>
        <w:t>Switzerland</w:t>
      </w:r>
      <w:proofErr w:type="spellEnd"/>
      <w:r w:rsidRPr="009A1791">
        <w:rPr>
          <w:lang w:val="it-IT"/>
        </w:rPr>
        <w:t xml:space="preserve"> </w:t>
      </w:r>
      <w:proofErr w:type="spellStart"/>
      <w:r w:rsidRPr="009A1791">
        <w:rPr>
          <w:lang w:val="it-IT"/>
        </w:rPr>
        <w:t>Innovation</w:t>
      </w:r>
      <w:proofErr w:type="spellEnd"/>
      <w:r w:rsidRPr="009A1791">
        <w:rPr>
          <w:lang w:val="it-IT"/>
        </w:rPr>
        <w:t xml:space="preserve">) permetteranno di compiere un ulteriore balzo in avanti, grazie anche allo sviluppo di nuovi centri di competenze tematici basati sulla collaborazione tra </w:t>
      </w:r>
      <w:r w:rsidRPr="009A1791">
        <w:rPr>
          <w:lang w:val="it-IT"/>
        </w:rPr>
        <w:lastRenderedPageBreak/>
        <w:t>aziende e centri di ricerca. È proprio sulla costituzione di centri di competenza di rinomanza internazionale che il cantone pone ambiziose aspettative, sia per rafforzare le aziende già presenti sul territorio che per attrarre nuovi investimenti. Per realizzare questa visione sarà necessario uno sforzo comune tra istituti universitari, associazioni economiche, aziende e istituzioni pubbliche.</w:t>
      </w:r>
    </w:p>
    <w:p w:rsidR="001954C9" w:rsidRPr="009A1791" w:rsidRDefault="001954C9" w:rsidP="001954C9">
      <w:pPr>
        <w:tabs>
          <w:tab w:val="left" w:pos="426"/>
        </w:tabs>
        <w:rPr>
          <w:lang w:val="it-IT"/>
        </w:rPr>
      </w:pPr>
      <w:r w:rsidRPr="009A1791">
        <w:rPr>
          <w:lang w:val="it-IT"/>
        </w:rPr>
        <w:t>Più nello specifico gli obiettivi di politica economica regionale nell’ambito delle PMI per il prossimo quadriennio riguardano:</w:t>
      </w:r>
    </w:p>
    <w:p w:rsidR="001954C9" w:rsidRPr="007D5DB3" w:rsidRDefault="001954C9" w:rsidP="007D5DB3">
      <w:pPr>
        <w:pStyle w:val="Paragrafoelenco"/>
        <w:numPr>
          <w:ilvl w:val="0"/>
          <w:numId w:val="17"/>
        </w:numPr>
        <w:tabs>
          <w:tab w:val="left" w:pos="284"/>
        </w:tabs>
        <w:spacing w:before="60"/>
        <w:ind w:left="284" w:hanging="284"/>
        <w:rPr>
          <w:lang w:val="it-IT"/>
        </w:rPr>
      </w:pPr>
      <w:r w:rsidRPr="007D5DB3">
        <w:rPr>
          <w:lang w:val="it-IT"/>
        </w:rPr>
        <w:t xml:space="preserve">il rafforzamento del sistema regionale dell’innovazione; </w:t>
      </w:r>
    </w:p>
    <w:p w:rsidR="001954C9" w:rsidRPr="007D5DB3" w:rsidRDefault="001954C9" w:rsidP="007D5DB3">
      <w:pPr>
        <w:pStyle w:val="Paragrafoelenco"/>
        <w:numPr>
          <w:ilvl w:val="0"/>
          <w:numId w:val="17"/>
        </w:numPr>
        <w:tabs>
          <w:tab w:val="left" w:pos="284"/>
        </w:tabs>
        <w:spacing w:before="60"/>
        <w:ind w:left="284" w:hanging="284"/>
        <w:rPr>
          <w:lang w:val="it-IT"/>
        </w:rPr>
      </w:pPr>
      <w:r w:rsidRPr="007D5DB3">
        <w:rPr>
          <w:lang w:val="it-IT"/>
        </w:rPr>
        <w:t xml:space="preserve">lo sviluppo dell’offerta formativa per PMI; </w:t>
      </w:r>
    </w:p>
    <w:p w:rsidR="001954C9" w:rsidRPr="007D5DB3" w:rsidRDefault="001954C9" w:rsidP="007D5DB3">
      <w:pPr>
        <w:pStyle w:val="Paragrafoelenco"/>
        <w:numPr>
          <w:ilvl w:val="0"/>
          <w:numId w:val="17"/>
        </w:numPr>
        <w:tabs>
          <w:tab w:val="left" w:pos="284"/>
        </w:tabs>
        <w:spacing w:before="60"/>
        <w:ind w:left="284" w:hanging="284"/>
        <w:rPr>
          <w:lang w:val="it-IT"/>
        </w:rPr>
      </w:pPr>
      <w:r w:rsidRPr="007D5DB3">
        <w:rPr>
          <w:lang w:val="it-IT"/>
        </w:rPr>
        <w:t xml:space="preserve">i centri di competenze e reti interaziendali; </w:t>
      </w:r>
    </w:p>
    <w:p w:rsidR="001954C9" w:rsidRPr="007D5DB3" w:rsidRDefault="001954C9" w:rsidP="007D5DB3">
      <w:pPr>
        <w:pStyle w:val="Paragrafoelenco"/>
        <w:numPr>
          <w:ilvl w:val="0"/>
          <w:numId w:val="17"/>
        </w:numPr>
        <w:tabs>
          <w:tab w:val="left" w:pos="284"/>
        </w:tabs>
        <w:spacing w:before="60"/>
        <w:ind w:left="284" w:hanging="284"/>
        <w:rPr>
          <w:lang w:val="it-IT"/>
        </w:rPr>
      </w:pPr>
      <w:r w:rsidRPr="007D5DB3">
        <w:rPr>
          <w:lang w:val="it-IT"/>
        </w:rPr>
        <w:t xml:space="preserve">le specializzazioni intelligenti; </w:t>
      </w:r>
    </w:p>
    <w:p w:rsidR="001954C9" w:rsidRPr="007D5DB3" w:rsidRDefault="001954C9" w:rsidP="007D5DB3">
      <w:pPr>
        <w:pStyle w:val="Paragrafoelenco"/>
        <w:numPr>
          <w:ilvl w:val="0"/>
          <w:numId w:val="17"/>
        </w:numPr>
        <w:tabs>
          <w:tab w:val="left" w:pos="284"/>
        </w:tabs>
        <w:spacing w:before="60"/>
        <w:ind w:left="284" w:hanging="284"/>
        <w:rPr>
          <w:lang w:val="it-IT"/>
        </w:rPr>
      </w:pPr>
      <w:r w:rsidRPr="007D5DB3">
        <w:rPr>
          <w:lang w:val="it-IT"/>
        </w:rPr>
        <w:t>le infrastrutture e sviluppo di aree industriali.</w:t>
      </w:r>
    </w:p>
    <w:p w:rsidR="001954C9" w:rsidRPr="009A1791" w:rsidRDefault="001954C9" w:rsidP="001954C9">
      <w:pPr>
        <w:tabs>
          <w:tab w:val="left" w:pos="426"/>
        </w:tabs>
        <w:rPr>
          <w:lang w:val="it-IT"/>
        </w:rPr>
      </w:pPr>
    </w:p>
    <w:p w:rsidR="001954C9" w:rsidRPr="009A1791" w:rsidRDefault="001954C9" w:rsidP="00955F4A">
      <w:pPr>
        <w:rPr>
          <w:lang w:val="it-IT"/>
        </w:rPr>
      </w:pPr>
      <w:r w:rsidRPr="009A1791">
        <w:rPr>
          <w:lang w:val="it-IT"/>
        </w:rPr>
        <w:t>Nel corso degli approfondimenti commissionali, i relatori per meglio comprendere l’obiettivo dell’aumento della capacità di innovazione e della concorrenzialità delle PMI, hanno fatto riferimento ai messaggi no.</w:t>
      </w:r>
      <w:hyperlink r:id="rId12" w:history="1">
        <w:r w:rsidRPr="009A1791">
          <w:rPr>
            <w:lang w:val="it-IT"/>
          </w:rPr>
          <w:t>7060</w:t>
        </w:r>
      </w:hyperlink>
      <w:r w:rsidRPr="009A1791">
        <w:rPr>
          <w:lang w:val="it-IT"/>
        </w:rPr>
        <w:t xml:space="preserve"> dell’11 marzo 2015 e al no.</w:t>
      </w:r>
      <w:hyperlink r:id="rId13" w:history="1">
        <w:r w:rsidRPr="009A1791">
          <w:rPr>
            <w:lang w:val="it-IT"/>
          </w:rPr>
          <w:t>7557</w:t>
        </w:r>
      </w:hyperlink>
      <w:r w:rsidRPr="009A1791">
        <w:rPr>
          <w:lang w:val="it-IT"/>
        </w:rPr>
        <w:t xml:space="preserve"> del 19 novembre 2018 sulla Legge sull’innovazione economica, che rappresenta il complemento delle misure prevista dalla PER.</w:t>
      </w:r>
    </w:p>
    <w:p w:rsidR="001954C9" w:rsidRPr="009A1791" w:rsidRDefault="001954C9" w:rsidP="00955F4A">
      <w:pPr>
        <w:rPr>
          <w:lang w:val="it-IT"/>
        </w:rPr>
      </w:pPr>
      <w:r w:rsidRPr="009A1791">
        <w:rPr>
          <w:lang w:val="it-IT"/>
        </w:rPr>
        <w:t xml:space="preserve">Discorso analogo per quanto concerne </w:t>
      </w:r>
      <w:proofErr w:type="spellStart"/>
      <w:r w:rsidRPr="009A1791">
        <w:rPr>
          <w:lang w:val="it-IT"/>
        </w:rPr>
        <w:t>Switzerland</w:t>
      </w:r>
      <w:proofErr w:type="spellEnd"/>
      <w:r w:rsidRPr="009A1791">
        <w:rPr>
          <w:lang w:val="it-IT"/>
        </w:rPr>
        <w:t xml:space="preserve"> </w:t>
      </w:r>
      <w:proofErr w:type="spellStart"/>
      <w:r w:rsidRPr="009A1791">
        <w:rPr>
          <w:lang w:val="it-IT"/>
        </w:rPr>
        <w:t>Innovation</w:t>
      </w:r>
      <w:proofErr w:type="spellEnd"/>
      <w:r w:rsidRPr="009A1791">
        <w:rPr>
          <w:lang w:val="it-IT"/>
        </w:rPr>
        <w:t xml:space="preserve">, per il quale il Ticino prevede la costituzione di centri di competenza: maggiori approfondimenti visionabili al capitolo 3 del messaggio </w:t>
      </w:r>
      <w:hyperlink r:id="rId14" w:history="1">
        <w:r w:rsidRPr="009A1791">
          <w:rPr>
            <w:lang w:val="it-IT"/>
          </w:rPr>
          <w:t>7548</w:t>
        </w:r>
      </w:hyperlink>
      <w:r w:rsidRPr="009A1791">
        <w:rPr>
          <w:lang w:val="it-IT"/>
        </w:rPr>
        <w:t xml:space="preserve"> relativo alle Officine FFS di Bellinzona, ma anche nel </w:t>
      </w:r>
      <w:hyperlink r:id="rId15" w:history="1">
        <w:r w:rsidRPr="009A1791">
          <w:rPr>
            <w:lang w:val="it-IT"/>
          </w:rPr>
          <w:t>comunicato stampa</w:t>
        </w:r>
      </w:hyperlink>
      <w:r w:rsidRPr="009A1791">
        <w:rPr>
          <w:lang w:val="it-IT"/>
        </w:rPr>
        <w:t xml:space="preserve"> della Fondazione Agire del 17 luglio 2019.</w:t>
      </w:r>
    </w:p>
    <w:p w:rsidR="001954C9" w:rsidRDefault="001954C9" w:rsidP="00955F4A"/>
    <w:p w:rsidR="001954C9" w:rsidRDefault="001954C9" w:rsidP="00955F4A"/>
    <w:p w:rsidR="001954C9" w:rsidRPr="001638CD" w:rsidRDefault="00955F4A" w:rsidP="001954C9">
      <w:pPr>
        <w:pStyle w:val="Titolo2"/>
        <w:rPr>
          <w:rFonts w:cs="Arial"/>
        </w:rPr>
      </w:pPr>
      <w:bookmarkStart w:id="10" w:name="_Toc24103854"/>
      <w:bookmarkStart w:id="11" w:name="_Toc25743283"/>
      <w:r>
        <w:rPr>
          <w:rFonts w:cs="Arial"/>
        </w:rPr>
        <w:t>3.2</w:t>
      </w:r>
      <w:r>
        <w:rPr>
          <w:rFonts w:cs="Arial"/>
        </w:rPr>
        <w:tab/>
      </w:r>
      <w:r w:rsidR="001954C9" w:rsidRPr="001638CD">
        <w:rPr>
          <w:rFonts w:cs="Arial"/>
        </w:rPr>
        <w:t>Turismo</w:t>
      </w:r>
      <w:bookmarkEnd w:id="10"/>
      <w:bookmarkEnd w:id="11"/>
    </w:p>
    <w:p w:rsidR="001954C9" w:rsidRPr="009A1791" w:rsidRDefault="001954C9" w:rsidP="001954C9">
      <w:pPr>
        <w:tabs>
          <w:tab w:val="left" w:pos="426"/>
        </w:tabs>
        <w:rPr>
          <w:lang w:val="it-IT"/>
        </w:rPr>
      </w:pPr>
      <w:r w:rsidRPr="009A1791">
        <w:rPr>
          <w:lang w:val="it-IT"/>
        </w:rPr>
        <w:t>Anche il settore turistico è confrontato con importanti trasformazioni dettate dal processo di digitalizzazione in corso e da una concorrenza agguerrita e sempre più globale. Si tratta dunque di affrontare queste sfide cercando di cogliere appieno le opportunità ad esse legate sfruttando al meglio l’alto potenziale della valorizzazione turistica in Ticino. In particolare, sarà importante elaborare nuove strategie nei processi aziendali, nei modelli commerciali e nel marketing, in modo da accrescere l’attrattiva dell’offerta turistica e la competitività delle destinazioni, consolidando la presenza del Ticino sui mercati nazionali e internazionali.</w:t>
      </w:r>
    </w:p>
    <w:p w:rsidR="001954C9" w:rsidRPr="009A1791" w:rsidRDefault="001954C9" w:rsidP="001954C9">
      <w:pPr>
        <w:tabs>
          <w:tab w:val="left" w:pos="426"/>
        </w:tabs>
        <w:rPr>
          <w:lang w:val="it-IT"/>
        </w:rPr>
      </w:pPr>
      <w:r w:rsidRPr="009A1791">
        <w:rPr>
          <w:lang w:val="it-IT"/>
        </w:rPr>
        <w:t xml:space="preserve">In vista dell’apertura della galleria ferroviaria del Monte Ceneri, che schiuderà nuove opportunità anche in campo turistico, si saluta positivamente l’intenzione di rafforzare l’iniziativa Ticino Ticket, attraverso la sua estensione all’offerta culturale e alla sua digitalizzazione. </w:t>
      </w:r>
    </w:p>
    <w:p w:rsidR="001954C9" w:rsidRPr="009A1791" w:rsidRDefault="001954C9" w:rsidP="00955F4A">
      <w:pPr>
        <w:rPr>
          <w:lang w:val="it-IT"/>
        </w:rPr>
      </w:pPr>
    </w:p>
    <w:p w:rsidR="001954C9" w:rsidRPr="009A1791" w:rsidRDefault="001954C9" w:rsidP="00955F4A">
      <w:pPr>
        <w:rPr>
          <w:iCs/>
        </w:rPr>
      </w:pPr>
      <w:r w:rsidRPr="009A1791">
        <w:rPr>
          <w:color w:val="000000"/>
        </w:rPr>
        <w:t xml:space="preserve">A complemento di quanto spiegato nel </w:t>
      </w:r>
      <w:proofErr w:type="spellStart"/>
      <w:r w:rsidRPr="009A1791">
        <w:rPr>
          <w:color w:val="000000"/>
        </w:rPr>
        <w:t>PdA</w:t>
      </w:r>
      <w:proofErr w:type="spellEnd"/>
      <w:r w:rsidRPr="009A1791">
        <w:rPr>
          <w:color w:val="000000"/>
        </w:rPr>
        <w:t xml:space="preserve"> 16-19 e </w:t>
      </w:r>
      <w:proofErr w:type="spellStart"/>
      <w:r w:rsidRPr="009A1791">
        <w:rPr>
          <w:color w:val="000000"/>
        </w:rPr>
        <w:t>PdA</w:t>
      </w:r>
      <w:proofErr w:type="spellEnd"/>
      <w:r w:rsidRPr="009A1791">
        <w:rPr>
          <w:color w:val="000000"/>
        </w:rPr>
        <w:t xml:space="preserve"> 20-23, abbiamo fatto riferimento ai messaggi no. </w:t>
      </w:r>
      <w:hyperlink r:id="rId16" w:history="1">
        <w:r w:rsidRPr="009A1791">
          <w:rPr>
            <w:rStyle w:val="Collegamentoipertestuale"/>
            <w:rFonts w:cs="Arial"/>
            <w:color w:val="800080"/>
          </w:rPr>
          <w:t>6897</w:t>
        </w:r>
      </w:hyperlink>
      <w:r w:rsidRPr="009A1791">
        <w:rPr>
          <w:color w:val="000000"/>
        </w:rPr>
        <w:t xml:space="preserve"> del 14 gennaio 2015, no.</w:t>
      </w:r>
      <w:r w:rsidRPr="009A1791">
        <w:rPr>
          <w:rStyle w:val="apple-converted-space"/>
          <w:rFonts w:cs="Arial"/>
          <w:color w:val="000000"/>
        </w:rPr>
        <w:t xml:space="preserve"> </w:t>
      </w:r>
      <w:hyperlink r:id="rId17" w:history="1">
        <w:r w:rsidRPr="009A1791">
          <w:rPr>
            <w:rStyle w:val="Collegamentoipertestuale"/>
            <w:rFonts w:cs="Arial"/>
            <w:color w:val="800080"/>
          </w:rPr>
          <w:t>7041</w:t>
        </w:r>
      </w:hyperlink>
      <w:r w:rsidRPr="009A1791">
        <w:rPr>
          <w:rStyle w:val="apple-converted-space"/>
          <w:rFonts w:cs="Arial"/>
          <w:color w:val="000000"/>
        </w:rPr>
        <w:t xml:space="preserve"> </w:t>
      </w:r>
      <w:r w:rsidRPr="009A1791">
        <w:rPr>
          <w:color w:val="000000"/>
        </w:rPr>
        <w:t>del 28 gennaio 2015 e</w:t>
      </w:r>
      <w:r w:rsidRPr="009A1791">
        <w:rPr>
          <w:rStyle w:val="apple-converted-space"/>
          <w:rFonts w:cs="Arial"/>
          <w:color w:val="000000"/>
        </w:rPr>
        <w:t xml:space="preserve"> </w:t>
      </w:r>
      <w:hyperlink r:id="rId18" w:history="1">
        <w:r w:rsidRPr="009A1791">
          <w:rPr>
            <w:rStyle w:val="Collegamentoipertestuale"/>
            <w:rFonts w:cs="Arial"/>
            <w:color w:val="800080"/>
          </w:rPr>
          <w:t>7530</w:t>
        </w:r>
      </w:hyperlink>
      <w:r w:rsidRPr="009A1791">
        <w:rPr>
          <w:rStyle w:val="apple-converted-space"/>
          <w:rFonts w:cs="Arial"/>
          <w:color w:val="000000"/>
        </w:rPr>
        <w:t xml:space="preserve"> </w:t>
      </w:r>
      <w:r w:rsidRPr="009A1791">
        <w:rPr>
          <w:color w:val="000000"/>
        </w:rPr>
        <w:t xml:space="preserve">del 21 </w:t>
      </w:r>
      <w:r w:rsidRPr="009A1791">
        <w:rPr>
          <w:iCs/>
        </w:rPr>
        <w:t>giugno 2018.</w:t>
      </w:r>
    </w:p>
    <w:p w:rsidR="001954C9" w:rsidRPr="009A1791" w:rsidRDefault="001954C9" w:rsidP="00955F4A">
      <w:pPr>
        <w:rPr>
          <w:iCs/>
        </w:rPr>
      </w:pPr>
    </w:p>
    <w:p w:rsidR="001954C9" w:rsidRPr="009A1791" w:rsidRDefault="001954C9" w:rsidP="00955F4A">
      <w:pPr>
        <w:rPr>
          <w:iCs/>
        </w:rPr>
      </w:pPr>
      <w:r w:rsidRPr="009A1791">
        <w:t>Gli obiettivi della politica turistica cantonale sono riassunti come segue:</w:t>
      </w:r>
    </w:p>
    <w:p w:rsidR="001954C9" w:rsidRPr="009A1791" w:rsidRDefault="001954C9" w:rsidP="00955F4A">
      <w:pPr>
        <w:numPr>
          <w:ilvl w:val="0"/>
          <w:numId w:val="14"/>
        </w:numPr>
        <w:spacing w:before="80"/>
        <w:ind w:left="284" w:hanging="284"/>
        <w:rPr>
          <w:rFonts w:cs="Arial"/>
          <w:iCs/>
        </w:rPr>
      </w:pPr>
      <w:r w:rsidRPr="009A1791">
        <w:rPr>
          <w:rFonts w:cs="Arial"/>
        </w:rPr>
        <w:t xml:space="preserve">trasferimento del sapere e dell’innovazione in ambito turistico; </w:t>
      </w:r>
    </w:p>
    <w:p w:rsidR="001954C9" w:rsidRPr="009A1791" w:rsidRDefault="001954C9" w:rsidP="00955F4A">
      <w:pPr>
        <w:numPr>
          <w:ilvl w:val="0"/>
          <w:numId w:val="14"/>
        </w:numPr>
        <w:spacing w:before="80"/>
        <w:ind w:left="284" w:hanging="284"/>
        <w:rPr>
          <w:rFonts w:cs="Arial"/>
          <w:iCs/>
        </w:rPr>
      </w:pPr>
      <w:r w:rsidRPr="009A1791">
        <w:rPr>
          <w:rFonts w:cs="Arial"/>
        </w:rPr>
        <w:t xml:space="preserve">qualificazione degli operatori turistici; </w:t>
      </w:r>
    </w:p>
    <w:p w:rsidR="001954C9" w:rsidRPr="009A1791" w:rsidRDefault="001954C9" w:rsidP="00955F4A">
      <w:pPr>
        <w:numPr>
          <w:ilvl w:val="0"/>
          <w:numId w:val="14"/>
        </w:numPr>
        <w:spacing w:before="80"/>
        <w:ind w:left="284" w:hanging="284"/>
        <w:rPr>
          <w:rFonts w:cs="Arial"/>
          <w:iCs/>
        </w:rPr>
      </w:pPr>
      <w:r w:rsidRPr="009A1791">
        <w:rPr>
          <w:rFonts w:cs="Arial"/>
        </w:rPr>
        <w:t xml:space="preserve">collaborazioni interaziendali; </w:t>
      </w:r>
    </w:p>
    <w:p w:rsidR="001954C9" w:rsidRPr="009A1791" w:rsidRDefault="001954C9" w:rsidP="00955F4A">
      <w:pPr>
        <w:numPr>
          <w:ilvl w:val="0"/>
          <w:numId w:val="14"/>
        </w:numPr>
        <w:spacing w:before="80"/>
        <w:ind w:left="284" w:hanging="284"/>
        <w:rPr>
          <w:rFonts w:cs="Arial"/>
          <w:iCs/>
        </w:rPr>
      </w:pPr>
      <w:r w:rsidRPr="009A1791">
        <w:rPr>
          <w:rFonts w:cs="Arial"/>
        </w:rPr>
        <w:t xml:space="preserve">valorizzazione turistica delle molteplici offerte (montagna, lago, beni culturali, impianti sportivi e di svago, infrastrutture di mobilità lenta); </w:t>
      </w:r>
    </w:p>
    <w:p w:rsidR="001954C9" w:rsidRPr="00543E9A" w:rsidRDefault="001954C9" w:rsidP="00955F4A">
      <w:pPr>
        <w:numPr>
          <w:ilvl w:val="0"/>
          <w:numId w:val="14"/>
        </w:numPr>
        <w:spacing w:before="80"/>
        <w:ind w:left="284" w:hanging="284"/>
        <w:rPr>
          <w:rFonts w:cs="Arial"/>
          <w:iCs/>
        </w:rPr>
      </w:pPr>
      <w:r w:rsidRPr="00543E9A">
        <w:rPr>
          <w:rFonts w:cs="Arial"/>
        </w:rPr>
        <w:lastRenderedPageBreak/>
        <w:t>sostegno al (</w:t>
      </w:r>
      <w:proofErr w:type="spellStart"/>
      <w:r w:rsidRPr="00543E9A">
        <w:rPr>
          <w:rFonts w:cs="Arial"/>
        </w:rPr>
        <w:t>ri</w:t>
      </w:r>
      <w:proofErr w:type="spellEnd"/>
      <w:r w:rsidRPr="00543E9A">
        <w:rPr>
          <w:rFonts w:cs="Arial"/>
        </w:rPr>
        <w:t>-)posizionamento delle destinazioni, creazione dei centri di competenza delle organizzazioni turistiche, sviluppo coordinato di nuovi prodotti innovativi e infrastrutture turistiche.</w:t>
      </w:r>
    </w:p>
    <w:p w:rsidR="001954C9" w:rsidRPr="00543E9A" w:rsidRDefault="001954C9" w:rsidP="00955F4A"/>
    <w:p w:rsidR="001954C9" w:rsidRPr="00543E9A" w:rsidRDefault="001954C9" w:rsidP="00955F4A">
      <w:r w:rsidRPr="00543E9A">
        <w:t>Un esempio concreto di una delle misure messe in atto nel settore del turismo è l’introduzione dell’</w:t>
      </w:r>
      <w:proofErr w:type="spellStart"/>
      <w:r w:rsidRPr="00543E9A">
        <w:t>Hospitality</w:t>
      </w:r>
      <w:proofErr w:type="spellEnd"/>
      <w:r w:rsidRPr="00543E9A">
        <w:t xml:space="preserve"> Manager. Si tratta di una figura introdotta nel 2016 che – citiamo il </w:t>
      </w:r>
      <w:proofErr w:type="spellStart"/>
      <w:r w:rsidRPr="00543E9A">
        <w:t>PdA</w:t>
      </w:r>
      <w:proofErr w:type="spellEnd"/>
      <w:r w:rsidRPr="00543E9A">
        <w:t xml:space="preserve"> 20-23 – “ha visitato </w:t>
      </w:r>
      <w:proofErr w:type="spellStart"/>
      <w:r w:rsidRPr="00543E9A">
        <w:t>piu</w:t>
      </w:r>
      <w:proofErr w:type="spellEnd"/>
      <w:r w:rsidRPr="00543E9A">
        <w:t>̀ di 160 alberghi, organizzato oltre 600 incontri con partner turistici e accompagnato oltre 25 progetti per la richiesta di un sussidio a fondo perso in base alle Legge sul Turismo (</w:t>
      </w:r>
      <w:proofErr w:type="spellStart"/>
      <w:r w:rsidRPr="00543E9A">
        <w:t>LTur</w:t>
      </w:r>
      <w:proofErr w:type="spellEnd"/>
      <w:r w:rsidRPr="00543E9A">
        <w:t>). Il 35% delle strutture visitate ha introdotto una nuova strategia marketing, il 50% intende introdurla a breve. Inoltre, sono stati lanciati tre importanti progetti di cooperazione tra alberghi in zone periferiche, fondamentali per garantire la sopravvivenza degli hotel e lo sviluppo delle regioni stesse”.</w:t>
      </w:r>
    </w:p>
    <w:p w:rsidR="001954C9" w:rsidRPr="00543E9A" w:rsidRDefault="001954C9" w:rsidP="00955F4A">
      <w:r w:rsidRPr="00543E9A">
        <w:rPr>
          <w:color w:val="000000"/>
        </w:rPr>
        <w:t xml:space="preserve">Per altre iniziative particolarmente interessanti invitiamo a visitare le pagine dedicate al </w:t>
      </w:r>
      <w:hyperlink r:id="rId19" w:history="1">
        <w:r w:rsidRPr="00543E9A">
          <w:rPr>
            <w:rStyle w:val="Collegamentoipertestuale"/>
            <w:rFonts w:cs="Arial"/>
            <w:color w:val="800080"/>
          </w:rPr>
          <w:t>Ticino Ticket</w:t>
        </w:r>
      </w:hyperlink>
      <w:r w:rsidRPr="00543E9A">
        <w:rPr>
          <w:color w:val="000000"/>
        </w:rPr>
        <w:t xml:space="preserve">, alla formazione </w:t>
      </w:r>
      <w:hyperlink r:id="rId20" w:history="1">
        <w:r w:rsidRPr="00543E9A">
          <w:rPr>
            <w:rStyle w:val="Collegamentoipertestuale"/>
            <w:rFonts w:cs="Arial"/>
            <w:color w:val="800080"/>
          </w:rPr>
          <w:t>Pop-up Academy</w:t>
        </w:r>
      </w:hyperlink>
      <w:r w:rsidRPr="00543E9A">
        <w:rPr>
          <w:rStyle w:val="apple-converted-space"/>
          <w:rFonts w:cs="Arial"/>
          <w:color w:val="000000"/>
        </w:rPr>
        <w:t xml:space="preserve"> </w:t>
      </w:r>
      <w:r w:rsidRPr="00543E9A">
        <w:rPr>
          <w:color w:val="000000"/>
        </w:rPr>
        <w:t>e all’</w:t>
      </w:r>
      <w:proofErr w:type="spellStart"/>
      <w:r>
        <w:fldChar w:fldCharType="begin"/>
      </w:r>
      <w:r>
        <w:instrText xml:space="preserve"> HYPERLINK "https://www.ticino.ch/it/hospitality/hospitality-manager.html" </w:instrText>
      </w:r>
      <w:r>
        <w:fldChar w:fldCharType="separate"/>
      </w:r>
      <w:r w:rsidRPr="00543E9A">
        <w:rPr>
          <w:rStyle w:val="Collegamentoipertestuale"/>
          <w:rFonts w:cs="Arial"/>
          <w:color w:val="800080"/>
        </w:rPr>
        <w:t>hospitality</w:t>
      </w:r>
      <w:proofErr w:type="spellEnd"/>
      <w:r w:rsidRPr="00543E9A">
        <w:rPr>
          <w:rStyle w:val="Collegamentoipertestuale"/>
          <w:rFonts w:cs="Arial"/>
          <w:color w:val="800080"/>
        </w:rPr>
        <w:t xml:space="preserve"> manager</w:t>
      </w:r>
      <w:r>
        <w:rPr>
          <w:rStyle w:val="Collegamentoipertestuale"/>
          <w:rFonts w:cs="Arial"/>
          <w:color w:val="800080"/>
        </w:rPr>
        <w:fldChar w:fldCharType="end"/>
      </w:r>
      <w:r w:rsidRPr="00543E9A">
        <w:rPr>
          <w:color w:val="000000"/>
        </w:rPr>
        <w:t>, tutte e tre concretizzatesi grazie alla PER.</w:t>
      </w:r>
    </w:p>
    <w:p w:rsidR="001954C9" w:rsidRPr="00543E9A" w:rsidRDefault="001954C9" w:rsidP="00955F4A">
      <w:pPr>
        <w:rPr>
          <w:iCs/>
        </w:rPr>
      </w:pPr>
    </w:p>
    <w:p w:rsidR="001954C9" w:rsidRPr="00E13FE1" w:rsidRDefault="001954C9" w:rsidP="00955F4A">
      <w:pPr>
        <w:rPr>
          <w:iCs/>
        </w:rPr>
      </w:pPr>
    </w:p>
    <w:p w:rsidR="001954C9" w:rsidRPr="001638CD" w:rsidRDefault="00955F4A" w:rsidP="001954C9">
      <w:pPr>
        <w:pStyle w:val="Titolo2"/>
        <w:rPr>
          <w:rFonts w:cs="Arial"/>
        </w:rPr>
      </w:pPr>
      <w:bookmarkStart w:id="12" w:name="_Toc24103855"/>
      <w:bookmarkStart w:id="13" w:name="_Toc25743284"/>
      <w:r>
        <w:rPr>
          <w:rFonts w:cs="Arial"/>
        </w:rPr>
        <w:t>3.3</w:t>
      </w:r>
      <w:r>
        <w:rPr>
          <w:rFonts w:cs="Arial"/>
        </w:rPr>
        <w:tab/>
      </w:r>
      <w:r w:rsidR="001954C9" w:rsidRPr="001638CD">
        <w:rPr>
          <w:rFonts w:cs="Arial"/>
        </w:rPr>
        <w:t>Riposizionamento regioni periferiche</w:t>
      </w:r>
      <w:bookmarkEnd w:id="12"/>
      <w:bookmarkEnd w:id="13"/>
    </w:p>
    <w:p w:rsidR="001954C9" w:rsidRPr="00543E9A" w:rsidRDefault="001954C9" w:rsidP="001954C9">
      <w:pPr>
        <w:tabs>
          <w:tab w:val="left" w:pos="426"/>
        </w:tabs>
        <w:rPr>
          <w:rFonts w:cs="Arial"/>
        </w:rPr>
      </w:pPr>
      <w:r w:rsidRPr="00543E9A">
        <w:rPr>
          <w:rFonts w:cs="Arial"/>
        </w:rPr>
        <w:t xml:space="preserve">Anche nel periodo 2020-2023 s’intende dedicare un’attenzione particolare a supporto dello sviluppo delle regioni periferiche, nello specifico coordinando e concretizzando le iniziative identificate dai </w:t>
      </w:r>
      <w:proofErr w:type="spellStart"/>
      <w:r w:rsidRPr="00543E9A">
        <w:rPr>
          <w:rFonts w:cs="Arial"/>
        </w:rPr>
        <w:t>masterplan</w:t>
      </w:r>
      <w:proofErr w:type="spellEnd"/>
      <w:r w:rsidRPr="00543E9A">
        <w:rPr>
          <w:rFonts w:cs="Arial"/>
        </w:rPr>
        <w:t>.</w:t>
      </w:r>
    </w:p>
    <w:p w:rsidR="001954C9" w:rsidRPr="00543E9A" w:rsidRDefault="001954C9" w:rsidP="001954C9">
      <w:pPr>
        <w:tabs>
          <w:tab w:val="left" w:pos="426"/>
        </w:tabs>
        <w:rPr>
          <w:rFonts w:cs="Arial"/>
        </w:rPr>
      </w:pPr>
      <w:r w:rsidRPr="00543E9A">
        <w:rPr>
          <w:rFonts w:cs="Arial"/>
          <w:color w:val="000000"/>
        </w:rPr>
        <w:t xml:space="preserve">Per comprendere la genesi del programma di riposizionamento turistico delle regioni periferiche (inizialmente chiamate a basso potenziale) abbiamo anche visionato il programma elaborato dal Ticino e </w:t>
      </w:r>
      <w:hyperlink r:id="rId21" w:history="1">
        <w:r w:rsidRPr="00543E9A">
          <w:rPr>
            <w:rStyle w:val="Collegamentoipertestuale"/>
            <w:rFonts w:cs="Arial"/>
            <w:color w:val="800080"/>
          </w:rPr>
          <w:t>pubblicato</w:t>
        </w:r>
      </w:hyperlink>
      <w:r w:rsidRPr="00543E9A">
        <w:rPr>
          <w:rStyle w:val="apple-converted-space"/>
          <w:rFonts w:cs="Arial"/>
          <w:color w:val="000000"/>
        </w:rPr>
        <w:t xml:space="preserve"> </w:t>
      </w:r>
      <w:r w:rsidRPr="00543E9A">
        <w:rPr>
          <w:rFonts w:cs="Arial"/>
          <w:color w:val="000000"/>
        </w:rPr>
        <w:t>sulla piattaforma per lo sviluppo regionale in Svizzera, che lavora su mandato della SECO, in quanto considerato esemplare.</w:t>
      </w:r>
    </w:p>
    <w:p w:rsidR="001954C9" w:rsidRPr="00543E9A" w:rsidRDefault="001954C9" w:rsidP="001954C9">
      <w:pPr>
        <w:tabs>
          <w:tab w:val="left" w:pos="426"/>
        </w:tabs>
        <w:rPr>
          <w:rFonts w:cs="Arial"/>
        </w:rPr>
      </w:pPr>
    </w:p>
    <w:p w:rsidR="001954C9" w:rsidRPr="00543E9A" w:rsidRDefault="001954C9" w:rsidP="001954C9">
      <w:pPr>
        <w:tabs>
          <w:tab w:val="left" w:pos="426"/>
        </w:tabs>
        <w:rPr>
          <w:rFonts w:cs="Arial"/>
        </w:rPr>
      </w:pPr>
      <w:r w:rsidRPr="00543E9A">
        <w:rPr>
          <w:rFonts w:cs="Arial"/>
        </w:rPr>
        <w:t xml:space="preserve">Nello scorso quadriennio si è proceduto all’elaborazione o al consolidamento dei </w:t>
      </w:r>
      <w:proofErr w:type="spellStart"/>
      <w:r w:rsidRPr="00543E9A">
        <w:rPr>
          <w:rFonts w:cs="Arial"/>
        </w:rPr>
        <w:t>masterplan</w:t>
      </w:r>
      <w:proofErr w:type="spellEnd"/>
      <w:r w:rsidRPr="00543E9A">
        <w:rPr>
          <w:rFonts w:cs="Arial"/>
        </w:rPr>
        <w:t xml:space="preserve"> per le regioni che hanno voluto iniziare questo percorso, nello specifico la Valle di Blenio, la Valle </w:t>
      </w:r>
      <w:proofErr w:type="spellStart"/>
      <w:r w:rsidRPr="00543E9A">
        <w:rPr>
          <w:rFonts w:cs="Arial"/>
        </w:rPr>
        <w:t>Verzasca</w:t>
      </w:r>
      <w:proofErr w:type="spellEnd"/>
      <w:r w:rsidRPr="00543E9A">
        <w:rPr>
          <w:rFonts w:cs="Arial"/>
        </w:rPr>
        <w:t xml:space="preserve">, l’Alta </w:t>
      </w:r>
      <w:proofErr w:type="spellStart"/>
      <w:r w:rsidRPr="00543E9A">
        <w:rPr>
          <w:rFonts w:cs="Arial"/>
        </w:rPr>
        <w:t>Vallemaggia</w:t>
      </w:r>
      <w:proofErr w:type="spellEnd"/>
      <w:r w:rsidRPr="00543E9A">
        <w:rPr>
          <w:rFonts w:cs="Arial"/>
        </w:rPr>
        <w:t xml:space="preserve">, le </w:t>
      </w:r>
      <w:proofErr w:type="spellStart"/>
      <w:r w:rsidRPr="00543E9A">
        <w:rPr>
          <w:rFonts w:cs="Arial"/>
        </w:rPr>
        <w:t>Centovalli</w:t>
      </w:r>
      <w:proofErr w:type="spellEnd"/>
      <w:r w:rsidRPr="00543E9A">
        <w:rPr>
          <w:rFonts w:cs="Arial"/>
        </w:rPr>
        <w:t xml:space="preserve"> e la Valle </w:t>
      </w:r>
      <w:proofErr w:type="spellStart"/>
      <w:r w:rsidRPr="00543E9A">
        <w:rPr>
          <w:rFonts w:cs="Arial"/>
        </w:rPr>
        <w:t>Onsernone</w:t>
      </w:r>
      <w:proofErr w:type="spellEnd"/>
      <w:r w:rsidRPr="00543E9A">
        <w:rPr>
          <w:rFonts w:cs="Arial"/>
        </w:rPr>
        <w:t>. Occorre ora passare alla concretizzazione dei progetti faro identificati, allo scopo di generare le auspicate sinergie con altri progetti e contribuire a migliorare l’offerta, in particolare quella turistica, con ripercussioni positive sullo sviluppo delle stesse regioni.</w:t>
      </w:r>
    </w:p>
    <w:p w:rsidR="001954C9" w:rsidRPr="00543E9A" w:rsidRDefault="001954C9" w:rsidP="001954C9">
      <w:pPr>
        <w:tabs>
          <w:tab w:val="left" w:pos="426"/>
        </w:tabs>
        <w:rPr>
          <w:rFonts w:cs="Arial"/>
        </w:rPr>
      </w:pPr>
    </w:p>
    <w:p w:rsidR="001954C9" w:rsidRPr="00543E9A" w:rsidRDefault="001954C9" w:rsidP="001954C9">
      <w:pPr>
        <w:tabs>
          <w:tab w:val="left" w:pos="426"/>
        </w:tabs>
        <w:rPr>
          <w:rFonts w:cs="Arial"/>
        </w:rPr>
      </w:pPr>
      <w:r w:rsidRPr="00543E9A">
        <w:rPr>
          <w:rFonts w:cs="Arial"/>
        </w:rPr>
        <w:t xml:space="preserve">Inoltre, contestualmente al dibattito parlamentare in merito all’ubicazione del nuovo stabilimento industriale FFS, è stata condivisa la necessità di elaborare uno specifico “piano di sviluppo” per la Valle </w:t>
      </w:r>
      <w:proofErr w:type="spellStart"/>
      <w:r w:rsidRPr="00543E9A">
        <w:rPr>
          <w:rFonts w:cs="Arial"/>
        </w:rPr>
        <w:t>Leventina</w:t>
      </w:r>
      <w:proofErr w:type="spellEnd"/>
      <w:r w:rsidRPr="00543E9A">
        <w:rPr>
          <w:rFonts w:cs="Arial"/>
        </w:rPr>
        <w:t xml:space="preserve">. Pertanto, nel Programma d’attuazione della politica economica regionale 2020-2023, il Consiglio di Stato ha predisposto una misura dedicata al </w:t>
      </w:r>
      <w:proofErr w:type="spellStart"/>
      <w:r w:rsidRPr="00543E9A">
        <w:rPr>
          <w:rFonts w:cs="Arial"/>
        </w:rPr>
        <w:t>Masterplan</w:t>
      </w:r>
      <w:proofErr w:type="spellEnd"/>
      <w:r w:rsidRPr="00543E9A">
        <w:rPr>
          <w:rFonts w:cs="Arial"/>
        </w:rPr>
        <w:t xml:space="preserve"> </w:t>
      </w:r>
      <w:proofErr w:type="spellStart"/>
      <w:r w:rsidRPr="00543E9A">
        <w:rPr>
          <w:rFonts w:cs="Arial"/>
        </w:rPr>
        <w:t>Leventina</w:t>
      </w:r>
      <w:proofErr w:type="spellEnd"/>
      <w:r w:rsidRPr="00543E9A">
        <w:rPr>
          <w:rFonts w:cs="Arial"/>
        </w:rPr>
        <w:t xml:space="preserve">. </w:t>
      </w:r>
    </w:p>
    <w:p w:rsidR="001954C9" w:rsidRPr="00543E9A" w:rsidRDefault="001954C9" w:rsidP="001954C9">
      <w:pPr>
        <w:tabs>
          <w:tab w:val="left" w:pos="426"/>
        </w:tabs>
        <w:rPr>
          <w:rFonts w:cs="Arial"/>
        </w:rPr>
      </w:pPr>
    </w:p>
    <w:p w:rsidR="001954C9" w:rsidRPr="00543E9A" w:rsidRDefault="001954C9" w:rsidP="001954C9">
      <w:pPr>
        <w:tabs>
          <w:tab w:val="left" w:pos="426"/>
        </w:tabs>
        <w:rPr>
          <w:rFonts w:cs="Arial"/>
        </w:rPr>
      </w:pPr>
      <w:r w:rsidRPr="00543E9A">
        <w:rPr>
          <w:rFonts w:cs="Arial"/>
        </w:rPr>
        <w:t xml:space="preserve">Nei prossimi anni le regioni periferiche dovranno essere in grado di saper cogliere al meglio le nuove opportunità, in particolare quelle che si presenteranno nell’ambito della rivoluzione digitale in corso. A tal proposito la Commissione economia e lavoro saluta positivamente la conclusione dello studio volto a elaborare un piano strategico per la banda </w:t>
      </w:r>
      <w:proofErr w:type="spellStart"/>
      <w:r w:rsidRPr="00543E9A">
        <w:rPr>
          <w:rFonts w:cs="Arial"/>
        </w:rPr>
        <w:t>ultralarga</w:t>
      </w:r>
      <w:proofErr w:type="spellEnd"/>
      <w:r w:rsidRPr="00543E9A">
        <w:rPr>
          <w:rFonts w:cs="Arial"/>
        </w:rPr>
        <w:t xml:space="preserve"> su tutto il territorio cantonale. Si tratta di un progetto infrastrutturale generazionale che permetterà di abbattere le barriere digitali tra zone urbane e periferiche, permettendo a queste ultime di svilupparsi sfruttando le molteplici opportunità offerte dalla digitalizzazione. Potranno così essere messi a frutto gli sforzi messi in campo con la politica economica regionale nell’ambito del riposizionamento delle regioni periferiche.</w:t>
      </w:r>
    </w:p>
    <w:p w:rsidR="001954C9" w:rsidRDefault="001954C9" w:rsidP="001954C9">
      <w:pPr>
        <w:tabs>
          <w:tab w:val="left" w:pos="426"/>
        </w:tabs>
        <w:rPr>
          <w:rFonts w:cs="Arial"/>
        </w:rPr>
      </w:pPr>
    </w:p>
    <w:p w:rsidR="00955F4A" w:rsidRPr="00543E9A" w:rsidRDefault="00955F4A" w:rsidP="001954C9">
      <w:pPr>
        <w:tabs>
          <w:tab w:val="left" w:pos="426"/>
        </w:tabs>
        <w:rPr>
          <w:rFonts w:cs="Arial"/>
        </w:rPr>
      </w:pPr>
    </w:p>
    <w:p w:rsidR="001954C9" w:rsidRPr="00EB2572" w:rsidRDefault="00955F4A" w:rsidP="00955F4A">
      <w:pPr>
        <w:pStyle w:val="Titolo2"/>
      </w:pPr>
      <w:bookmarkStart w:id="14" w:name="_Toc25743285"/>
      <w:r>
        <w:lastRenderedPageBreak/>
        <w:t>3.4</w:t>
      </w:r>
      <w:r>
        <w:tab/>
      </w:r>
      <w:r w:rsidR="001954C9" w:rsidRPr="00EB2572">
        <w:t xml:space="preserve">Verifica della </w:t>
      </w:r>
      <w:proofErr w:type="spellStart"/>
      <w:r w:rsidR="001954C9" w:rsidRPr="00EB2572">
        <w:t>sostenibilita</w:t>
      </w:r>
      <w:proofErr w:type="spellEnd"/>
      <w:r w:rsidR="001954C9" w:rsidRPr="00EB2572">
        <w:t>̀ del programma d’attuazione</w:t>
      </w:r>
      <w:bookmarkEnd w:id="14"/>
      <w:r w:rsidR="001954C9" w:rsidRPr="00EB2572">
        <w:t xml:space="preserve"> </w:t>
      </w:r>
    </w:p>
    <w:p w:rsidR="001954C9" w:rsidRPr="00543E9A" w:rsidRDefault="001954C9" w:rsidP="00955F4A">
      <w:pPr>
        <w:rPr>
          <w:lang w:val="it-IT" w:eastAsia="it-IT"/>
        </w:rPr>
      </w:pPr>
      <w:r w:rsidRPr="00543E9A">
        <w:rPr>
          <w:lang w:val="it-IT" w:eastAsia="it-IT"/>
        </w:rPr>
        <w:t xml:space="preserve">Come spiegato nel rapporto sul “Programma d’attuazione della politica economica regionale 2020-2023 del Cantone Ticino”, vi è una verifica della </w:t>
      </w:r>
      <w:proofErr w:type="spellStart"/>
      <w:r w:rsidRPr="00543E9A">
        <w:rPr>
          <w:lang w:val="it-IT" w:eastAsia="it-IT"/>
        </w:rPr>
        <w:t>sostenibilita</w:t>
      </w:r>
      <w:proofErr w:type="spellEnd"/>
      <w:r w:rsidRPr="00543E9A">
        <w:rPr>
          <w:lang w:val="it-IT" w:eastAsia="it-IT"/>
        </w:rPr>
        <w:t xml:space="preserve">̀ del programma d’attuazione con lo scopo di identificare ed evidenziare eventuali conflitti d’interesse tra gli obiettivi preposti e i principi dello sviluppo sostenibile. La valutazione degli obiettivi fa riferimento allo strumento Excel </w:t>
      </w:r>
      <w:proofErr w:type="spellStart"/>
      <w:r w:rsidRPr="00543E9A">
        <w:rPr>
          <w:lang w:val="it-IT" w:eastAsia="it-IT"/>
        </w:rPr>
        <w:t>VSost</w:t>
      </w:r>
      <w:proofErr w:type="spellEnd"/>
      <w:r w:rsidRPr="00543E9A">
        <w:rPr>
          <w:lang w:val="it-IT" w:eastAsia="it-IT"/>
        </w:rPr>
        <w:t xml:space="preserve"> messo a disposizione dall’Ufficio federale dello sviluppo territoriale. </w:t>
      </w:r>
    </w:p>
    <w:p w:rsidR="00955F4A" w:rsidRDefault="00955F4A" w:rsidP="00955F4A">
      <w:pPr>
        <w:rPr>
          <w:lang w:val="it-IT" w:eastAsia="it-IT"/>
        </w:rPr>
      </w:pPr>
    </w:p>
    <w:p w:rsidR="001954C9" w:rsidRPr="00543E9A" w:rsidRDefault="001954C9" w:rsidP="00955F4A">
      <w:pPr>
        <w:rPr>
          <w:lang w:val="it-IT" w:eastAsia="it-IT"/>
        </w:rPr>
      </w:pPr>
      <w:r w:rsidRPr="00543E9A">
        <w:rPr>
          <w:lang w:val="it-IT" w:eastAsia="it-IT"/>
        </w:rPr>
        <w:t xml:space="preserve">Come spiegato nel rapporto summenzionato – citiamo – “questo strumento permette di valutare gli obiettivi sulla base di 3 gruppi di 5 criteri. Dal punto di vista economico, prende in considerazione il reddito e l’occupazione; il capitale produttivo; la </w:t>
      </w:r>
      <w:proofErr w:type="spellStart"/>
      <w:r w:rsidRPr="00543E9A">
        <w:rPr>
          <w:lang w:val="it-IT" w:eastAsia="it-IT"/>
        </w:rPr>
        <w:t>competitivita</w:t>
      </w:r>
      <w:proofErr w:type="spellEnd"/>
      <w:r w:rsidRPr="00543E9A">
        <w:rPr>
          <w:lang w:val="it-IT" w:eastAsia="it-IT"/>
        </w:rPr>
        <w:t xml:space="preserve">̀ e la capacità d’innovazione; i meccanismi di mercato e i costi esterni; la gestione da parte degli enti pubblici. Per quanto riguarda l’ambiente, sono considerati gli effetti sugli spazi naturali e la </w:t>
      </w:r>
      <w:proofErr w:type="spellStart"/>
      <w:r w:rsidRPr="00543E9A">
        <w:rPr>
          <w:lang w:val="it-IT" w:eastAsia="it-IT"/>
        </w:rPr>
        <w:t>biodiversita</w:t>
      </w:r>
      <w:proofErr w:type="spellEnd"/>
      <w:r w:rsidRPr="00543E9A">
        <w:rPr>
          <w:lang w:val="it-IT" w:eastAsia="it-IT"/>
        </w:rPr>
        <w:t>̀; sulle risorse rinnovabili, sulle risorse non rinnovabili; l’impatto sull’ambiente e sugli esseri umani; le catastrofi naturali e rischi di incidenti. Infine i criteri sociali riguardano la salute e la sicurezza; la formazione, la piena espressione e l’</w:t>
      </w:r>
      <w:proofErr w:type="spellStart"/>
      <w:r w:rsidRPr="00543E9A">
        <w:rPr>
          <w:lang w:val="it-IT" w:eastAsia="it-IT"/>
        </w:rPr>
        <w:t>identita</w:t>
      </w:r>
      <w:proofErr w:type="spellEnd"/>
      <w:r w:rsidRPr="00543E9A">
        <w:rPr>
          <w:lang w:val="it-IT" w:eastAsia="it-IT"/>
        </w:rPr>
        <w:t xml:space="preserve">̀ del singolo; la cultura e i valori; l’uguaglianza giuridica, la sicurezza del diritto e la </w:t>
      </w:r>
      <w:proofErr w:type="spellStart"/>
      <w:r w:rsidRPr="00543E9A">
        <w:rPr>
          <w:lang w:val="it-IT" w:eastAsia="it-IT"/>
        </w:rPr>
        <w:t>parita</w:t>
      </w:r>
      <w:proofErr w:type="spellEnd"/>
      <w:r w:rsidRPr="00543E9A">
        <w:rPr>
          <w:lang w:val="it-IT" w:eastAsia="it-IT"/>
        </w:rPr>
        <w:t xml:space="preserve">̀ di trattamento; la </w:t>
      </w:r>
      <w:proofErr w:type="spellStart"/>
      <w:r w:rsidRPr="00543E9A">
        <w:rPr>
          <w:lang w:val="it-IT" w:eastAsia="it-IT"/>
        </w:rPr>
        <w:t>solidarieta</w:t>
      </w:r>
      <w:proofErr w:type="spellEnd"/>
      <w:r w:rsidRPr="00543E9A">
        <w:rPr>
          <w:lang w:val="it-IT" w:eastAsia="it-IT"/>
        </w:rPr>
        <w:t>̀”.</w:t>
      </w:r>
    </w:p>
    <w:p w:rsidR="00955F4A" w:rsidRDefault="00955F4A" w:rsidP="00955F4A">
      <w:pPr>
        <w:rPr>
          <w:lang w:val="it-IT" w:eastAsia="it-IT"/>
        </w:rPr>
      </w:pPr>
    </w:p>
    <w:p w:rsidR="001954C9" w:rsidRPr="00543E9A" w:rsidRDefault="001954C9" w:rsidP="00955F4A">
      <w:pPr>
        <w:rPr>
          <w:lang w:val="it-IT" w:eastAsia="it-IT"/>
        </w:rPr>
      </w:pPr>
      <w:r w:rsidRPr="00543E9A">
        <w:rPr>
          <w:lang w:val="it-IT" w:eastAsia="it-IT"/>
        </w:rPr>
        <w:t>Per maggiori informazioni sul funzionamento di questo strumento di verifica della sostenibilità è allegato al presente rapporto con il documento “Verifica sostenibilità - guida pratica per i servizi federali ed altri interessati”.</w:t>
      </w:r>
    </w:p>
    <w:p w:rsidR="001954C9" w:rsidRPr="00543E9A" w:rsidRDefault="001954C9" w:rsidP="00955F4A"/>
    <w:p w:rsidR="001954C9" w:rsidRDefault="001954C9" w:rsidP="001954C9">
      <w:pPr>
        <w:tabs>
          <w:tab w:val="left" w:pos="426"/>
        </w:tabs>
        <w:rPr>
          <w:rFonts w:cs="Arial"/>
        </w:rPr>
      </w:pPr>
    </w:p>
    <w:p w:rsidR="00955F4A" w:rsidRPr="00543E9A" w:rsidRDefault="00955F4A" w:rsidP="001954C9">
      <w:pPr>
        <w:tabs>
          <w:tab w:val="left" w:pos="426"/>
        </w:tabs>
        <w:rPr>
          <w:rFonts w:cs="Arial"/>
        </w:rPr>
      </w:pPr>
    </w:p>
    <w:p w:rsidR="001954C9" w:rsidRPr="001638CD" w:rsidRDefault="001954C9" w:rsidP="001954C9">
      <w:pPr>
        <w:pStyle w:val="Titolo1"/>
        <w:rPr>
          <w:rFonts w:cs="Arial"/>
        </w:rPr>
      </w:pPr>
      <w:bookmarkStart w:id="15" w:name="_Toc24103856"/>
      <w:bookmarkStart w:id="16" w:name="_Toc25743286"/>
      <w:r w:rsidRPr="001638CD">
        <w:rPr>
          <w:rFonts w:cs="Arial"/>
        </w:rPr>
        <w:t>ALTRE INIZIATIVE</w:t>
      </w:r>
      <w:bookmarkEnd w:id="15"/>
      <w:bookmarkEnd w:id="16"/>
    </w:p>
    <w:p w:rsidR="001954C9" w:rsidRPr="00543E9A" w:rsidRDefault="001954C9" w:rsidP="001954C9">
      <w:pPr>
        <w:tabs>
          <w:tab w:val="left" w:pos="426"/>
        </w:tabs>
        <w:rPr>
          <w:rFonts w:cs="Arial"/>
        </w:rPr>
      </w:pPr>
      <w:r w:rsidRPr="00543E9A">
        <w:rPr>
          <w:rFonts w:cs="Arial"/>
        </w:rPr>
        <w:t xml:space="preserve">Anche nel prossimo quadriennio si intende continuare e sviluppare la collaborazione a favore dello sviluppo economico dell’area del Gottardo. Pertanto, nel credito quadro proposto rientra anche il finanziamento del Programma San Gottardo (PSG) 2020-2023 per un importo cantonale pari a 2.65 milioni di franchi. Gli obiettivi e gli assi di sviluppo identificati negli ultimi programmi sono confermati. I dettagli sono definiti in un programma d’attuazione PSG 20-23 separato (cfr. allegato al messaggio). </w:t>
      </w:r>
    </w:p>
    <w:p w:rsidR="001954C9" w:rsidRPr="00543E9A" w:rsidRDefault="001954C9" w:rsidP="001954C9">
      <w:pPr>
        <w:tabs>
          <w:tab w:val="left" w:pos="426"/>
        </w:tabs>
        <w:rPr>
          <w:rFonts w:cs="Arial"/>
        </w:rPr>
      </w:pPr>
    </w:p>
    <w:p w:rsidR="001954C9" w:rsidRPr="00543E9A" w:rsidRDefault="001954C9" w:rsidP="001954C9">
      <w:pPr>
        <w:tabs>
          <w:tab w:val="left" w:pos="426"/>
        </w:tabs>
        <w:rPr>
          <w:rFonts w:cs="Arial"/>
        </w:rPr>
      </w:pPr>
      <w:r w:rsidRPr="00543E9A">
        <w:rPr>
          <w:rFonts w:cs="Arial"/>
        </w:rPr>
        <w:t xml:space="preserve">Per quanto riguarda il management regionale è previsto un finanziamento ai quattro enti regionali per lo sviluppo ticinesi (Bellinzonese e Valli, Mendrisiotto e Basso Ceresio, Luganese, Locarnese e </w:t>
      </w:r>
      <w:proofErr w:type="spellStart"/>
      <w:r w:rsidRPr="00543E9A">
        <w:rPr>
          <w:rFonts w:cs="Arial"/>
        </w:rPr>
        <w:t>Vallemaggia</w:t>
      </w:r>
      <w:proofErr w:type="spellEnd"/>
      <w:r w:rsidRPr="00543E9A">
        <w:rPr>
          <w:rFonts w:cs="Arial"/>
        </w:rPr>
        <w:t xml:space="preserve">) suddiviso in 1.2 milioni di franchi cantonali e 1.2 milioni di franchi federali. Gli ERS sono chiamati a svolgere un ruolo attivo nella divulgazione degli obiettivi della politica economica regionale e fungono da supporto operativo all’imprenditorialità locale/regionale, coordinandosi in particolare con le Organizzazioni turistiche regionali, l’Agenzia turistica ticinese e la Fondazione Agire. Quali membri del Gruppo strategico della politica economica regionale sono direttamente coinvolti anche da un punto di vista della condivisione strategica. </w:t>
      </w:r>
    </w:p>
    <w:p w:rsidR="001954C9" w:rsidRPr="00543E9A" w:rsidRDefault="001954C9" w:rsidP="001954C9">
      <w:pPr>
        <w:tabs>
          <w:tab w:val="left" w:pos="426"/>
        </w:tabs>
        <w:rPr>
          <w:rFonts w:cs="Arial"/>
        </w:rPr>
      </w:pPr>
    </w:p>
    <w:p w:rsidR="001954C9" w:rsidRPr="00543E9A" w:rsidRDefault="001954C9" w:rsidP="001954C9">
      <w:pPr>
        <w:tabs>
          <w:tab w:val="left" w:pos="426"/>
        </w:tabs>
        <w:rPr>
          <w:rFonts w:cs="Arial"/>
        </w:rPr>
      </w:pPr>
      <w:r w:rsidRPr="00543E9A">
        <w:rPr>
          <w:rFonts w:cs="Arial"/>
        </w:rPr>
        <w:t xml:space="preserve">Considerata la competenza decisionale del Gran Consiglio si propone lo stanziamento di sussidi per il coordinamento relativo a </w:t>
      </w:r>
      <w:proofErr w:type="spellStart"/>
      <w:r w:rsidRPr="00543E9A">
        <w:rPr>
          <w:rFonts w:cs="Arial"/>
        </w:rPr>
        <w:t>Switzerland</w:t>
      </w:r>
      <w:proofErr w:type="spellEnd"/>
      <w:r w:rsidRPr="00543E9A">
        <w:rPr>
          <w:rFonts w:cs="Arial"/>
        </w:rPr>
        <w:t xml:space="preserve"> </w:t>
      </w:r>
      <w:proofErr w:type="spellStart"/>
      <w:r w:rsidRPr="00543E9A">
        <w:rPr>
          <w:rFonts w:cs="Arial"/>
        </w:rPr>
        <w:t>Innovation</w:t>
      </w:r>
      <w:proofErr w:type="spellEnd"/>
      <w:r w:rsidRPr="00543E9A">
        <w:rPr>
          <w:rFonts w:cs="Arial"/>
        </w:rPr>
        <w:t xml:space="preserve"> e per il riposizionamento della Fondazione Centro di competenza mobilità sostenibile e ferroviaria, in particolare nella sua attività di accompagnamento nello sviluppo del nuovo stabilimento industriale FFS a Castione. Per questi progetti si prevedono sussidi cantonali di 1.2 milioni di franchi ciascuno. </w:t>
      </w:r>
    </w:p>
    <w:p w:rsidR="001954C9" w:rsidRPr="00543E9A" w:rsidRDefault="001954C9" w:rsidP="001954C9">
      <w:pPr>
        <w:tabs>
          <w:tab w:val="left" w:pos="426"/>
        </w:tabs>
        <w:rPr>
          <w:rFonts w:cs="Arial"/>
        </w:rPr>
      </w:pPr>
    </w:p>
    <w:p w:rsidR="001954C9" w:rsidRPr="00543E9A" w:rsidRDefault="001954C9" w:rsidP="001954C9">
      <w:pPr>
        <w:tabs>
          <w:tab w:val="left" w:pos="426"/>
        </w:tabs>
        <w:rPr>
          <w:rFonts w:cs="Arial"/>
        </w:rPr>
      </w:pPr>
      <w:r w:rsidRPr="00543E9A">
        <w:rPr>
          <w:rFonts w:cs="Arial"/>
        </w:rPr>
        <w:lastRenderedPageBreak/>
        <w:t xml:space="preserve">Il Consiglio di Stato, nel limite delle proprie competenze decisionali, intende inoltre confermare il proprio sostegno anche nel periodo 2020-2023 alle iniziative </w:t>
      </w:r>
      <w:proofErr w:type="spellStart"/>
      <w:r w:rsidRPr="00543E9A">
        <w:rPr>
          <w:rFonts w:cs="Arial"/>
        </w:rPr>
        <w:t>Fondounimpresa</w:t>
      </w:r>
      <w:proofErr w:type="spellEnd"/>
      <w:r w:rsidRPr="00543E9A">
        <w:rPr>
          <w:rFonts w:cs="Arial"/>
        </w:rPr>
        <w:t xml:space="preserve"> (</w:t>
      </w:r>
      <w:proofErr w:type="spellStart"/>
      <w:r w:rsidRPr="00543E9A">
        <w:rPr>
          <w:rFonts w:cs="Arial"/>
        </w:rPr>
        <w:t>ca</w:t>
      </w:r>
      <w:proofErr w:type="spellEnd"/>
      <w:r w:rsidRPr="00543E9A">
        <w:rPr>
          <w:rFonts w:cs="Arial"/>
        </w:rPr>
        <w:t xml:space="preserve">. 800'000 franchi) e </w:t>
      </w:r>
      <w:proofErr w:type="spellStart"/>
      <w:r w:rsidRPr="00543E9A">
        <w:rPr>
          <w:rFonts w:cs="Arial"/>
        </w:rPr>
        <w:t>Tecnopolo</w:t>
      </w:r>
      <w:proofErr w:type="spellEnd"/>
      <w:r w:rsidRPr="00543E9A">
        <w:rPr>
          <w:rFonts w:cs="Arial"/>
        </w:rPr>
        <w:t xml:space="preserve"> Ticino.</w:t>
      </w:r>
    </w:p>
    <w:p w:rsidR="001954C9" w:rsidRPr="00543E9A" w:rsidRDefault="001954C9" w:rsidP="001954C9">
      <w:pPr>
        <w:tabs>
          <w:tab w:val="left" w:pos="426"/>
        </w:tabs>
        <w:rPr>
          <w:rFonts w:cs="Arial"/>
        </w:rPr>
      </w:pPr>
    </w:p>
    <w:p w:rsidR="001954C9" w:rsidRPr="00543E9A" w:rsidRDefault="001954C9" w:rsidP="001954C9">
      <w:pPr>
        <w:tabs>
          <w:tab w:val="left" w:pos="426"/>
        </w:tabs>
        <w:rPr>
          <w:rFonts w:cs="Arial"/>
        </w:rPr>
      </w:pPr>
      <w:r w:rsidRPr="00543E9A">
        <w:rPr>
          <w:rFonts w:cs="Arial"/>
        </w:rPr>
        <w:t xml:space="preserve">Per ragioni relativi a uno scostamento di calendario, la programmazione di cooperazione transfrontaliera (Programma </w:t>
      </w:r>
      <w:proofErr w:type="spellStart"/>
      <w:r w:rsidRPr="00543E9A">
        <w:rPr>
          <w:rFonts w:cs="Arial"/>
        </w:rPr>
        <w:t>Interreg</w:t>
      </w:r>
      <w:proofErr w:type="spellEnd"/>
      <w:r w:rsidRPr="00543E9A">
        <w:rPr>
          <w:rFonts w:cs="Arial"/>
        </w:rPr>
        <w:t xml:space="preserve">) sarà eventualmente presentata in un dedicato messaggio interdipartimentale nel corso del 2020. </w:t>
      </w:r>
    </w:p>
    <w:p w:rsidR="001954C9" w:rsidRPr="00543E9A" w:rsidRDefault="001954C9" w:rsidP="001954C9">
      <w:pPr>
        <w:tabs>
          <w:tab w:val="left" w:pos="426"/>
        </w:tabs>
        <w:rPr>
          <w:rFonts w:cs="Arial"/>
        </w:rPr>
      </w:pPr>
    </w:p>
    <w:p w:rsidR="001954C9" w:rsidRPr="00543E9A" w:rsidRDefault="001954C9" w:rsidP="001954C9">
      <w:pPr>
        <w:tabs>
          <w:tab w:val="left" w:pos="426"/>
        </w:tabs>
        <w:rPr>
          <w:rFonts w:cs="Arial"/>
          <w:color w:val="000000" w:themeColor="text1"/>
        </w:rPr>
      </w:pPr>
      <w:r w:rsidRPr="00543E9A">
        <w:rPr>
          <w:rFonts w:cs="Arial"/>
        </w:rPr>
        <w:t>Per quanto concerne infine il rinnovo del sostegno finanziario al Centro di competenze ag</w:t>
      </w:r>
      <w:r w:rsidRPr="00543E9A">
        <w:rPr>
          <w:rFonts w:cs="Arial"/>
          <w:color w:val="000000" w:themeColor="text1"/>
        </w:rPr>
        <w:t>roalimentari Ticino (CCAT) esso avverrà tramite la Legge sull’agricoltura e non più tramite i mezzi finanziari della politica economica regionale. È pertanto necessaria una puntuale modifica della base legale.</w:t>
      </w:r>
    </w:p>
    <w:p w:rsidR="001954C9" w:rsidRDefault="001954C9" w:rsidP="001954C9">
      <w:pPr>
        <w:tabs>
          <w:tab w:val="left" w:pos="426"/>
        </w:tabs>
        <w:rPr>
          <w:color w:val="000000" w:themeColor="text1"/>
        </w:rPr>
      </w:pPr>
    </w:p>
    <w:p w:rsidR="00955F4A" w:rsidRDefault="00955F4A" w:rsidP="001954C9">
      <w:pPr>
        <w:tabs>
          <w:tab w:val="left" w:pos="426"/>
        </w:tabs>
        <w:rPr>
          <w:color w:val="000000" w:themeColor="text1"/>
        </w:rPr>
      </w:pPr>
    </w:p>
    <w:p w:rsidR="001954C9" w:rsidRPr="00B524EE" w:rsidRDefault="001954C9" w:rsidP="001954C9">
      <w:pPr>
        <w:tabs>
          <w:tab w:val="left" w:pos="426"/>
        </w:tabs>
        <w:rPr>
          <w:color w:val="000000" w:themeColor="text1"/>
        </w:rPr>
      </w:pPr>
    </w:p>
    <w:p w:rsidR="001954C9" w:rsidRPr="001638CD" w:rsidRDefault="001954C9" w:rsidP="001954C9">
      <w:pPr>
        <w:pStyle w:val="Titolo1"/>
        <w:rPr>
          <w:rFonts w:cs="Arial"/>
          <w:color w:val="000000" w:themeColor="text1"/>
        </w:rPr>
      </w:pPr>
      <w:bookmarkStart w:id="17" w:name="_Toc24103857"/>
      <w:bookmarkStart w:id="18" w:name="_Toc25743287"/>
      <w:r w:rsidRPr="001638CD">
        <w:rPr>
          <w:rFonts w:cs="Arial"/>
          <w:color w:val="000000" w:themeColor="text1"/>
        </w:rPr>
        <w:t>IL DECRETO LEGISLATIVO (DL) COMPLEMENTARE</w:t>
      </w:r>
      <w:bookmarkEnd w:id="17"/>
      <w:bookmarkEnd w:id="18"/>
    </w:p>
    <w:p w:rsidR="001954C9" w:rsidRPr="00543E9A" w:rsidRDefault="001954C9" w:rsidP="001954C9">
      <w:pPr>
        <w:tabs>
          <w:tab w:val="left" w:pos="426"/>
        </w:tabs>
        <w:rPr>
          <w:rFonts w:cs="Arial"/>
          <w:color w:val="000000" w:themeColor="text1"/>
        </w:rPr>
      </w:pPr>
      <w:r w:rsidRPr="00543E9A">
        <w:rPr>
          <w:rFonts w:cs="Arial"/>
          <w:color w:val="000000" w:themeColor="text1"/>
        </w:rPr>
        <w:t>Il DL per attuare misure di politica regionale cantonale complementari ha l’obiettivo di sostenere iniziative locali e regionali di piccole-medie dimensioni. Per raggiungere tale scopo ciascun ERS costituisce un “Fondo di promozione regionale” (FPR), alimentato principalmente dal contributo cantonale erogato dal DL complementare e da contributi dei singoli Comuni delle rispettive regioni funzionali. Inoltre, il DL complementare permette il sostegno a progetti complementari individuati dagli ERS per la propria regione funzionale coordinandosi tra di loro e definendo le priorità d’intervento tenendo in considerazione le risorse finanziarie disponibili.</w:t>
      </w:r>
    </w:p>
    <w:p w:rsidR="001954C9" w:rsidRPr="00543E9A" w:rsidRDefault="001954C9" w:rsidP="001954C9">
      <w:pPr>
        <w:tabs>
          <w:tab w:val="left" w:pos="426"/>
        </w:tabs>
        <w:rPr>
          <w:rFonts w:cs="Arial"/>
          <w:color w:val="000000" w:themeColor="text1"/>
        </w:rPr>
      </w:pPr>
    </w:p>
    <w:p w:rsidR="001954C9" w:rsidRPr="00543E9A" w:rsidRDefault="001954C9" w:rsidP="001954C9">
      <w:pPr>
        <w:tabs>
          <w:tab w:val="left" w:pos="426"/>
        </w:tabs>
        <w:rPr>
          <w:rFonts w:cs="Arial"/>
          <w:color w:val="000000" w:themeColor="text1"/>
        </w:rPr>
      </w:pPr>
      <w:r w:rsidRPr="00543E9A">
        <w:rPr>
          <w:rFonts w:cs="Arial"/>
          <w:color w:val="000000" w:themeColor="text1"/>
        </w:rPr>
        <w:t>Da un lato, considerato il loro importante utilizzo, si propone l’aumento della partecipazione cantonale a favore dei fondi FPR degli ERS portandolo per il periodo 2020-2023 da 1.5 milioni di franchi a un massimo di 2 milioni di franchi per ERS (per un massimo di 8 milioni di franchi totali). D’altro lato, considerato che il credito per il sostegno a progetti prioritari e complementari alla PER in queste regioni funzionali non è stato utilizzato come in passato, per queste iniziative si propone una dotazione finanziaria di 5 milioni di franchi, leggermente inferiore rispetto al quadriennio precedente. La dotazione totale del DL complementare (13 milioni di franchi) non viene dunque modificata rispetto al passato.</w:t>
      </w:r>
    </w:p>
    <w:p w:rsidR="001954C9" w:rsidRDefault="001954C9" w:rsidP="001954C9">
      <w:pPr>
        <w:tabs>
          <w:tab w:val="left" w:pos="426"/>
        </w:tabs>
        <w:rPr>
          <w:rFonts w:cs="Arial"/>
          <w:color w:val="000000" w:themeColor="text1"/>
        </w:rPr>
      </w:pPr>
    </w:p>
    <w:p w:rsidR="001954C9" w:rsidRDefault="001954C9" w:rsidP="001954C9">
      <w:pPr>
        <w:tabs>
          <w:tab w:val="left" w:pos="426"/>
        </w:tabs>
        <w:rPr>
          <w:rFonts w:cs="Arial"/>
          <w:color w:val="000000" w:themeColor="text1"/>
        </w:rPr>
      </w:pPr>
    </w:p>
    <w:p w:rsidR="00955F4A" w:rsidRPr="001638CD" w:rsidRDefault="00955F4A" w:rsidP="001954C9">
      <w:pPr>
        <w:tabs>
          <w:tab w:val="left" w:pos="426"/>
        </w:tabs>
        <w:rPr>
          <w:rFonts w:cs="Arial"/>
          <w:color w:val="000000" w:themeColor="text1"/>
        </w:rPr>
      </w:pPr>
    </w:p>
    <w:p w:rsidR="001954C9" w:rsidRPr="001638CD" w:rsidRDefault="001954C9" w:rsidP="001954C9">
      <w:pPr>
        <w:pStyle w:val="Titolo1"/>
        <w:rPr>
          <w:rFonts w:cs="Arial"/>
          <w:color w:val="000000" w:themeColor="text1"/>
        </w:rPr>
      </w:pPr>
      <w:bookmarkStart w:id="19" w:name="_Toc24103858"/>
      <w:bookmarkStart w:id="20" w:name="_Toc25743288"/>
      <w:r w:rsidRPr="001638CD">
        <w:rPr>
          <w:rFonts w:cs="Arial"/>
          <w:color w:val="000000" w:themeColor="text1"/>
        </w:rPr>
        <w:t>RICHIESTA FINANZIARIA E STANZIAMENTO PER IL QUADRIENNIO 2020-2023</w:t>
      </w:r>
      <w:bookmarkEnd w:id="19"/>
      <w:bookmarkEnd w:id="20"/>
    </w:p>
    <w:p w:rsidR="001954C9" w:rsidRPr="00113B0A" w:rsidRDefault="001954C9" w:rsidP="001954C9">
      <w:pPr>
        <w:tabs>
          <w:tab w:val="left" w:pos="426"/>
        </w:tabs>
        <w:rPr>
          <w:rFonts w:cs="Arial"/>
          <w:color w:val="000000" w:themeColor="text1"/>
        </w:rPr>
      </w:pPr>
      <w:r w:rsidRPr="00543E9A">
        <w:rPr>
          <w:rFonts w:cs="Arial"/>
          <w:color w:val="000000" w:themeColor="text1"/>
        </w:rPr>
        <w:t>Analogamente al periodo 2016-2019 si propone lo stanziamento di un credito quadro di 40 milion</w:t>
      </w:r>
      <w:r w:rsidRPr="00113B0A">
        <w:rPr>
          <w:rFonts w:cs="Arial"/>
          <w:color w:val="000000" w:themeColor="text1"/>
        </w:rPr>
        <w:t>i di franchi per il periodo 2020-2023 così suddiviso: 27 milioni di franchi per l’attuazione del programma d’attuazione della politica economica regionale e 13 milioni di franchi a favore di misure complementari alla politica regionale.</w:t>
      </w:r>
    </w:p>
    <w:p w:rsidR="001954C9" w:rsidRDefault="001954C9" w:rsidP="001954C9">
      <w:pPr>
        <w:tabs>
          <w:tab w:val="left" w:pos="426"/>
        </w:tabs>
        <w:rPr>
          <w:rFonts w:cs="Arial"/>
          <w:color w:val="000000" w:themeColor="text1"/>
        </w:rPr>
      </w:pPr>
    </w:p>
    <w:p w:rsidR="001954C9" w:rsidRPr="00543E9A" w:rsidRDefault="001954C9" w:rsidP="001954C9">
      <w:pPr>
        <w:rPr>
          <w:rFonts w:cs="Arial"/>
        </w:rPr>
      </w:pPr>
      <w:r w:rsidRPr="00543E9A">
        <w:rPr>
          <w:rFonts w:cs="Arial"/>
        </w:rPr>
        <w:t xml:space="preserve">Le seguenti tabelle ricapitolano l’allocazione degli importi federali e cantonali previsti per concretizzare la strategia definita nel Programma d’attuazione della politica economica regionale 2020-2023: </w:t>
      </w:r>
    </w:p>
    <w:p w:rsidR="001954C9" w:rsidRDefault="001954C9" w:rsidP="001954C9">
      <w:pPr>
        <w:tabs>
          <w:tab w:val="left" w:pos="426"/>
        </w:tabs>
        <w:rPr>
          <w:rFonts w:cs="Arial"/>
          <w:color w:val="000000" w:themeColor="text1"/>
        </w:rPr>
      </w:pPr>
    </w:p>
    <w:p w:rsidR="001954C9" w:rsidRPr="00543E9A" w:rsidRDefault="001954C9" w:rsidP="001954C9">
      <w:pPr>
        <w:tabs>
          <w:tab w:val="left" w:pos="426"/>
        </w:tabs>
        <w:rPr>
          <w:rFonts w:cs="Arial"/>
          <w:color w:val="000000" w:themeColor="text1"/>
        </w:rPr>
      </w:pPr>
      <w:r>
        <w:rPr>
          <w:rFonts w:cs="Arial"/>
          <w:noProof/>
          <w:color w:val="000000" w:themeColor="text1"/>
          <w:lang w:eastAsia="it-CH"/>
        </w:rPr>
        <w:lastRenderedPageBreak/>
        <w:drawing>
          <wp:inline distT="0" distB="0" distL="0" distR="0" wp14:anchorId="27A382FB" wp14:editId="46E49F7D">
            <wp:extent cx="4798452" cy="4411133"/>
            <wp:effectExtent l="0" t="0" r="2540" b="0"/>
            <wp:docPr id="8" name="Immagine 8" descr="Immagine che contiene screensho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hermata 2019-11-26 alle 10.47.22.png"/>
                    <pic:cNvPicPr/>
                  </pic:nvPicPr>
                  <pic:blipFill>
                    <a:blip r:embed="rId22">
                      <a:extLst>
                        <a:ext uri="{28A0092B-C50C-407E-A947-70E740481C1C}">
                          <a14:useLocalDpi xmlns:a14="http://schemas.microsoft.com/office/drawing/2010/main" val="0"/>
                        </a:ext>
                      </a:extLst>
                    </a:blip>
                    <a:stretch>
                      <a:fillRect/>
                    </a:stretch>
                  </pic:blipFill>
                  <pic:spPr>
                    <a:xfrm>
                      <a:off x="0" y="0"/>
                      <a:ext cx="4810632" cy="4422330"/>
                    </a:xfrm>
                    <a:prstGeom prst="rect">
                      <a:avLst/>
                    </a:prstGeom>
                  </pic:spPr>
                </pic:pic>
              </a:graphicData>
            </a:graphic>
          </wp:inline>
        </w:drawing>
      </w:r>
    </w:p>
    <w:p w:rsidR="001954C9" w:rsidRDefault="001954C9" w:rsidP="001954C9">
      <w:pPr>
        <w:tabs>
          <w:tab w:val="left" w:pos="426"/>
        </w:tabs>
        <w:rPr>
          <w:rFonts w:cs="Arial"/>
          <w:color w:val="000000" w:themeColor="text1"/>
        </w:rPr>
      </w:pPr>
    </w:p>
    <w:p w:rsidR="001954C9" w:rsidRDefault="001954C9" w:rsidP="001954C9">
      <w:pPr>
        <w:rPr>
          <w:rFonts w:cs="Arial"/>
        </w:rPr>
      </w:pPr>
      <w:r w:rsidRPr="00113B0A">
        <w:rPr>
          <w:rFonts w:cs="Arial"/>
        </w:rPr>
        <w:t xml:space="preserve">Lo stanziamento del credito quadro di 27 milioni di franchi per il finanziamento delle misure del </w:t>
      </w:r>
      <w:proofErr w:type="spellStart"/>
      <w:r w:rsidRPr="00113B0A">
        <w:rPr>
          <w:rFonts w:cs="Arial"/>
        </w:rPr>
        <w:t>LaLPR</w:t>
      </w:r>
      <w:proofErr w:type="spellEnd"/>
      <w:r w:rsidRPr="00113B0A">
        <w:rPr>
          <w:rFonts w:cs="Arial"/>
        </w:rPr>
        <w:t xml:space="preserve"> prevede anzitutto l’allocazione di 20 milioni di franchi per il raggiungimento di specifici obiettivi negli ambiti di sviluppo previsti dalla Convenzione di programma con la SECO. A quest’ultima, a fronte dell’impegno finanziario cantonale sopracitato, è stata sottoposta una richiesta di partecipazione finanziaria di altrettanti 20 milioni. L’impiego dei mezzi finanziari è previsto nel modo seguente: </w:t>
      </w:r>
    </w:p>
    <w:p w:rsidR="001954C9" w:rsidRPr="00113B0A" w:rsidRDefault="001954C9" w:rsidP="001954C9">
      <w:pPr>
        <w:rPr>
          <w:rFonts w:cs="Arial"/>
        </w:rPr>
      </w:pPr>
    </w:p>
    <w:p w:rsidR="001954C9" w:rsidRPr="00113B0A" w:rsidRDefault="001954C9" w:rsidP="001954C9">
      <w:pPr>
        <w:tabs>
          <w:tab w:val="left" w:pos="426"/>
        </w:tabs>
        <w:rPr>
          <w:rFonts w:cs="Arial"/>
        </w:rPr>
      </w:pPr>
      <w:r w:rsidRPr="00543E9A">
        <w:rPr>
          <w:rFonts w:cs="Arial"/>
          <w:noProof/>
          <w:color w:val="000000" w:themeColor="text1"/>
          <w:lang w:eastAsia="it-CH"/>
        </w:rPr>
        <w:drawing>
          <wp:anchor distT="0" distB="0" distL="114300" distR="114300" simplePos="0" relativeHeight="251659264" behindDoc="0" locked="0" layoutInCell="1" allowOverlap="1" wp14:anchorId="4BC7631D" wp14:editId="3B322E2C">
            <wp:simplePos x="0" y="0"/>
            <wp:positionH relativeFrom="column">
              <wp:posOffset>584200</wp:posOffset>
            </wp:positionH>
            <wp:positionV relativeFrom="paragraph">
              <wp:posOffset>121920</wp:posOffset>
            </wp:positionV>
            <wp:extent cx="3860800" cy="2438400"/>
            <wp:effectExtent l="0" t="0" r="0" b="0"/>
            <wp:wrapSquare wrapText="bothSides"/>
            <wp:docPr id="3" name="Immagine 3" descr="Immagine che contiene screensho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004.png"/>
                    <pic:cNvPicPr/>
                  </pic:nvPicPr>
                  <pic:blipFill>
                    <a:blip r:embed="rId23">
                      <a:extLst>
                        <a:ext uri="{28A0092B-C50C-407E-A947-70E740481C1C}">
                          <a14:useLocalDpi xmlns:a14="http://schemas.microsoft.com/office/drawing/2010/main" val="0"/>
                        </a:ext>
                      </a:extLst>
                    </a:blip>
                    <a:stretch>
                      <a:fillRect/>
                    </a:stretch>
                  </pic:blipFill>
                  <pic:spPr>
                    <a:xfrm>
                      <a:off x="0" y="0"/>
                      <a:ext cx="3860800" cy="2438400"/>
                    </a:xfrm>
                    <a:prstGeom prst="rect">
                      <a:avLst/>
                    </a:prstGeom>
                  </pic:spPr>
                </pic:pic>
              </a:graphicData>
            </a:graphic>
            <wp14:sizeRelH relativeFrom="page">
              <wp14:pctWidth>0</wp14:pctWidth>
            </wp14:sizeRelH>
            <wp14:sizeRelV relativeFrom="page">
              <wp14:pctHeight>0</wp14:pctHeight>
            </wp14:sizeRelV>
          </wp:anchor>
        </w:drawing>
      </w:r>
    </w:p>
    <w:p w:rsidR="001954C9" w:rsidRPr="00113B0A" w:rsidRDefault="001954C9" w:rsidP="001954C9">
      <w:pPr>
        <w:tabs>
          <w:tab w:val="left" w:pos="426"/>
        </w:tabs>
        <w:rPr>
          <w:rFonts w:cs="Arial"/>
        </w:rPr>
      </w:pPr>
    </w:p>
    <w:p w:rsidR="001954C9" w:rsidRDefault="001954C9" w:rsidP="001954C9">
      <w:pPr>
        <w:tabs>
          <w:tab w:val="left" w:pos="426"/>
        </w:tabs>
        <w:rPr>
          <w:rFonts w:cs="Arial"/>
          <w:color w:val="000000" w:themeColor="text1"/>
        </w:rPr>
      </w:pPr>
    </w:p>
    <w:p w:rsidR="001954C9" w:rsidRDefault="001954C9" w:rsidP="001954C9">
      <w:pPr>
        <w:tabs>
          <w:tab w:val="left" w:pos="426"/>
        </w:tabs>
        <w:rPr>
          <w:rFonts w:cs="Arial"/>
          <w:color w:val="000000" w:themeColor="text1"/>
        </w:rPr>
      </w:pPr>
    </w:p>
    <w:p w:rsidR="001954C9" w:rsidRDefault="001954C9" w:rsidP="001954C9">
      <w:pPr>
        <w:tabs>
          <w:tab w:val="left" w:pos="426"/>
        </w:tabs>
        <w:rPr>
          <w:rFonts w:cs="Arial"/>
          <w:color w:val="000000" w:themeColor="text1"/>
        </w:rPr>
      </w:pPr>
    </w:p>
    <w:p w:rsidR="001954C9" w:rsidRDefault="001954C9" w:rsidP="001954C9">
      <w:pPr>
        <w:tabs>
          <w:tab w:val="left" w:pos="426"/>
        </w:tabs>
        <w:rPr>
          <w:rFonts w:cs="Arial"/>
          <w:color w:val="000000" w:themeColor="text1"/>
        </w:rPr>
      </w:pPr>
    </w:p>
    <w:p w:rsidR="001954C9" w:rsidRDefault="001954C9" w:rsidP="001954C9">
      <w:pPr>
        <w:tabs>
          <w:tab w:val="left" w:pos="426"/>
        </w:tabs>
        <w:rPr>
          <w:rFonts w:cs="Arial"/>
          <w:color w:val="000000" w:themeColor="text1"/>
        </w:rPr>
      </w:pPr>
    </w:p>
    <w:p w:rsidR="001954C9" w:rsidRDefault="001954C9" w:rsidP="001954C9">
      <w:pPr>
        <w:tabs>
          <w:tab w:val="left" w:pos="426"/>
        </w:tabs>
        <w:rPr>
          <w:rFonts w:cs="Arial"/>
          <w:color w:val="000000" w:themeColor="text1"/>
        </w:rPr>
      </w:pPr>
    </w:p>
    <w:p w:rsidR="001954C9" w:rsidRDefault="001954C9" w:rsidP="001954C9">
      <w:pPr>
        <w:tabs>
          <w:tab w:val="left" w:pos="426"/>
        </w:tabs>
        <w:rPr>
          <w:rFonts w:cs="Arial"/>
          <w:color w:val="000000" w:themeColor="text1"/>
        </w:rPr>
      </w:pPr>
    </w:p>
    <w:p w:rsidR="001954C9" w:rsidRDefault="001954C9" w:rsidP="001954C9">
      <w:pPr>
        <w:tabs>
          <w:tab w:val="left" w:pos="426"/>
        </w:tabs>
        <w:rPr>
          <w:rFonts w:cs="Arial"/>
          <w:color w:val="000000" w:themeColor="text1"/>
        </w:rPr>
      </w:pPr>
    </w:p>
    <w:p w:rsidR="001954C9" w:rsidRDefault="001954C9" w:rsidP="001954C9">
      <w:pPr>
        <w:tabs>
          <w:tab w:val="left" w:pos="426"/>
        </w:tabs>
        <w:rPr>
          <w:rFonts w:cs="Arial"/>
          <w:color w:val="000000" w:themeColor="text1"/>
        </w:rPr>
      </w:pPr>
    </w:p>
    <w:p w:rsidR="001954C9" w:rsidRDefault="001954C9" w:rsidP="001954C9">
      <w:pPr>
        <w:tabs>
          <w:tab w:val="left" w:pos="426"/>
        </w:tabs>
        <w:rPr>
          <w:rFonts w:cs="Arial"/>
          <w:color w:val="000000" w:themeColor="text1"/>
        </w:rPr>
      </w:pPr>
    </w:p>
    <w:p w:rsidR="001954C9" w:rsidRDefault="001954C9" w:rsidP="001954C9">
      <w:pPr>
        <w:tabs>
          <w:tab w:val="left" w:pos="426"/>
        </w:tabs>
        <w:rPr>
          <w:rFonts w:cs="Arial"/>
          <w:color w:val="000000" w:themeColor="text1"/>
        </w:rPr>
      </w:pPr>
    </w:p>
    <w:p w:rsidR="001954C9" w:rsidRDefault="001954C9" w:rsidP="001954C9">
      <w:pPr>
        <w:tabs>
          <w:tab w:val="left" w:pos="426"/>
        </w:tabs>
        <w:rPr>
          <w:rFonts w:cs="Arial"/>
          <w:color w:val="000000" w:themeColor="text1"/>
        </w:rPr>
      </w:pPr>
    </w:p>
    <w:p w:rsidR="001954C9" w:rsidRDefault="001954C9" w:rsidP="001954C9">
      <w:pPr>
        <w:tabs>
          <w:tab w:val="left" w:pos="426"/>
        </w:tabs>
        <w:rPr>
          <w:rFonts w:cs="Arial"/>
          <w:color w:val="000000" w:themeColor="text1"/>
        </w:rPr>
      </w:pPr>
    </w:p>
    <w:p w:rsidR="001954C9" w:rsidRPr="00113B0A" w:rsidRDefault="001954C9" w:rsidP="001954C9">
      <w:pPr>
        <w:rPr>
          <w:rFonts w:cs="Arial"/>
          <w:i/>
          <w:iCs/>
        </w:rPr>
      </w:pPr>
      <w:r>
        <w:rPr>
          <w:rFonts w:cs="Arial"/>
          <w:color w:val="000000" w:themeColor="text1"/>
        </w:rPr>
        <w:tab/>
      </w:r>
      <w:r>
        <w:rPr>
          <w:rFonts w:cs="Arial"/>
          <w:color w:val="000000" w:themeColor="text1"/>
        </w:rPr>
        <w:tab/>
      </w:r>
      <w:r>
        <w:rPr>
          <w:rFonts w:cs="Arial"/>
          <w:color w:val="000000" w:themeColor="text1"/>
        </w:rPr>
        <w:tab/>
      </w:r>
      <w:r>
        <w:rPr>
          <w:rFonts w:cs="Arial"/>
          <w:color w:val="000000" w:themeColor="text1"/>
        </w:rPr>
        <w:tab/>
      </w:r>
      <w:r>
        <w:rPr>
          <w:rFonts w:cs="Arial"/>
          <w:color w:val="000000" w:themeColor="text1"/>
        </w:rPr>
        <w:tab/>
      </w:r>
      <w:r w:rsidRPr="00113B0A">
        <w:rPr>
          <w:rFonts w:cs="Arial"/>
          <w:i/>
          <w:iCs/>
          <w:sz w:val="16"/>
          <w:szCs w:val="16"/>
        </w:rPr>
        <w:t xml:space="preserve">Tabella 4 </w:t>
      </w:r>
    </w:p>
    <w:p w:rsidR="001954C9" w:rsidRDefault="001954C9" w:rsidP="001954C9">
      <w:pPr>
        <w:tabs>
          <w:tab w:val="left" w:pos="426"/>
        </w:tabs>
        <w:rPr>
          <w:rFonts w:cs="Arial"/>
          <w:color w:val="000000" w:themeColor="text1"/>
        </w:rPr>
      </w:pPr>
    </w:p>
    <w:p w:rsidR="001954C9" w:rsidRDefault="001954C9" w:rsidP="001954C9">
      <w:pPr>
        <w:tabs>
          <w:tab w:val="left" w:pos="426"/>
        </w:tabs>
        <w:rPr>
          <w:rFonts w:cs="Arial"/>
          <w:color w:val="000000" w:themeColor="text1"/>
        </w:rPr>
      </w:pPr>
    </w:p>
    <w:p w:rsidR="001954C9" w:rsidRDefault="001954C9" w:rsidP="001954C9">
      <w:pPr>
        <w:rPr>
          <w:rFonts w:cs="Arial"/>
          <w:color w:val="000000" w:themeColor="text1"/>
        </w:rPr>
      </w:pPr>
      <w:r w:rsidRPr="00543E9A">
        <w:rPr>
          <w:rFonts w:cs="Arial"/>
          <w:color w:val="000000" w:themeColor="text1"/>
        </w:rPr>
        <w:lastRenderedPageBreak/>
        <w:t xml:space="preserve">Un’ulteriore allocazione di mezzi nell’ambito del credito di 27 milioni di franchi per la </w:t>
      </w:r>
      <w:proofErr w:type="spellStart"/>
      <w:r w:rsidRPr="00543E9A">
        <w:rPr>
          <w:rFonts w:cs="Arial"/>
          <w:color w:val="000000" w:themeColor="text1"/>
        </w:rPr>
        <w:t>LaLPR</w:t>
      </w:r>
      <w:proofErr w:type="spellEnd"/>
      <w:r w:rsidRPr="00543E9A">
        <w:rPr>
          <w:rFonts w:cs="Arial"/>
          <w:color w:val="000000" w:themeColor="text1"/>
        </w:rPr>
        <w:t xml:space="preserve">, prevede la messa a disposizione della quota parte cantonale di </w:t>
      </w:r>
      <w:proofErr w:type="spellStart"/>
      <w:r w:rsidRPr="00543E9A">
        <w:rPr>
          <w:rFonts w:cs="Arial"/>
          <w:color w:val="000000" w:themeColor="text1"/>
        </w:rPr>
        <w:t>fr</w:t>
      </w:r>
      <w:proofErr w:type="spellEnd"/>
      <w:r w:rsidRPr="00543E9A">
        <w:rPr>
          <w:rFonts w:cs="Arial"/>
          <w:color w:val="000000" w:themeColor="text1"/>
        </w:rPr>
        <w:t xml:space="preserve">. 2,65 milioni per il finanziamento delle misure previste dal </w:t>
      </w:r>
      <w:r>
        <w:rPr>
          <w:rFonts w:cs="Arial"/>
          <w:color w:val="000000" w:themeColor="text1"/>
        </w:rPr>
        <w:t xml:space="preserve">Programma San Gottardo </w:t>
      </w:r>
      <w:r w:rsidRPr="00543E9A">
        <w:rPr>
          <w:rFonts w:cs="Arial"/>
          <w:color w:val="000000" w:themeColor="text1"/>
        </w:rPr>
        <w:t>PSG 20-23. Il piano finanziario sovra-cantonale per il PSG 20-23 è il seguente:</w:t>
      </w:r>
    </w:p>
    <w:p w:rsidR="001954C9" w:rsidRDefault="001954C9" w:rsidP="001954C9">
      <w:pPr>
        <w:rPr>
          <w:rFonts w:cs="Arial"/>
          <w:color w:val="000000" w:themeColor="text1"/>
        </w:rPr>
      </w:pPr>
    </w:p>
    <w:p w:rsidR="001954C9" w:rsidRPr="00113B0A" w:rsidRDefault="001954C9" w:rsidP="001954C9">
      <w:pPr>
        <w:jc w:val="center"/>
        <w:rPr>
          <w:rFonts w:cs="Arial"/>
          <w:i/>
          <w:iCs/>
          <w:color w:val="000000" w:themeColor="text1"/>
          <w:sz w:val="16"/>
          <w:szCs w:val="16"/>
        </w:rPr>
      </w:pPr>
      <w:r w:rsidRPr="00543E9A">
        <w:rPr>
          <w:rFonts w:cs="Arial"/>
          <w:noProof/>
          <w:color w:val="000000" w:themeColor="text1"/>
          <w:lang w:eastAsia="it-CH"/>
        </w:rPr>
        <w:drawing>
          <wp:inline distT="0" distB="0" distL="0" distR="0" wp14:anchorId="0F221146" wp14:editId="28FD6241">
            <wp:extent cx="6120130" cy="2027555"/>
            <wp:effectExtent l="0" t="0" r="1270" b="4445"/>
            <wp:docPr id="6" name="Immagine 6" descr="Immagine che contiene screenshot, cielo, ner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005.png"/>
                    <pic:cNvPicPr/>
                  </pic:nvPicPr>
                  <pic:blipFill>
                    <a:blip r:embed="rId24">
                      <a:extLst>
                        <a:ext uri="{28A0092B-C50C-407E-A947-70E740481C1C}">
                          <a14:useLocalDpi xmlns:a14="http://schemas.microsoft.com/office/drawing/2010/main" val="0"/>
                        </a:ext>
                      </a:extLst>
                    </a:blip>
                    <a:stretch>
                      <a:fillRect/>
                    </a:stretch>
                  </pic:blipFill>
                  <pic:spPr>
                    <a:xfrm>
                      <a:off x="0" y="0"/>
                      <a:ext cx="6120130" cy="2027555"/>
                    </a:xfrm>
                    <a:prstGeom prst="rect">
                      <a:avLst/>
                    </a:prstGeom>
                  </pic:spPr>
                </pic:pic>
              </a:graphicData>
            </a:graphic>
          </wp:inline>
        </w:drawing>
      </w:r>
      <w:r w:rsidRPr="00113B0A">
        <w:rPr>
          <w:rFonts w:cs="Arial"/>
          <w:i/>
          <w:iCs/>
          <w:color w:val="000000" w:themeColor="text1"/>
          <w:sz w:val="16"/>
          <w:szCs w:val="16"/>
        </w:rPr>
        <w:t>Tabella 5</w:t>
      </w:r>
    </w:p>
    <w:p w:rsidR="001954C9" w:rsidRPr="00B93281" w:rsidRDefault="001954C9" w:rsidP="001954C9">
      <w:pPr>
        <w:rPr>
          <w:rFonts w:cs="Arial"/>
          <w:color w:val="000000" w:themeColor="text1"/>
          <w:sz w:val="20"/>
          <w:szCs w:val="20"/>
        </w:rPr>
      </w:pPr>
    </w:p>
    <w:p w:rsidR="001954C9" w:rsidRPr="00B93281" w:rsidRDefault="001954C9" w:rsidP="001954C9">
      <w:pPr>
        <w:rPr>
          <w:rFonts w:cs="Arial"/>
          <w:color w:val="000000" w:themeColor="text1"/>
          <w:sz w:val="20"/>
          <w:szCs w:val="20"/>
        </w:rPr>
      </w:pPr>
    </w:p>
    <w:p w:rsidR="001954C9" w:rsidRDefault="001954C9" w:rsidP="001954C9">
      <w:pPr>
        <w:rPr>
          <w:rFonts w:cs="Arial"/>
          <w:color w:val="000000" w:themeColor="text1"/>
        </w:rPr>
      </w:pPr>
      <w:r w:rsidRPr="00543E9A">
        <w:rPr>
          <w:rFonts w:cs="Arial"/>
          <w:color w:val="000000" w:themeColor="text1"/>
        </w:rPr>
        <w:t xml:space="preserve">L’ultima allocazione prevista dal DL </w:t>
      </w:r>
      <w:proofErr w:type="spellStart"/>
      <w:r w:rsidRPr="00543E9A">
        <w:rPr>
          <w:rFonts w:cs="Arial"/>
          <w:color w:val="000000" w:themeColor="text1"/>
        </w:rPr>
        <w:t>LaLPR</w:t>
      </w:r>
      <w:proofErr w:type="spellEnd"/>
      <w:r w:rsidRPr="00543E9A">
        <w:rPr>
          <w:rFonts w:cs="Arial"/>
          <w:color w:val="000000" w:themeColor="text1"/>
        </w:rPr>
        <w:t xml:space="preserve"> prevede il finanziamento tramite fondi cantonali delle iniziative indicate nella tabella seguente. Si tratta di una ripartizione che prevede una stima del contributo stanziabile per le singole iniziative.</w:t>
      </w:r>
    </w:p>
    <w:p w:rsidR="001954C9" w:rsidRPr="00543E9A" w:rsidRDefault="001954C9" w:rsidP="001954C9">
      <w:pPr>
        <w:rPr>
          <w:rFonts w:cs="Arial"/>
          <w:color w:val="000000" w:themeColor="text1"/>
        </w:rPr>
      </w:pPr>
    </w:p>
    <w:p w:rsidR="001954C9" w:rsidRPr="00543E9A" w:rsidRDefault="001954C9" w:rsidP="001954C9">
      <w:pPr>
        <w:ind w:left="709"/>
        <w:rPr>
          <w:rFonts w:cs="Arial"/>
          <w:color w:val="000000" w:themeColor="text1"/>
        </w:rPr>
      </w:pPr>
      <w:r w:rsidRPr="00543E9A">
        <w:rPr>
          <w:rFonts w:cs="Arial"/>
          <w:color w:val="000000" w:themeColor="text1"/>
        </w:rPr>
        <w:t> </w:t>
      </w:r>
      <w:r w:rsidRPr="00543E9A">
        <w:rPr>
          <w:rFonts w:cs="Arial"/>
          <w:noProof/>
          <w:color w:val="000000" w:themeColor="text1"/>
          <w:lang w:eastAsia="it-CH"/>
        </w:rPr>
        <w:drawing>
          <wp:inline distT="0" distB="0" distL="0" distR="0" wp14:anchorId="1BAF1774" wp14:editId="27238DB1">
            <wp:extent cx="4711700" cy="2044700"/>
            <wp:effectExtent l="0" t="0" r="0" b="0"/>
            <wp:docPr id="7" name="Immagine 7" descr="Immagine che contiene screensho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006.png"/>
                    <pic:cNvPicPr/>
                  </pic:nvPicPr>
                  <pic:blipFill>
                    <a:blip r:embed="rId25">
                      <a:extLst>
                        <a:ext uri="{28A0092B-C50C-407E-A947-70E740481C1C}">
                          <a14:useLocalDpi xmlns:a14="http://schemas.microsoft.com/office/drawing/2010/main" val="0"/>
                        </a:ext>
                      </a:extLst>
                    </a:blip>
                    <a:stretch>
                      <a:fillRect/>
                    </a:stretch>
                  </pic:blipFill>
                  <pic:spPr>
                    <a:xfrm>
                      <a:off x="0" y="0"/>
                      <a:ext cx="4711700" cy="2044700"/>
                    </a:xfrm>
                    <a:prstGeom prst="rect">
                      <a:avLst/>
                    </a:prstGeom>
                  </pic:spPr>
                </pic:pic>
              </a:graphicData>
            </a:graphic>
          </wp:inline>
        </w:drawing>
      </w:r>
    </w:p>
    <w:p w:rsidR="001954C9" w:rsidRPr="00543E9A" w:rsidRDefault="001954C9" w:rsidP="001954C9">
      <w:pPr>
        <w:ind w:left="709"/>
        <w:rPr>
          <w:rFonts w:cs="Arial"/>
          <w:color w:val="000000" w:themeColor="text1"/>
        </w:rPr>
      </w:pPr>
      <w:r w:rsidRPr="00543E9A">
        <w:rPr>
          <w:rFonts w:cs="Arial"/>
          <w:i/>
          <w:iCs/>
          <w:color w:val="000000" w:themeColor="text1"/>
          <w:sz w:val="18"/>
          <w:szCs w:val="18"/>
        </w:rPr>
        <w:t>Tabella 6 – *proposta di stanziamento con decreti legislativi allegati al presente messaggio.</w:t>
      </w:r>
    </w:p>
    <w:p w:rsidR="001954C9" w:rsidRPr="00B93281" w:rsidRDefault="001954C9" w:rsidP="001954C9">
      <w:pPr>
        <w:rPr>
          <w:rFonts w:cs="Arial"/>
          <w:color w:val="000000" w:themeColor="text1"/>
          <w:sz w:val="20"/>
          <w:szCs w:val="20"/>
        </w:rPr>
      </w:pPr>
    </w:p>
    <w:p w:rsidR="00955F4A" w:rsidRPr="00B93281" w:rsidRDefault="00955F4A" w:rsidP="001954C9">
      <w:pPr>
        <w:rPr>
          <w:rFonts w:cs="Arial"/>
          <w:color w:val="000000" w:themeColor="text1"/>
          <w:sz w:val="20"/>
          <w:szCs w:val="20"/>
        </w:rPr>
      </w:pPr>
    </w:p>
    <w:p w:rsidR="001954C9" w:rsidRPr="00B93281" w:rsidRDefault="001954C9" w:rsidP="001954C9">
      <w:pPr>
        <w:tabs>
          <w:tab w:val="left" w:pos="426"/>
        </w:tabs>
        <w:rPr>
          <w:rFonts w:cs="Arial"/>
          <w:sz w:val="20"/>
          <w:szCs w:val="20"/>
        </w:rPr>
      </w:pPr>
    </w:p>
    <w:p w:rsidR="001954C9" w:rsidRPr="00E039F9" w:rsidRDefault="001954C9" w:rsidP="001954C9">
      <w:pPr>
        <w:pStyle w:val="Titolo1"/>
        <w:rPr>
          <w:rFonts w:cs="Arial"/>
        </w:rPr>
      </w:pPr>
      <w:bookmarkStart w:id="21" w:name="_Toc25743289"/>
      <w:r>
        <w:rPr>
          <w:rFonts w:cs="Arial"/>
        </w:rPr>
        <w:t>MONITORAGGIO</w:t>
      </w:r>
      <w:bookmarkEnd w:id="21"/>
    </w:p>
    <w:p w:rsidR="001954C9" w:rsidRPr="008132F9" w:rsidRDefault="001954C9" w:rsidP="001954C9">
      <w:pPr>
        <w:rPr>
          <w:rFonts w:cs="Arial"/>
          <w:color w:val="000000" w:themeColor="text1"/>
        </w:rPr>
      </w:pPr>
      <w:r w:rsidRPr="008132F9">
        <w:rPr>
          <w:rFonts w:cs="Arial"/>
          <w:color w:val="000000" w:themeColor="text1"/>
        </w:rPr>
        <w:t>La Commissione economia e lavoro intende seguire da vicino l’evolversi della politica economica regionale e l’utilizzo dei vari crediti quadriennali messi a disposizione e per questo intende inaugurare, a pochi mesi dalla sua costituzione, una nuova prassi che preveda almeno un incontro annuale della Commissione con il servizio preposto, nel quale si possa fare il punto della situazione rispetto all’utilizzo dei crediti e ai progetti in corso o in divenire.</w:t>
      </w:r>
    </w:p>
    <w:p w:rsidR="001954C9" w:rsidRPr="00B93281" w:rsidRDefault="001954C9" w:rsidP="001954C9">
      <w:pPr>
        <w:tabs>
          <w:tab w:val="left" w:pos="426"/>
        </w:tabs>
        <w:rPr>
          <w:rFonts w:cs="Arial"/>
          <w:color w:val="000000" w:themeColor="text1"/>
          <w:sz w:val="20"/>
          <w:szCs w:val="20"/>
        </w:rPr>
      </w:pPr>
    </w:p>
    <w:p w:rsidR="00955F4A" w:rsidRPr="00B93281" w:rsidRDefault="00955F4A" w:rsidP="001954C9">
      <w:pPr>
        <w:tabs>
          <w:tab w:val="left" w:pos="426"/>
        </w:tabs>
        <w:rPr>
          <w:rFonts w:cs="Arial"/>
          <w:color w:val="000000" w:themeColor="text1"/>
          <w:sz w:val="20"/>
          <w:szCs w:val="20"/>
        </w:rPr>
      </w:pPr>
    </w:p>
    <w:p w:rsidR="001954C9" w:rsidRPr="00B93281" w:rsidRDefault="001954C9" w:rsidP="001954C9">
      <w:pPr>
        <w:tabs>
          <w:tab w:val="left" w:pos="426"/>
        </w:tabs>
        <w:rPr>
          <w:rFonts w:cs="Arial"/>
          <w:sz w:val="20"/>
          <w:szCs w:val="20"/>
        </w:rPr>
      </w:pPr>
    </w:p>
    <w:p w:rsidR="001954C9" w:rsidRPr="008132F9" w:rsidRDefault="001954C9" w:rsidP="001954C9">
      <w:pPr>
        <w:pStyle w:val="Titolo1"/>
        <w:rPr>
          <w:rFonts w:cs="Arial"/>
        </w:rPr>
      </w:pPr>
      <w:bookmarkStart w:id="22" w:name="_Toc24103859"/>
      <w:bookmarkStart w:id="23" w:name="_Toc25743290"/>
      <w:r w:rsidRPr="008132F9">
        <w:rPr>
          <w:rFonts w:cs="Arial"/>
        </w:rPr>
        <w:t>CONCLUSIONI</w:t>
      </w:r>
      <w:bookmarkEnd w:id="22"/>
      <w:bookmarkEnd w:id="23"/>
    </w:p>
    <w:p w:rsidR="001954C9" w:rsidRPr="000E6F55" w:rsidRDefault="001954C9" w:rsidP="001954C9">
      <w:pPr>
        <w:tabs>
          <w:tab w:val="left" w:pos="426"/>
        </w:tabs>
        <w:rPr>
          <w:rFonts w:cs="Arial"/>
          <w:color w:val="000000" w:themeColor="text1"/>
        </w:rPr>
      </w:pPr>
      <w:r w:rsidRPr="000E6F55">
        <w:rPr>
          <w:rFonts w:cs="Arial"/>
          <w:color w:val="000000" w:themeColor="text1"/>
        </w:rPr>
        <w:t xml:space="preserve">Da diversi anni la politica economica regionale gioca un ruolo centrale all’interno della politica di sviluppo economico del Cantone Ticino, risultando complementare alle altre leggi settoriali – in particolare alla Legge per l’innovazione economica e alla Legge sul </w:t>
      </w:r>
      <w:r w:rsidRPr="000E6F55">
        <w:rPr>
          <w:rFonts w:cs="Arial"/>
          <w:color w:val="000000" w:themeColor="text1"/>
        </w:rPr>
        <w:lastRenderedPageBreak/>
        <w:t xml:space="preserve">turismo – così come alle iniziative di marketing territoriale, rafforzate di recente con l’adesione del nostro Cantone alla Greater </w:t>
      </w:r>
      <w:proofErr w:type="spellStart"/>
      <w:r w:rsidRPr="000E6F55">
        <w:rPr>
          <w:rFonts w:cs="Arial"/>
          <w:color w:val="000000" w:themeColor="text1"/>
        </w:rPr>
        <w:t>Zurich</w:t>
      </w:r>
      <w:proofErr w:type="spellEnd"/>
      <w:r w:rsidRPr="000E6F55">
        <w:rPr>
          <w:rFonts w:cs="Arial"/>
          <w:color w:val="000000" w:themeColor="text1"/>
        </w:rPr>
        <w:t xml:space="preserve"> Area (GZA). </w:t>
      </w:r>
    </w:p>
    <w:p w:rsidR="001954C9" w:rsidRPr="000E6F55" w:rsidRDefault="001954C9" w:rsidP="001954C9">
      <w:pPr>
        <w:tabs>
          <w:tab w:val="left" w:pos="426"/>
        </w:tabs>
        <w:rPr>
          <w:rFonts w:cs="Arial"/>
          <w:color w:val="000000" w:themeColor="text1"/>
        </w:rPr>
      </w:pPr>
    </w:p>
    <w:p w:rsidR="001954C9" w:rsidRPr="000E6F55" w:rsidRDefault="001954C9" w:rsidP="001954C9">
      <w:pPr>
        <w:tabs>
          <w:tab w:val="left" w:pos="426"/>
        </w:tabs>
        <w:rPr>
          <w:rFonts w:cs="Arial"/>
          <w:color w:val="000000" w:themeColor="text1"/>
        </w:rPr>
      </w:pPr>
      <w:r w:rsidRPr="000E6F55">
        <w:rPr>
          <w:rFonts w:cs="Arial"/>
          <w:color w:val="000000" w:themeColor="text1"/>
        </w:rPr>
        <w:t xml:space="preserve">Il periodo 2016-2019 è stato un quadriennio senz’altro positivo per la politica economica regionale. I numerosi progetti sviluppati e le misure messe in atto negli scorsi anni hanno permesso di raggiungere importanti obiettivi a favore delle nostre PMI, del settore turistico e delle regioni periferiche. Si tratta pertanto di dare continuità alle politiche intraprese, allo scopo di favorire uno sviluppo economico equilibrato e duraturo, così come di mantenere e creare posti di lavoro interessanti e adeguatamente retribuiti. Sono infatti queste le migliori premesse per garantire coesione sociale e qualità di vita nel nostro Cantone. </w:t>
      </w:r>
    </w:p>
    <w:p w:rsidR="001954C9" w:rsidRPr="000E6F55" w:rsidRDefault="001954C9" w:rsidP="001954C9">
      <w:pPr>
        <w:tabs>
          <w:tab w:val="left" w:pos="426"/>
        </w:tabs>
        <w:rPr>
          <w:rFonts w:cs="Arial"/>
          <w:color w:val="000000" w:themeColor="text1"/>
        </w:rPr>
      </w:pPr>
    </w:p>
    <w:p w:rsidR="001954C9" w:rsidRPr="000E6F55" w:rsidRDefault="001954C9" w:rsidP="001954C9">
      <w:pPr>
        <w:tabs>
          <w:tab w:val="left" w:pos="426"/>
        </w:tabs>
        <w:rPr>
          <w:rFonts w:cs="Arial"/>
          <w:color w:val="000000" w:themeColor="text1"/>
        </w:rPr>
      </w:pPr>
      <w:r w:rsidRPr="000E6F55">
        <w:rPr>
          <w:rFonts w:cs="Arial"/>
          <w:color w:val="000000" w:themeColor="text1"/>
        </w:rPr>
        <w:t>Quanto previsto nell’ambito della politica economica regionale potrà fornire un contributo rilevante nell’affrontare al meglio la sfida della rivoluzione digitale, in modo da cogliere le opportunità e minimizzare gli aspetti critici legati a questo fenomeno. Si saluta inoltre positivamente l’attenzione rivolta al rispetto dei principi dello sviluppo sostenibile, dell’uso parsimonioso del suolo e della responsabilità sociale delle imprese. </w:t>
      </w:r>
    </w:p>
    <w:p w:rsidR="001954C9" w:rsidRPr="000E6F55" w:rsidRDefault="001954C9" w:rsidP="001954C9">
      <w:pPr>
        <w:tabs>
          <w:tab w:val="left" w:pos="426"/>
        </w:tabs>
        <w:rPr>
          <w:rFonts w:cs="Arial"/>
          <w:color w:val="000000" w:themeColor="text1"/>
        </w:rPr>
      </w:pPr>
    </w:p>
    <w:p w:rsidR="001954C9" w:rsidRPr="000E6F55" w:rsidRDefault="001954C9" w:rsidP="001954C9">
      <w:pPr>
        <w:tabs>
          <w:tab w:val="left" w:pos="426"/>
        </w:tabs>
        <w:rPr>
          <w:rFonts w:cs="Arial"/>
          <w:color w:val="000000" w:themeColor="text1"/>
        </w:rPr>
      </w:pPr>
      <w:r w:rsidRPr="000E6F55">
        <w:rPr>
          <w:rFonts w:cs="Arial"/>
          <w:color w:val="000000" w:themeColor="text1"/>
        </w:rPr>
        <w:t>La Commissione economia e lavoro valuta quindi positivamente il messaggio del Consiglio di Stato e invita il Gran Consiglio a confermare il credito quadro di 40 milioni di franchi per attuare misure di politica economica regionale nel quadriennio 2020-2023. Naturalmente la loro efficacia dipenderà in gran parte anche dal contributo che sapranno fornire i vari attori in gioco, nonché dalla progettualità e dalle iniziative che saprà mettere in campo il settore privato.</w:t>
      </w:r>
    </w:p>
    <w:p w:rsidR="001954C9" w:rsidRPr="00B93281" w:rsidRDefault="001954C9" w:rsidP="001954C9">
      <w:pPr>
        <w:tabs>
          <w:tab w:val="left" w:pos="426"/>
        </w:tabs>
        <w:rPr>
          <w:rFonts w:cs="Arial"/>
          <w:color w:val="000000" w:themeColor="text1"/>
          <w:sz w:val="20"/>
          <w:szCs w:val="20"/>
        </w:rPr>
      </w:pPr>
    </w:p>
    <w:p w:rsidR="00955F4A" w:rsidRPr="00B93281" w:rsidRDefault="00955F4A" w:rsidP="001954C9">
      <w:pPr>
        <w:tabs>
          <w:tab w:val="left" w:pos="426"/>
        </w:tabs>
        <w:rPr>
          <w:rFonts w:cs="Arial"/>
          <w:color w:val="000000" w:themeColor="text1"/>
          <w:sz w:val="20"/>
          <w:szCs w:val="20"/>
        </w:rPr>
      </w:pPr>
    </w:p>
    <w:p w:rsidR="001954C9" w:rsidRPr="00B93281" w:rsidRDefault="001954C9" w:rsidP="001954C9">
      <w:pPr>
        <w:tabs>
          <w:tab w:val="left" w:pos="426"/>
        </w:tabs>
        <w:rPr>
          <w:rFonts w:cs="Arial"/>
          <w:color w:val="000000" w:themeColor="text1"/>
          <w:sz w:val="20"/>
          <w:szCs w:val="20"/>
        </w:rPr>
      </w:pPr>
    </w:p>
    <w:p w:rsidR="001954C9" w:rsidRPr="007F5F8F" w:rsidRDefault="001954C9" w:rsidP="001954C9">
      <w:pPr>
        <w:pStyle w:val="Titolo1"/>
      </w:pPr>
      <w:bookmarkStart w:id="24" w:name="_Toc25743291"/>
      <w:r w:rsidRPr="007F5F8F">
        <w:t>Emendamenti</w:t>
      </w:r>
      <w:bookmarkEnd w:id="24"/>
    </w:p>
    <w:p w:rsidR="001954C9" w:rsidRDefault="001954C9" w:rsidP="001954C9">
      <w:pPr>
        <w:tabs>
          <w:tab w:val="left" w:pos="426"/>
        </w:tabs>
        <w:rPr>
          <w:rFonts w:cs="Arial"/>
          <w:color w:val="000000" w:themeColor="text1"/>
        </w:rPr>
      </w:pPr>
      <w:r w:rsidRPr="007F5F8F">
        <w:rPr>
          <w:rFonts w:cs="Arial"/>
          <w:color w:val="000000" w:themeColor="text1"/>
        </w:rPr>
        <w:t>A seguito delle discussioni avvenute durante le se</w:t>
      </w:r>
      <w:r>
        <w:rPr>
          <w:rFonts w:cs="Arial"/>
          <w:color w:val="000000" w:themeColor="text1"/>
        </w:rPr>
        <w:t>d</w:t>
      </w:r>
      <w:r w:rsidRPr="007F5F8F">
        <w:rPr>
          <w:rFonts w:cs="Arial"/>
          <w:color w:val="000000" w:themeColor="text1"/>
        </w:rPr>
        <w:t>ute commissionali è emersa la necessità di sostenere</w:t>
      </w:r>
      <w:r>
        <w:rPr>
          <w:rFonts w:cs="Arial"/>
          <w:color w:val="000000" w:themeColor="text1"/>
        </w:rPr>
        <w:t xml:space="preserve"> con contributi aggiuntivi </w:t>
      </w:r>
      <w:r w:rsidRPr="00AC4BE6">
        <w:rPr>
          <w:rFonts w:cs="Arial"/>
          <w:color w:val="000000" w:themeColor="text1"/>
        </w:rPr>
        <w:t>progetti ubicati nelle zone discoste o progetti di particolare valenza ambientale fino a un massimo del 65% dell’importo computabile.</w:t>
      </w:r>
      <w:r>
        <w:rPr>
          <w:rFonts w:cs="Arial"/>
          <w:color w:val="000000" w:themeColor="text1"/>
        </w:rPr>
        <w:t xml:space="preserve"> Essenzialmente con questa modifica la commissione economia e lavoro intende </w:t>
      </w:r>
      <w:r w:rsidRPr="00AC4BE6">
        <w:rPr>
          <w:rFonts w:cs="Arial"/>
          <w:color w:val="000000" w:themeColor="text1"/>
        </w:rPr>
        <w:t>supportare con ancor più convinzione quei progetti che contribuiscono a rivitalizzare le zone più periferiche del nostro Cantone, ma anche per sostenere quei progetti di valenza ambientale che contribuiscano attivamente</w:t>
      </w:r>
      <w:r>
        <w:rPr>
          <w:rFonts w:cs="Arial"/>
          <w:color w:val="000000" w:themeColor="text1"/>
        </w:rPr>
        <w:t xml:space="preserve"> a migliorare il clima. Naturalmente, questi progetti devono sempre avere una ricaduta economica indiretta in termini di creazione di valore e indotto ma anche di opportunità di lavoro. </w:t>
      </w:r>
      <w:r w:rsidRPr="00E039F9">
        <w:rPr>
          <w:rFonts w:cs="Arial"/>
          <w:color w:val="000000" w:themeColor="text1"/>
        </w:rPr>
        <w:t>Sono di principio esclusi dalla possibilità di sostenere oltre al 50% quei progetti privati che hanno un indotto diretto, mentre rientrano nella casistica i progetti per i quali gli indotti e le ricadute sono spesso a livello indiretto.</w:t>
      </w:r>
    </w:p>
    <w:p w:rsidR="001954C9" w:rsidRPr="00AC4BE6" w:rsidRDefault="001954C9" w:rsidP="001954C9">
      <w:pPr>
        <w:tabs>
          <w:tab w:val="left" w:pos="426"/>
        </w:tabs>
        <w:rPr>
          <w:rFonts w:cs="Arial"/>
          <w:color w:val="000000" w:themeColor="text1"/>
        </w:rPr>
      </w:pPr>
      <w:r>
        <w:rPr>
          <w:rFonts w:cs="Arial"/>
          <w:color w:val="000000" w:themeColor="text1"/>
        </w:rPr>
        <w:t>Per essere più specifici occorre spiegare che n</w:t>
      </w:r>
      <w:r w:rsidRPr="00AC4BE6">
        <w:rPr>
          <w:rFonts w:cs="Arial"/>
          <w:color w:val="000000" w:themeColor="text1"/>
        </w:rPr>
        <w:t xml:space="preserve">elle proposte di modifiche </w:t>
      </w:r>
      <w:r>
        <w:rPr>
          <w:rFonts w:cs="Arial"/>
          <w:color w:val="000000" w:themeColor="text1"/>
        </w:rPr>
        <w:t>l</w:t>
      </w:r>
      <w:r w:rsidRPr="00AC4BE6">
        <w:rPr>
          <w:rFonts w:cs="Arial"/>
          <w:color w:val="000000" w:themeColor="text1"/>
        </w:rPr>
        <w:t>egislative, il Consiglio di Stato esplicita la possibilità di sussidiare in maniera forfettaria un’iniziativa e soprattutto prevede esplicitamente quella che oggi è una prassi, vale a dire l’esclusione dal calcolo per il cumulo i fondi perequativi intercomunali, i fondi dell’aiuto patrizia</w:t>
      </w:r>
      <w:r>
        <w:rPr>
          <w:rFonts w:cs="Arial"/>
          <w:color w:val="000000" w:themeColor="text1"/>
        </w:rPr>
        <w:t>le</w:t>
      </w:r>
      <w:r w:rsidRPr="00AC4BE6">
        <w:rPr>
          <w:rFonts w:cs="Arial"/>
          <w:color w:val="000000" w:themeColor="text1"/>
        </w:rPr>
        <w:t xml:space="preserve">, i finanziamenti derivanti da procedure aggregative, così come i finanziamenti da fondi cantonali nei quali confluisce l’utile netto delle lotterie e delle scommesse sportive, destinati a scopi d’utilità pubblica, segnatamente in ambito culturale, sociale e sportivo. Tale impostazione - spiega il messaggio governativo - risulta determinante per permettere a iniziative nelle regioni periferiche cantonali di raggiungere una solidità finanziaria sufficiente per permettere la loro concretizzazione andando oltre al limite di finanziamento del 50% dell’importo computabile. La Commissione economia e lavoro condivide questa modifica e, nello spirito dello stessa, propone </w:t>
      </w:r>
      <w:r>
        <w:rPr>
          <w:rFonts w:cs="Arial"/>
          <w:color w:val="000000" w:themeColor="text1"/>
        </w:rPr>
        <w:t>due</w:t>
      </w:r>
      <w:r w:rsidRPr="00AC4BE6">
        <w:rPr>
          <w:rFonts w:cs="Arial"/>
          <w:color w:val="000000" w:themeColor="text1"/>
        </w:rPr>
        <w:t xml:space="preserve"> emendament</w:t>
      </w:r>
      <w:r>
        <w:rPr>
          <w:rFonts w:cs="Arial"/>
          <w:color w:val="000000" w:themeColor="text1"/>
        </w:rPr>
        <w:t>i simili</w:t>
      </w:r>
      <w:r w:rsidRPr="00AC4BE6">
        <w:rPr>
          <w:rFonts w:cs="Arial"/>
          <w:color w:val="000000" w:themeColor="text1"/>
        </w:rPr>
        <w:t xml:space="preserve"> per permettere puntualmente a dei progetti situati in zone discoste o a dei progetti di particolare valenza </w:t>
      </w:r>
      <w:r w:rsidRPr="00AC4BE6">
        <w:rPr>
          <w:rFonts w:cs="Arial"/>
          <w:color w:val="000000" w:themeColor="text1"/>
        </w:rPr>
        <w:lastRenderedPageBreak/>
        <w:t>ambientale che non beneficiano dei fondi esclusi dall’articolo di legge - e che presentano ricadute perlopiù indirette - di beneficiare di sussidi a fondo perso aggiuntivi fino a un massimo del 65% dell’importo computabile.</w:t>
      </w:r>
    </w:p>
    <w:p w:rsidR="001954C9" w:rsidRPr="00AC4BE6" w:rsidRDefault="001954C9" w:rsidP="001954C9">
      <w:pPr>
        <w:tabs>
          <w:tab w:val="left" w:pos="426"/>
        </w:tabs>
        <w:rPr>
          <w:rFonts w:cs="Arial"/>
          <w:color w:val="000000" w:themeColor="text1"/>
        </w:rPr>
      </w:pPr>
    </w:p>
    <w:p w:rsidR="001954C9" w:rsidRPr="007F5F8F" w:rsidRDefault="001954C9" w:rsidP="001954C9">
      <w:pPr>
        <w:tabs>
          <w:tab w:val="left" w:pos="426"/>
        </w:tabs>
        <w:rPr>
          <w:rFonts w:cs="Arial"/>
          <w:color w:val="000000" w:themeColor="text1"/>
        </w:rPr>
      </w:pPr>
      <w:r w:rsidRPr="007F5F8F">
        <w:rPr>
          <w:rFonts w:cs="Arial"/>
          <w:color w:val="000000" w:themeColor="text1"/>
        </w:rPr>
        <w:t>Le proposte di emendamento sono riportate in grassetto qui di seguito:</w:t>
      </w:r>
    </w:p>
    <w:p w:rsidR="001954C9" w:rsidRDefault="001954C9" w:rsidP="001954C9">
      <w:pPr>
        <w:tabs>
          <w:tab w:val="left" w:pos="426"/>
        </w:tabs>
        <w:rPr>
          <w:rFonts w:cs="Arial"/>
          <w:color w:val="000000" w:themeColor="text1"/>
        </w:rPr>
      </w:pPr>
    </w:p>
    <w:p w:rsidR="007D5DB3" w:rsidRPr="007F5F8F" w:rsidRDefault="007D5DB3" w:rsidP="007D5DB3">
      <w:pPr>
        <w:tabs>
          <w:tab w:val="left" w:pos="426"/>
        </w:tabs>
        <w:rPr>
          <w:rFonts w:cs="Arial"/>
          <w:color w:val="000000" w:themeColor="text1"/>
        </w:rPr>
      </w:pPr>
    </w:p>
    <w:p w:rsidR="007D5DB3" w:rsidRPr="007D5DB3" w:rsidRDefault="007D5DB3" w:rsidP="007D5DB3">
      <w:pPr>
        <w:rPr>
          <w:rFonts w:cs="Arial"/>
          <w:b/>
          <w:color w:val="000000" w:themeColor="text1"/>
          <w:sz w:val="22"/>
        </w:rPr>
      </w:pPr>
      <w:r w:rsidRPr="007D5DB3">
        <w:rPr>
          <w:rFonts w:cs="Arial"/>
          <w:b/>
          <w:color w:val="000000" w:themeColor="text1"/>
          <w:sz w:val="22"/>
        </w:rPr>
        <w:t xml:space="preserve">Decreto legislativo concernente lo stanziamento di un credito quadro di 13'000'000 di franchi a favore di misure cantonali di politica regionale complementari al programma d’attuazione della politica economica regionale 2020-2023 </w:t>
      </w:r>
    </w:p>
    <w:p w:rsidR="007D5DB3" w:rsidRPr="00E039F9" w:rsidRDefault="007D5DB3" w:rsidP="007D5DB3">
      <w:pPr>
        <w:tabs>
          <w:tab w:val="left" w:pos="426"/>
        </w:tabs>
        <w:rPr>
          <w:rFonts w:cs="Arial"/>
          <w:color w:val="000000" w:themeColor="text1"/>
        </w:rPr>
      </w:pPr>
    </w:p>
    <w:p w:rsidR="007D5DB3" w:rsidRPr="007D5DB3" w:rsidRDefault="007D5DB3" w:rsidP="007D5DB3">
      <w:pPr>
        <w:tabs>
          <w:tab w:val="left" w:pos="993"/>
        </w:tabs>
        <w:ind w:left="993" w:hanging="426"/>
        <w:rPr>
          <w:rFonts w:cs="Arial"/>
          <w:b/>
          <w:color w:val="000000" w:themeColor="text1"/>
          <w:sz w:val="22"/>
          <w:u w:val="single"/>
        </w:rPr>
      </w:pPr>
      <w:r w:rsidRPr="007D5DB3">
        <w:rPr>
          <w:rFonts w:cs="Arial"/>
          <w:b/>
          <w:color w:val="000000" w:themeColor="text1"/>
          <w:sz w:val="22"/>
          <w:u w:val="single"/>
        </w:rPr>
        <w:t xml:space="preserve">Articolo 4 cpv. 2, </w:t>
      </w:r>
      <w:proofErr w:type="spellStart"/>
      <w:r w:rsidRPr="007D5DB3">
        <w:rPr>
          <w:rFonts w:cs="Arial"/>
          <w:b/>
          <w:color w:val="000000" w:themeColor="text1"/>
          <w:sz w:val="22"/>
          <w:u w:val="single"/>
        </w:rPr>
        <w:t>lett</w:t>
      </w:r>
      <w:proofErr w:type="spellEnd"/>
      <w:r w:rsidRPr="007D5DB3">
        <w:rPr>
          <w:rFonts w:cs="Arial"/>
          <w:b/>
          <w:color w:val="000000" w:themeColor="text1"/>
          <w:sz w:val="22"/>
          <w:u w:val="single"/>
        </w:rPr>
        <w:t>. b)</w:t>
      </w:r>
    </w:p>
    <w:p w:rsidR="007D5DB3" w:rsidRPr="007D5DB3" w:rsidRDefault="007D5DB3" w:rsidP="007D5DB3">
      <w:pPr>
        <w:tabs>
          <w:tab w:val="left" w:pos="993"/>
        </w:tabs>
        <w:spacing w:before="120"/>
        <w:ind w:left="993" w:hanging="426"/>
        <w:rPr>
          <w:rFonts w:cs="Arial"/>
          <w:b/>
          <w:bCs/>
          <w:color w:val="000000" w:themeColor="text1"/>
          <w:sz w:val="22"/>
        </w:rPr>
      </w:pPr>
      <w:r>
        <w:rPr>
          <w:rFonts w:cs="Arial"/>
          <w:color w:val="000000" w:themeColor="text1"/>
          <w:sz w:val="22"/>
        </w:rPr>
        <w:t>b)</w:t>
      </w:r>
      <w:r>
        <w:rPr>
          <w:rFonts w:cs="Arial"/>
          <w:color w:val="000000" w:themeColor="text1"/>
          <w:sz w:val="22"/>
        </w:rPr>
        <w:tab/>
        <w:t>il</w:t>
      </w:r>
      <w:r w:rsidRPr="007D5DB3">
        <w:rPr>
          <w:rFonts w:cs="Arial"/>
          <w:color w:val="000000" w:themeColor="text1"/>
          <w:sz w:val="22"/>
        </w:rPr>
        <w:t xml:space="preserve"> cumulo dei sussidi concessi a un singolo progetto attraverso le leggi cantonali e federali non può̀ superare il 50% dell’importo computabile. Sono esclusi dal calcolo per il cumulo i fondi perequativi intercomunali, i fondi dell’aiuto patriziale, i finanziamenti derivanti da procedure aggregative così come fondi cantonali, nei quali confluisce l’utile netto delle lotterie e delle scommesse sportive, destinati a scopi d’</w:t>
      </w:r>
      <w:proofErr w:type="spellStart"/>
      <w:r w:rsidRPr="007D5DB3">
        <w:rPr>
          <w:rFonts w:cs="Arial"/>
          <w:color w:val="000000" w:themeColor="text1"/>
          <w:sz w:val="22"/>
        </w:rPr>
        <w:t>utilita</w:t>
      </w:r>
      <w:proofErr w:type="spellEnd"/>
      <w:r w:rsidRPr="007D5DB3">
        <w:rPr>
          <w:rFonts w:cs="Arial"/>
          <w:color w:val="000000" w:themeColor="text1"/>
          <w:sz w:val="22"/>
        </w:rPr>
        <w:t>̀ pubblica, segnatamente in ambito culturale, sociale e sportivo.</w:t>
      </w:r>
      <w:r w:rsidRPr="007D5DB3">
        <w:rPr>
          <w:rFonts w:cs="Arial"/>
          <w:b/>
          <w:bCs/>
          <w:sz w:val="22"/>
        </w:rPr>
        <w:t xml:space="preserve"> </w:t>
      </w:r>
      <w:r w:rsidRPr="007D5DB3">
        <w:rPr>
          <w:rFonts w:cs="Arial"/>
          <w:b/>
          <w:bCs/>
          <w:color w:val="000000" w:themeColor="text1"/>
          <w:sz w:val="22"/>
        </w:rPr>
        <w:t>Per progetti ubicati nelle zone discoste o progetti di particolare valenza ambientale che non beneficiano dei citati fondi esclusi dal calcolo per il cumulo e che presentano ricadute perlopiù indirette è possibile stanziare sussidi a fondo perso aggiuntivi fino a un massimo d</w:t>
      </w:r>
      <w:r w:rsidR="00194073">
        <w:rPr>
          <w:rFonts w:cs="Arial"/>
          <w:b/>
          <w:bCs/>
          <w:color w:val="000000" w:themeColor="text1"/>
          <w:sz w:val="22"/>
        </w:rPr>
        <w:t>el 65% dell’importo computabile;</w:t>
      </w:r>
    </w:p>
    <w:p w:rsidR="007D5DB3" w:rsidRDefault="007D5DB3" w:rsidP="001954C9">
      <w:pPr>
        <w:tabs>
          <w:tab w:val="left" w:pos="426"/>
        </w:tabs>
        <w:rPr>
          <w:rFonts w:cs="Arial"/>
          <w:color w:val="000000" w:themeColor="text1"/>
        </w:rPr>
      </w:pPr>
    </w:p>
    <w:p w:rsidR="007D5DB3" w:rsidRDefault="007D5DB3" w:rsidP="001954C9">
      <w:pPr>
        <w:tabs>
          <w:tab w:val="left" w:pos="426"/>
        </w:tabs>
        <w:rPr>
          <w:rFonts w:cs="Arial"/>
          <w:color w:val="000000" w:themeColor="text1"/>
        </w:rPr>
      </w:pPr>
    </w:p>
    <w:p w:rsidR="007D5DB3" w:rsidRPr="00642776" w:rsidRDefault="007D5DB3" w:rsidP="007D5DB3">
      <w:pPr>
        <w:tabs>
          <w:tab w:val="left" w:pos="426"/>
        </w:tabs>
        <w:rPr>
          <w:rFonts w:cs="Arial"/>
          <w:b/>
          <w:color w:val="000000" w:themeColor="text1"/>
          <w:sz w:val="22"/>
        </w:rPr>
      </w:pPr>
      <w:r w:rsidRPr="00642776">
        <w:rPr>
          <w:rFonts w:cs="Arial"/>
          <w:b/>
          <w:color w:val="000000" w:themeColor="text1"/>
          <w:sz w:val="22"/>
        </w:rPr>
        <w:t>Legge d’applicazione della legge federale sulla politica regionale del 22 giugno 2009</w:t>
      </w:r>
    </w:p>
    <w:p w:rsidR="007D5DB3" w:rsidRDefault="007D5DB3" w:rsidP="007D5DB3">
      <w:pPr>
        <w:tabs>
          <w:tab w:val="left" w:pos="426"/>
        </w:tabs>
        <w:rPr>
          <w:rFonts w:cs="Arial"/>
          <w:color w:val="000000" w:themeColor="text1"/>
        </w:rPr>
      </w:pPr>
    </w:p>
    <w:p w:rsidR="007D5DB3" w:rsidRPr="007D5DB3" w:rsidRDefault="007D5DB3" w:rsidP="00642776">
      <w:pPr>
        <w:ind w:left="567"/>
        <w:rPr>
          <w:rFonts w:cs="Arial"/>
          <w:b/>
          <w:color w:val="000000" w:themeColor="text1"/>
          <w:sz w:val="22"/>
          <w:u w:val="single"/>
        </w:rPr>
      </w:pPr>
      <w:r w:rsidRPr="007D5DB3">
        <w:rPr>
          <w:rFonts w:cs="Arial"/>
          <w:b/>
          <w:color w:val="000000" w:themeColor="text1"/>
          <w:sz w:val="22"/>
          <w:u w:val="single"/>
        </w:rPr>
        <w:t xml:space="preserve">Articolo 15 cpv. 2, </w:t>
      </w:r>
      <w:proofErr w:type="spellStart"/>
      <w:r w:rsidRPr="007D5DB3">
        <w:rPr>
          <w:rFonts w:cs="Arial"/>
          <w:b/>
          <w:color w:val="000000" w:themeColor="text1"/>
          <w:sz w:val="22"/>
          <w:u w:val="single"/>
        </w:rPr>
        <w:t>lett</w:t>
      </w:r>
      <w:proofErr w:type="spellEnd"/>
      <w:r w:rsidRPr="007D5DB3">
        <w:rPr>
          <w:rFonts w:cs="Arial"/>
          <w:b/>
          <w:color w:val="000000" w:themeColor="text1"/>
          <w:sz w:val="22"/>
          <w:u w:val="single"/>
        </w:rPr>
        <w:t>. c)</w:t>
      </w:r>
    </w:p>
    <w:p w:rsidR="007D5DB3" w:rsidRPr="007D5DB3" w:rsidRDefault="00B93281" w:rsidP="00B93281">
      <w:pPr>
        <w:tabs>
          <w:tab w:val="left" w:pos="993"/>
        </w:tabs>
        <w:spacing w:before="120"/>
        <w:ind w:left="993" w:hanging="426"/>
        <w:rPr>
          <w:rFonts w:cs="Arial"/>
          <w:b/>
          <w:bCs/>
          <w:color w:val="000000" w:themeColor="text1"/>
          <w:sz w:val="22"/>
        </w:rPr>
      </w:pPr>
      <w:r>
        <w:rPr>
          <w:rFonts w:cs="Arial"/>
          <w:color w:val="000000" w:themeColor="text1"/>
          <w:sz w:val="22"/>
        </w:rPr>
        <w:t>c)</w:t>
      </w:r>
      <w:r>
        <w:rPr>
          <w:rFonts w:cs="Arial"/>
          <w:color w:val="000000" w:themeColor="text1"/>
          <w:sz w:val="22"/>
        </w:rPr>
        <w:tab/>
      </w:r>
      <w:r w:rsidR="007D5DB3" w:rsidRPr="007D5DB3">
        <w:rPr>
          <w:rFonts w:cs="Arial"/>
          <w:color w:val="000000" w:themeColor="text1"/>
          <w:sz w:val="22"/>
        </w:rPr>
        <w:t xml:space="preserve">II cumulo dei sussidi concessi a un singolo progetto attraverso le leggi cantonali e federali non </w:t>
      </w:r>
      <w:proofErr w:type="spellStart"/>
      <w:r w:rsidR="007D5DB3" w:rsidRPr="007D5DB3">
        <w:rPr>
          <w:rFonts w:cs="Arial"/>
          <w:color w:val="000000" w:themeColor="text1"/>
          <w:sz w:val="22"/>
        </w:rPr>
        <w:t>puo</w:t>
      </w:r>
      <w:proofErr w:type="spellEnd"/>
      <w:r w:rsidR="007D5DB3" w:rsidRPr="007D5DB3">
        <w:rPr>
          <w:rFonts w:cs="Arial"/>
          <w:color w:val="000000" w:themeColor="text1"/>
          <w:sz w:val="22"/>
        </w:rPr>
        <w:t>̀ superare il 50% dell’importo computabile. Sono esclusi dal calcolo per il cumulo i fondi perequativi intercomunali, i fondi dell’aiuto patriziale, i finanziamenti derivanti da procedure aggregative così come fondi cantonali, nei quali confluisce l’utile netto delle lotterie e delle scommesse sportive, destinati a scopi d’</w:t>
      </w:r>
      <w:proofErr w:type="spellStart"/>
      <w:r w:rsidR="007D5DB3" w:rsidRPr="007D5DB3">
        <w:rPr>
          <w:rFonts w:cs="Arial"/>
          <w:color w:val="000000" w:themeColor="text1"/>
          <w:sz w:val="22"/>
        </w:rPr>
        <w:t>utilita</w:t>
      </w:r>
      <w:proofErr w:type="spellEnd"/>
      <w:r w:rsidR="007D5DB3" w:rsidRPr="007D5DB3">
        <w:rPr>
          <w:rFonts w:cs="Arial"/>
          <w:color w:val="000000" w:themeColor="text1"/>
          <w:sz w:val="22"/>
        </w:rPr>
        <w:t>̀ pubblica, segnatamente in ambito culturale, sociale e sportivo.</w:t>
      </w:r>
      <w:r w:rsidR="007D5DB3" w:rsidRPr="007D5DB3">
        <w:rPr>
          <w:rFonts w:cs="Arial"/>
          <w:b/>
          <w:bCs/>
          <w:sz w:val="22"/>
        </w:rPr>
        <w:t xml:space="preserve"> </w:t>
      </w:r>
      <w:r w:rsidR="007D5DB3" w:rsidRPr="007D5DB3">
        <w:rPr>
          <w:rFonts w:cs="Arial"/>
          <w:b/>
          <w:bCs/>
          <w:color w:val="000000" w:themeColor="text1"/>
          <w:sz w:val="22"/>
        </w:rPr>
        <w:t xml:space="preserve">Per progetti ubicati nelle zone discoste o progetti di particolare valenza ambientale che non beneficiano dei citati fondi esclusi dal calcolo per il cumulo e che presentano ricadute perlopiù indirette è possibile stanziare sussidi a fondo perso aggiuntivi fino a un massimo del 65% dell’importo </w:t>
      </w:r>
      <w:r w:rsidR="00194073">
        <w:rPr>
          <w:rFonts w:cs="Arial"/>
          <w:b/>
          <w:bCs/>
          <w:color w:val="000000" w:themeColor="text1"/>
          <w:sz w:val="22"/>
        </w:rPr>
        <w:t>computabile;</w:t>
      </w:r>
    </w:p>
    <w:p w:rsidR="001954C9" w:rsidRDefault="001954C9" w:rsidP="001954C9">
      <w:pPr>
        <w:tabs>
          <w:tab w:val="left" w:pos="426"/>
        </w:tabs>
        <w:rPr>
          <w:rFonts w:cs="Arial"/>
          <w:color w:val="000000" w:themeColor="text1"/>
        </w:rPr>
      </w:pPr>
    </w:p>
    <w:p w:rsidR="001954C9" w:rsidRPr="00AC4BE6" w:rsidRDefault="001954C9" w:rsidP="001954C9">
      <w:pPr>
        <w:tabs>
          <w:tab w:val="left" w:pos="426"/>
        </w:tabs>
        <w:rPr>
          <w:color w:val="000000" w:themeColor="text1"/>
        </w:rPr>
      </w:pPr>
    </w:p>
    <w:p w:rsidR="001954C9" w:rsidRDefault="001954C9" w:rsidP="001954C9">
      <w:pPr>
        <w:jc w:val="center"/>
        <w:rPr>
          <w:sz w:val="28"/>
        </w:rPr>
      </w:pPr>
      <w:r>
        <w:rPr>
          <w:sz w:val="28"/>
        </w:rPr>
        <w:fldChar w:fldCharType="begin"/>
      </w:r>
      <w:r>
        <w:rPr>
          <w:sz w:val="28"/>
        </w:rPr>
        <w:instrText>SYMBOL 175 \f "Wingdings"</w:instrText>
      </w:r>
      <w:r>
        <w:rPr>
          <w:sz w:val="28"/>
        </w:rPr>
        <w:fldChar w:fldCharType="end"/>
      </w:r>
      <w:r>
        <w:rPr>
          <w:sz w:val="28"/>
        </w:rPr>
        <w:t xml:space="preserve"> </w:t>
      </w:r>
      <w:r>
        <w:rPr>
          <w:sz w:val="28"/>
        </w:rPr>
        <w:fldChar w:fldCharType="begin"/>
      </w:r>
      <w:r>
        <w:rPr>
          <w:sz w:val="28"/>
        </w:rPr>
        <w:instrText>SYMBOL 175 \f "Wingdings"</w:instrText>
      </w:r>
      <w:r>
        <w:rPr>
          <w:sz w:val="28"/>
        </w:rPr>
        <w:fldChar w:fldCharType="end"/>
      </w:r>
      <w:r>
        <w:rPr>
          <w:sz w:val="28"/>
        </w:rPr>
        <w:t xml:space="preserve"> </w:t>
      </w:r>
      <w:r>
        <w:rPr>
          <w:sz w:val="28"/>
        </w:rPr>
        <w:fldChar w:fldCharType="begin"/>
      </w:r>
      <w:r>
        <w:rPr>
          <w:sz w:val="28"/>
        </w:rPr>
        <w:instrText>SYMBOL 175 \f "Wingdings"</w:instrText>
      </w:r>
      <w:r>
        <w:rPr>
          <w:sz w:val="28"/>
        </w:rPr>
        <w:fldChar w:fldCharType="end"/>
      </w:r>
      <w:r>
        <w:rPr>
          <w:sz w:val="28"/>
        </w:rPr>
        <w:t xml:space="preserve"> </w:t>
      </w:r>
      <w:r>
        <w:rPr>
          <w:sz w:val="28"/>
        </w:rPr>
        <w:fldChar w:fldCharType="begin"/>
      </w:r>
      <w:r>
        <w:rPr>
          <w:sz w:val="28"/>
        </w:rPr>
        <w:instrText>SYMBOL 175 \f "Wingdings"</w:instrText>
      </w:r>
      <w:r>
        <w:rPr>
          <w:sz w:val="28"/>
        </w:rPr>
        <w:fldChar w:fldCharType="end"/>
      </w:r>
      <w:r>
        <w:rPr>
          <w:sz w:val="28"/>
        </w:rPr>
        <w:t xml:space="preserve"> </w:t>
      </w:r>
      <w:r>
        <w:rPr>
          <w:sz w:val="28"/>
        </w:rPr>
        <w:fldChar w:fldCharType="begin"/>
      </w:r>
      <w:r>
        <w:rPr>
          <w:sz w:val="28"/>
        </w:rPr>
        <w:instrText>SYMBOL 175 \f "Wingdings"</w:instrText>
      </w:r>
      <w:r>
        <w:rPr>
          <w:sz w:val="28"/>
        </w:rPr>
        <w:fldChar w:fldCharType="end"/>
      </w:r>
    </w:p>
    <w:p w:rsidR="001954C9" w:rsidRPr="000E6F55" w:rsidRDefault="001954C9" w:rsidP="001954C9">
      <w:pPr>
        <w:tabs>
          <w:tab w:val="left" w:pos="426"/>
        </w:tabs>
        <w:rPr>
          <w:rFonts w:cs="Arial"/>
          <w:color w:val="000000" w:themeColor="text1"/>
        </w:rPr>
      </w:pPr>
    </w:p>
    <w:p w:rsidR="001954C9" w:rsidRPr="00BA646C" w:rsidRDefault="001954C9" w:rsidP="001954C9">
      <w:pPr>
        <w:tabs>
          <w:tab w:val="left" w:pos="426"/>
        </w:tabs>
        <w:rPr>
          <w:rFonts w:cs="Arial"/>
          <w:color w:val="000000" w:themeColor="text1"/>
          <w:lang w:val="it-IT"/>
        </w:rPr>
      </w:pPr>
    </w:p>
    <w:p w:rsidR="001954C9" w:rsidRPr="00BA646C" w:rsidRDefault="00955F4A" w:rsidP="001954C9">
      <w:pPr>
        <w:tabs>
          <w:tab w:val="left" w:pos="426"/>
        </w:tabs>
        <w:rPr>
          <w:rFonts w:cs="Arial"/>
          <w:color w:val="000000" w:themeColor="text1"/>
          <w:lang w:val="it-IT"/>
        </w:rPr>
      </w:pPr>
      <w:r>
        <w:rPr>
          <w:rFonts w:cs="Arial"/>
          <w:color w:val="000000" w:themeColor="text1"/>
          <w:lang w:val="it-IT"/>
        </w:rPr>
        <w:t>Fatte queste premesse,</w:t>
      </w:r>
      <w:r w:rsidR="001954C9" w:rsidRPr="00BA646C">
        <w:rPr>
          <w:rFonts w:cs="Arial"/>
          <w:color w:val="000000" w:themeColor="text1"/>
          <w:lang w:val="it-IT"/>
        </w:rPr>
        <w:t xml:space="preserve"> la Commissione economia e lavoro invita il Gran Consiglio ad approvare il messaggio del Consiglio di Stato</w:t>
      </w:r>
      <w:r w:rsidR="00642776">
        <w:rPr>
          <w:rFonts w:cs="Arial"/>
          <w:color w:val="000000" w:themeColor="text1"/>
          <w:lang w:val="it-IT"/>
        </w:rPr>
        <w:t>,</w:t>
      </w:r>
      <w:r w:rsidR="001954C9" w:rsidRPr="00BA646C">
        <w:rPr>
          <w:rFonts w:cs="Arial"/>
          <w:color w:val="000000" w:themeColor="text1"/>
          <w:lang w:val="it-IT"/>
        </w:rPr>
        <w:t xml:space="preserve"> i decreti</w:t>
      </w:r>
      <w:r>
        <w:rPr>
          <w:rFonts w:cs="Arial"/>
          <w:color w:val="000000" w:themeColor="text1"/>
          <w:lang w:val="it-IT"/>
        </w:rPr>
        <w:t xml:space="preserve"> legislativi </w:t>
      </w:r>
      <w:r w:rsidR="00642776">
        <w:rPr>
          <w:rFonts w:cs="Arial"/>
          <w:color w:val="000000" w:themeColor="text1"/>
          <w:lang w:val="it-IT"/>
        </w:rPr>
        <w:t xml:space="preserve">e le modifiche di legge </w:t>
      </w:r>
      <w:r>
        <w:rPr>
          <w:rFonts w:cs="Arial"/>
          <w:color w:val="000000" w:themeColor="text1"/>
          <w:lang w:val="it-IT"/>
        </w:rPr>
        <w:t>annessi al presente rapporto</w:t>
      </w:r>
      <w:r w:rsidR="001954C9" w:rsidRPr="00BA646C">
        <w:rPr>
          <w:rFonts w:cs="Arial"/>
          <w:color w:val="000000" w:themeColor="text1"/>
          <w:lang w:val="it-IT"/>
        </w:rPr>
        <w:t>.</w:t>
      </w:r>
    </w:p>
    <w:bookmarkEnd w:id="1"/>
    <w:p w:rsidR="00B860C2" w:rsidRDefault="00B860C2" w:rsidP="00B860C2">
      <w:pPr>
        <w:rPr>
          <w:rFonts w:cs="Arial"/>
          <w:szCs w:val="24"/>
        </w:rPr>
      </w:pPr>
    </w:p>
    <w:p w:rsidR="00B860C2" w:rsidRDefault="00B860C2" w:rsidP="00B860C2">
      <w:pPr>
        <w:rPr>
          <w:rFonts w:cs="Arial"/>
          <w:szCs w:val="24"/>
        </w:rPr>
      </w:pPr>
    </w:p>
    <w:p w:rsidR="00B860C2" w:rsidRPr="00076E70" w:rsidRDefault="00B860C2" w:rsidP="00B860C2">
      <w:pPr>
        <w:rPr>
          <w:rFonts w:cs="Arial"/>
          <w:szCs w:val="24"/>
        </w:rPr>
      </w:pPr>
    </w:p>
    <w:p w:rsidR="00B860C2" w:rsidRPr="00076E70" w:rsidRDefault="00B860C2" w:rsidP="00B860C2">
      <w:pPr>
        <w:spacing w:after="120"/>
        <w:rPr>
          <w:rFonts w:cs="Arial"/>
          <w:szCs w:val="24"/>
        </w:rPr>
      </w:pPr>
      <w:r w:rsidRPr="00076E70">
        <w:rPr>
          <w:rFonts w:cs="Arial"/>
          <w:szCs w:val="24"/>
        </w:rPr>
        <w:t>Per la Commissione</w:t>
      </w:r>
      <w:r w:rsidR="00955F4A">
        <w:rPr>
          <w:rFonts w:cs="Arial"/>
          <w:szCs w:val="24"/>
        </w:rPr>
        <w:t xml:space="preserve"> economia e lavoro</w:t>
      </w:r>
      <w:r w:rsidRPr="00076E70">
        <w:rPr>
          <w:rFonts w:cs="Arial"/>
          <w:szCs w:val="24"/>
        </w:rPr>
        <w:t>:</w:t>
      </w:r>
    </w:p>
    <w:p w:rsidR="00B860C2" w:rsidRPr="00076E70" w:rsidRDefault="00955F4A" w:rsidP="00B860C2">
      <w:pPr>
        <w:rPr>
          <w:rFonts w:cs="Arial"/>
          <w:szCs w:val="24"/>
        </w:rPr>
      </w:pPr>
      <w:r>
        <w:rPr>
          <w:rFonts w:cs="Arial"/>
          <w:szCs w:val="24"/>
        </w:rPr>
        <w:t>Marco Passalia e Roberta Passardi, relatori</w:t>
      </w:r>
    </w:p>
    <w:p w:rsidR="000B3FB1" w:rsidRDefault="000B3FB1" w:rsidP="000B3FB1">
      <w:r>
        <w:t xml:space="preserve">Balli - Bignasca B. - Censi - Dadò - Durisch - Jelmini - </w:t>
      </w:r>
    </w:p>
    <w:p w:rsidR="000B3FB1" w:rsidRDefault="000B3FB1" w:rsidP="000B3FB1">
      <w:r>
        <w:t xml:space="preserve">Lurati Grassi - Maderni - Minotti - Noi (con riserva) - </w:t>
      </w:r>
    </w:p>
    <w:p w:rsidR="000B3FB1" w:rsidRDefault="000B3FB1">
      <w:r>
        <w:t>Pellegrini (con riserva) - Pini - Speziali</w:t>
      </w:r>
      <w:r>
        <w:br w:type="page"/>
      </w:r>
    </w:p>
    <w:p w:rsidR="00B93281" w:rsidRPr="009509DF" w:rsidRDefault="00B93281" w:rsidP="00B93281">
      <w:pPr>
        <w:rPr>
          <w:rFonts w:cs="Arial"/>
          <w:szCs w:val="24"/>
        </w:rPr>
      </w:pPr>
      <w:r w:rsidRPr="009509DF">
        <w:rPr>
          <w:rFonts w:cs="Arial"/>
          <w:szCs w:val="24"/>
        </w:rPr>
        <w:lastRenderedPageBreak/>
        <w:t>Disegno di</w:t>
      </w:r>
    </w:p>
    <w:p w:rsidR="00B93281" w:rsidRPr="009509DF" w:rsidRDefault="00B93281" w:rsidP="00B93281">
      <w:pPr>
        <w:spacing w:before="120"/>
        <w:rPr>
          <w:rFonts w:cs="Arial"/>
          <w:szCs w:val="24"/>
        </w:rPr>
      </w:pPr>
    </w:p>
    <w:p w:rsidR="00B93281" w:rsidRPr="00B93281" w:rsidRDefault="00B93281" w:rsidP="00B93281">
      <w:pPr>
        <w:spacing w:before="120" w:after="120"/>
        <w:rPr>
          <w:b/>
          <w:caps/>
        </w:rPr>
      </w:pPr>
      <w:bookmarkStart w:id="25" w:name="_Toc222203076"/>
      <w:bookmarkStart w:id="26" w:name="_Toc20472784"/>
      <w:r w:rsidRPr="00B93281">
        <w:rPr>
          <w:b/>
        </w:rPr>
        <w:t>DECRETO LEGISLATIVO</w:t>
      </w:r>
      <w:bookmarkEnd w:id="25"/>
      <w:bookmarkEnd w:id="26"/>
    </w:p>
    <w:p w:rsidR="00B93281" w:rsidRPr="009509DF" w:rsidRDefault="00B93281" w:rsidP="00B93281">
      <w:pPr>
        <w:autoSpaceDE w:val="0"/>
        <w:autoSpaceDN w:val="0"/>
        <w:adjustRightInd w:val="0"/>
        <w:rPr>
          <w:rFonts w:cs="Arial"/>
          <w:b/>
          <w:szCs w:val="24"/>
        </w:rPr>
      </w:pPr>
      <w:r w:rsidRPr="009509DF">
        <w:rPr>
          <w:rFonts w:cs="Arial"/>
          <w:b/>
          <w:szCs w:val="24"/>
        </w:rPr>
        <w:t xml:space="preserve">concernente lo stanziamento di un credito quadro di </w:t>
      </w:r>
      <w:r w:rsidRPr="007E27AE">
        <w:rPr>
          <w:rFonts w:cs="Arial"/>
          <w:b/>
          <w:szCs w:val="24"/>
        </w:rPr>
        <w:t>27'000'000</w:t>
      </w:r>
      <w:r>
        <w:rPr>
          <w:rFonts w:cs="Arial"/>
          <w:b/>
          <w:szCs w:val="24"/>
        </w:rPr>
        <w:t xml:space="preserve"> franchi a favore di misure cantonali di politica economica regionale</w:t>
      </w:r>
      <w:r w:rsidRPr="009509DF">
        <w:rPr>
          <w:rFonts w:cs="Arial"/>
          <w:b/>
          <w:szCs w:val="24"/>
        </w:rPr>
        <w:t xml:space="preserve"> nel quadriennio 20</w:t>
      </w:r>
      <w:r>
        <w:rPr>
          <w:rFonts w:cs="Arial"/>
          <w:b/>
          <w:szCs w:val="24"/>
        </w:rPr>
        <w:t>20</w:t>
      </w:r>
      <w:r w:rsidRPr="009509DF">
        <w:rPr>
          <w:rFonts w:cs="Arial"/>
          <w:b/>
          <w:szCs w:val="24"/>
        </w:rPr>
        <w:t>-20</w:t>
      </w:r>
      <w:r>
        <w:rPr>
          <w:rFonts w:cs="Arial"/>
          <w:b/>
          <w:szCs w:val="24"/>
        </w:rPr>
        <w:t>23</w:t>
      </w:r>
    </w:p>
    <w:p w:rsidR="00B93281" w:rsidRPr="009509DF" w:rsidRDefault="00B93281" w:rsidP="00B93281">
      <w:pPr>
        <w:pStyle w:val="Art"/>
        <w:ind w:left="0"/>
        <w:rPr>
          <w:rFonts w:cs="Arial"/>
          <w:noProof w:val="0"/>
          <w:sz w:val="24"/>
          <w:szCs w:val="24"/>
        </w:rPr>
      </w:pPr>
    </w:p>
    <w:p w:rsidR="00B93281" w:rsidRPr="009509DF" w:rsidRDefault="00B93281" w:rsidP="00B93281">
      <w:pPr>
        <w:pStyle w:val="Art"/>
        <w:ind w:left="0"/>
        <w:rPr>
          <w:rFonts w:cs="Arial"/>
          <w:noProof w:val="0"/>
          <w:sz w:val="24"/>
          <w:szCs w:val="24"/>
        </w:rPr>
      </w:pPr>
    </w:p>
    <w:p w:rsidR="00B93281" w:rsidRPr="009509DF" w:rsidRDefault="00B93281" w:rsidP="00B93281">
      <w:pPr>
        <w:pStyle w:val="gCCdS"/>
        <w:ind w:left="0"/>
        <w:jc w:val="both"/>
        <w:rPr>
          <w:rFonts w:cs="Arial"/>
          <w:noProof w:val="0"/>
          <w:sz w:val="24"/>
          <w:szCs w:val="24"/>
        </w:rPr>
      </w:pPr>
      <w:r>
        <w:rPr>
          <w:rFonts w:cs="Arial"/>
          <w:caps w:val="0"/>
          <w:noProof w:val="0"/>
          <w:sz w:val="24"/>
          <w:szCs w:val="24"/>
        </w:rPr>
        <w:t>IL GRAN CONSIGLIO</w:t>
      </w:r>
    </w:p>
    <w:p w:rsidR="00B93281" w:rsidRPr="009509DF" w:rsidRDefault="00B93281" w:rsidP="00B93281">
      <w:pPr>
        <w:pStyle w:val="gCCdS"/>
        <w:ind w:left="0"/>
        <w:jc w:val="both"/>
        <w:rPr>
          <w:rFonts w:cs="Arial"/>
          <w:noProof w:val="0"/>
          <w:sz w:val="24"/>
          <w:szCs w:val="24"/>
        </w:rPr>
      </w:pPr>
      <w:r>
        <w:rPr>
          <w:rFonts w:cs="Arial"/>
          <w:caps w:val="0"/>
          <w:noProof w:val="0"/>
          <w:sz w:val="24"/>
          <w:szCs w:val="24"/>
        </w:rPr>
        <w:t>DELLA REPUBBLICA E CANTONE TICINO</w:t>
      </w:r>
    </w:p>
    <w:p w:rsidR="00B93281" w:rsidRPr="009509DF" w:rsidRDefault="00B93281" w:rsidP="00B93281">
      <w:pPr>
        <w:pStyle w:val="Art"/>
        <w:ind w:left="0"/>
        <w:rPr>
          <w:rFonts w:cs="Arial"/>
          <w:noProof w:val="0"/>
          <w:sz w:val="24"/>
          <w:szCs w:val="24"/>
        </w:rPr>
      </w:pPr>
    </w:p>
    <w:p w:rsidR="00B93281" w:rsidRPr="009509DF" w:rsidRDefault="00B93281" w:rsidP="00B93281">
      <w:pPr>
        <w:pStyle w:val="NormaleWeb"/>
        <w:tabs>
          <w:tab w:val="left" w:pos="3686"/>
          <w:tab w:val="left" w:pos="4820"/>
        </w:tabs>
        <w:spacing w:before="0" w:beforeAutospacing="0" w:after="0" w:afterAutospacing="0"/>
        <w:rPr>
          <w:rFonts w:ascii="Arial" w:hAnsi="Arial" w:cs="Arial"/>
        </w:rPr>
      </w:pPr>
      <w:r w:rsidRPr="009509DF">
        <w:rPr>
          <w:rFonts w:ascii="Arial" w:hAnsi="Arial" w:cs="Arial"/>
        </w:rPr>
        <w:t xml:space="preserve">visto il messaggio </w:t>
      </w:r>
      <w:r>
        <w:rPr>
          <w:rFonts w:ascii="Arial" w:hAnsi="Arial" w:cs="Arial"/>
        </w:rPr>
        <w:t>16 ottobre 2019 n. 7725</w:t>
      </w:r>
      <w:r w:rsidRPr="009509DF">
        <w:rPr>
          <w:rFonts w:ascii="Arial" w:hAnsi="Arial" w:cs="Arial"/>
        </w:rPr>
        <w:t xml:space="preserve"> del Consiglio di Stato,</w:t>
      </w:r>
    </w:p>
    <w:p w:rsidR="00B93281" w:rsidRPr="009509DF" w:rsidRDefault="00B93281" w:rsidP="00B93281">
      <w:pPr>
        <w:tabs>
          <w:tab w:val="left" w:pos="851"/>
        </w:tabs>
        <w:rPr>
          <w:rFonts w:cs="Arial"/>
          <w:szCs w:val="24"/>
        </w:rPr>
      </w:pPr>
    </w:p>
    <w:p w:rsidR="00B93281" w:rsidRPr="009509DF" w:rsidRDefault="00B93281" w:rsidP="00B93281">
      <w:pPr>
        <w:tabs>
          <w:tab w:val="left" w:pos="851"/>
        </w:tabs>
        <w:rPr>
          <w:rFonts w:cs="Arial"/>
          <w:szCs w:val="24"/>
        </w:rPr>
      </w:pPr>
    </w:p>
    <w:p w:rsidR="00B93281" w:rsidRPr="00F9064B" w:rsidRDefault="00B93281" w:rsidP="00B93281">
      <w:pPr>
        <w:pStyle w:val="NormaleWeb"/>
        <w:spacing w:before="0" w:beforeAutospacing="0" w:after="0" w:afterAutospacing="0"/>
        <w:rPr>
          <w:rFonts w:ascii="Arial" w:hAnsi="Arial" w:cs="Arial"/>
          <w:b/>
          <w:bCs/>
        </w:rPr>
      </w:pPr>
      <w:r w:rsidRPr="00F9064B">
        <w:rPr>
          <w:rFonts w:ascii="Arial" w:hAnsi="Arial" w:cs="Arial"/>
          <w:b/>
          <w:bCs/>
        </w:rPr>
        <w:t>d e c r e t a :</w:t>
      </w:r>
    </w:p>
    <w:p w:rsidR="00B93281" w:rsidRPr="00212363" w:rsidRDefault="00B93281" w:rsidP="00B93281">
      <w:pPr>
        <w:tabs>
          <w:tab w:val="left" w:pos="851"/>
        </w:tabs>
        <w:rPr>
          <w:rFonts w:cs="Arial"/>
          <w:szCs w:val="24"/>
        </w:rPr>
      </w:pPr>
    </w:p>
    <w:p w:rsidR="00B93281" w:rsidRPr="00EC2934" w:rsidRDefault="00B93281" w:rsidP="00B93281">
      <w:pPr>
        <w:tabs>
          <w:tab w:val="left" w:pos="851"/>
        </w:tabs>
        <w:rPr>
          <w:rFonts w:cs="Arial"/>
          <w:szCs w:val="24"/>
        </w:rPr>
      </w:pPr>
    </w:p>
    <w:p w:rsidR="00B93281" w:rsidRPr="006255D4" w:rsidRDefault="00B93281" w:rsidP="00B93281">
      <w:pPr>
        <w:pStyle w:val="NormaleWeb"/>
        <w:spacing w:before="0" w:beforeAutospacing="0" w:after="120" w:afterAutospacing="0"/>
        <w:rPr>
          <w:rFonts w:ascii="Arial" w:hAnsi="Arial" w:cs="Arial"/>
          <w:b/>
          <w:bCs/>
          <w:u w:val="single"/>
        </w:rPr>
      </w:pPr>
      <w:r w:rsidRPr="006255D4">
        <w:rPr>
          <w:rFonts w:ascii="Arial" w:hAnsi="Arial" w:cs="Arial"/>
          <w:b/>
          <w:bCs/>
          <w:u w:val="single"/>
        </w:rPr>
        <w:t>Articolo 1</w:t>
      </w:r>
    </w:p>
    <w:p w:rsidR="00B93281" w:rsidRPr="00212363" w:rsidRDefault="00B93281" w:rsidP="00B93281">
      <w:pPr>
        <w:pStyle w:val="NormaleWeb"/>
        <w:spacing w:before="0" w:beforeAutospacing="0" w:after="0" w:afterAutospacing="0"/>
        <w:jc w:val="both"/>
        <w:rPr>
          <w:rFonts w:ascii="Arial" w:hAnsi="Arial" w:cs="Arial"/>
        </w:rPr>
      </w:pPr>
      <w:r w:rsidRPr="00212363">
        <w:rPr>
          <w:rFonts w:ascii="Arial" w:hAnsi="Arial" w:cs="Arial"/>
        </w:rPr>
        <w:t>Per il quadriennio 2020-2023 è stanziato un credito quadro di 27'000'000</w:t>
      </w:r>
      <w:r>
        <w:rPr>
          <w:rFonts w:ascii="Arial" w:hAnsi="Arial" w:cs="Arial"/>
        </w:rPr>
        <w:t xml:space="preserve"> franchi</w:t>
      </w:r>
      <w:r w:rsidRPr="00212363">
        <w:rPr>
          <w:rFonts w:ascii="Arial" w:hAnsi="Arial" w:cs="Arial"/>
        </w:rPr>
        <w:t xml:space="preserve"> per il finanziamento di misure tese al raggiungimento degli obiettivi previsti dal Programma d’attuazione della politica economica regionale 2020-2023 del Cantone Ticino e dalla Convenzione di programma stipulata con la Confederazione.</w:t>
      </w:r>
    </w:p>
    <w:p w:rsidR="00B93281" w:rsidRDefault="00B93281" w:rsidP="00B93281">
      <w:pPr>
        <w:tabs>
          <w:tab w:val="left" w:pos="851"/>
        </w:tabs>
        <w:rPr>
          <w:rFonts w:cs="Arial"/>
          <w:szCs w:val="24"/>
        </w:rPr>
      </w:pPr>
    </w:p>
    <w:p w:rsidR="00B93281" w:rsidRPr="00212363" w:rsidRDefault="00B93281" w:rsidP="00B93281">
      <w:pPr>
        <w:tabs>
          <w:tab w:val="left" w:pos="851"/>
        </w:tabs>
        <w:rPr>
          <w:rFonts w:cs="Arial"/>
          <w:szCs w:val="24"/>
        </w:rPr>
      </w:pPr>
    </w:p>
    <w:p w:rsidR="00B93281" w:rsidRPr="006255D4" w:rsidRDefault="00B93281" w:rsidP="00B93281">
      <w:pPr>
        <w:pStyle w:val="NormaleWeb"/>
        <w:spacing w:before="0" w:beforeAutospacing="0" w:after="120" w:afterAutospacing="0"/>
        <w:rPr>
          <w:rFonts w:ascii="Arial" w:hAnsi="Arial" w:cs="Arial"/>
          <w:b/>
          <w:bCs/>
          <w:u w:val="single"/>
        </w:rPr>
      </w:pPr>
      <w:r w:rsidRPr="006255D4">
        <w:rPr>
          <w:rFonts w:ascii="Arial" w:hAnsi="Arial" w:cs="Arial"/>
          <w:b/>
          <w:bCs/>
          <w:u w:val="single"/>
        </w:rPr>
        <w:t>Articolo 2</w:t>
      </w:r>
    </w:p>
    <w:p w:rsidR="00B93281" w:rsidRPr="00212363" w:rsidRDefault="00B93281" w:rsidP="00B93281">
      <w:pPr>
        <w:pStyle w:val="NormaleWeb"/>
        <w:spacing w:before="0" w:beforeAutospacing="0" w:after="0" w:afterAutospacing="0"/>
        <w:jc w:val="both"/>
        <w:rPr>
          <w:rFonts w:ascii="Arial" w:hAnsi="Arial" w:cs="Arial"/>
        </w:rPr>
      </w:pPr>
      <w:r w:rsidRPr="00212363">
        <w:rPr>
          <w:rFonts w:ascii="Arial" w:hAnsi="Arial" w:cs="Arial"/>
        </w:rPr>
        <w:t>Il credito</w:t>
      </w:r>
      <w:r>
        <w:rPr>
          <w:rFonts w:ascii="Arial" w:hAnsi="Arial" w:cs="Arial"/>
        </w:rPr>
        <w:t xml:space="preserve"> </w:t>
      </w:r>
      <w:r w:rsidRPr="00212363">
        <w:rPr>
          <w:rFonts w:ascii="Arial" w:hAnsi="Arial" w:cs="Arial"/>
        </w:rPr>
        <w:t>di cui all'art. 1</w:t>
      </w:r>
      <w:r>
        <w:rPr>
          <w:rFonts w:ascii="Arial" w:hAnsi="Arial" w:cs="Arial"/>
        </w:rPr>
        <w:t xml:space="preserve"> </w:t>
      </w:r>
      <w:r w:rsidRPr="00212363">
        <w:rPr>
          <w:rFonts w:ascii="Arial" w:hAnsi="Arial" w:cs="Arial"/>
        </w:rPr>
        <w:t>è inserito nel conto investimenti del Dipartimento delle finanze e dell'economia, Divisione dell’economia.</w:t>
      </w:r>
    </w:p>
    <w:p w:rsidR="00B93281" w:rsidRDefault="00B93281" w:rsidP="00B93281">
      <w:pPr>
        <w:tabs>
          <w:tab w:val="left" w:pos="851"/>
        </w:tabs>
        <w:rPr>
          <w:rFonts w:cs="Arial"/>
          <w:szCs w:val="24"/>
        </w:rPr>
      </w:pPr>
    </w:p>
    <w:p w:rsidR="00B93281" w:rsidRPr="00212363" w:rsidRDefault="00B93281" w:rsidP="00B93281">
      <w:pPr>
        <w:tabs>
          <w:tab w:val="left" w:pos="851"/>
        </w:tabs>
        <w:rPr>
          <w:rFonts w:cs="Arial"/>
          <w:szCs w:val="24"/>
        </w:rPr>
      </w:pPr>
    </w:p>
    <w:p w:rsidR="00B93281" w:rsidRPr="006255D4" w:rsidRDefault="00B93281" w:rsidP="00B93281">
      <w:pPr>
        <w:pStyle w:val="NormaleWeb"/>
        <w:spacing w:before="0" w:beforeAutospacing="0" w:after="120" w:afterAutospacing="0"/>
        <w:rPr>
          <w:rFonts w:ascii="Arial" w:hAnsi="Arial" w:cs="Arial"/>
          <w:b/>
          <w:bCs/>
          <w:u w:val="single"/>
        </w:rPr>
      </w:pPr>
      <w:r w:rsidRPr="006255D4">
        <w:rPr>
          <w:rFonts w:ascii="Arial" w:hAnsi="Arial" w:cs="Arial"/>
          <w:b/>
          <w:bCs/>
          <w:u w:val="single"/>
        </w:rPr>
        <w:t>Articolo 3</w:t>
      </w:r>
    </w:p>
    <w:p w:rsidR="00B93281" w:rsidRDefault="00B93281" w:rsidP="00B93281">
      <w:pPr>
        <w:pStyle w:val="NormaleWeb"/>
        <w:spacing w:before="0" w:beforeAutospacing="0" w:after="0" w:afterAutospacing="0"/>
        <w:jc w:val="both"/>
        <w:rPr>
          <w:rFonts w:ascii="Arial" w:hAnsi="Arial" w:cs="Arial"/>
        </w:rPr>
      </w:pPr>
      <w:r w:rsidRPr="00780A8E">
        <w:rPr>
          <w:rFonts w:ascii="Arial" w:hAnsi="Arial" w:cs="Arial"/>
          <w:vertAlign w:val="superscript"/>
        </w:rPr>
        <w:t>1</w:t>
      </w:r>
      <w:r w:rsidRPr="007D0F1C">
        <w:rPr>
          <w:rFonts w:ascii="Arial" w:hAnsi="Arial" w:cs="Arial"/>
        </w:rPr>
        <w:t>Trascorsi i termini per l'esercizio del diritto di referendum, il presente decreto legislativo</w:t>
      </w:r>
      <w:r w:rsidRPr="00212363">
        <w:rPr>
          <w:rFonts w:ascii="Arial" w:hAnsi="Arial" w:cs="Arial"/>
        </w:rPr>
        <w:t xml:space="preserve"> è pubblicato nel Bollettino ufficiale delle leggi ed entra immediatamente in vigore.</w:t>
      </w:r>
    </w:p>
    <w:p w:rsidR="00B93281" w:rsidRPr="00212363" w:rsidRDefault="00B93281" w:rsidP="00B93281">
      <w:pPr>
        <w:pStyle w:val="NormaleWeb"/>
        <w:spacing w:before="0" w:beforeAutospacing="0" w:after="0" w:afterAutospacing="0"/>
        <w:jc w:val="both"/>
        <w:rPr>
          <w:rFonts w:ascii="Arial" w:hAnsi="Arial" w:cs="Arial"/>
        </w:rPr>
      </w:pPr>
    </w:p>
    <w:p w:rsidR="00B93281" w:rsidRPr="007D0F1C" w:rsidRDefault="00B93281" w:rsidP="00B93281">
      <w:pPr>
        <w:pStyle w:val="NormaleWeb"/>
        <w:spacing w:before="0" w:beforeAutospacing="0" w:after="0" w:afterAutospacing="0"/>
        <w:jc w:val="both"/>
        <w:rPr>
          <w:rFonts w:ascii="Arial" w:hAnsi="Arial" w:cs="Arial"/>
        </w:rPr>
      </w:pPr>
      <w:r w:rsidRPr="00780A8E">
        <w:rPr>
          <w:rFonts w:ascii="Arial" w:hAnsi="Arial" w:cs="Arial"/>
          <w:vertAlign w:val="superscript"/>
        </w:rPr>
        <w:t>2</w:t>
      </w:r>
      <w:r w:rsidRPr="007D0F1C">
        <w:rPr>
          <w:rFonts w:ascii="Arial" w:hAnsi="Arial" w:cs="Arial"/>
        </w:rPr>
        <w:t xml:space="preserve">Il decreto resta in vigore fino al 31 dicembre 2023. </w:t>
      </w:r>
    </w:p>
    <w:p w:rsidR="00B93281" w:rsidRPr="009509DF" w:rsidRDefault="00B93281" w:rsidP="00B93281">
      <w:pPr>
        <w:tabs>
          <w:tab w:val="left" w:pos="851"/>
        </w:tabs>
        <w:rPr>
          <w:rFonts w:cs="Arial"/>
          <w:szCs w:val="24"/>
        </w:rPr>
      </w:pPr>
    </w:p>
    <w:p w:rsidR="00B93281" w:rsidRPr="000409EA" w:rsidRDefault="00B93281" w:rsidP="00B93281">
      <w:pPr>
        <w:rPr>
          <w:rFonts w:cs="Arial"/>
          <w:szCs w:val="24"/>
        </w:rPr>
      </w:pPr>
      <w:r>
        <w:rPr>
          <w:rFonts w:cs="Arial"/>
        </w:rPr>
        <w:br w:type="page"/>
      </w:r>
      <w:r w:rsidRPr="000409EA">
        <w:rPr>
          <w:rFonts w:cs="Arial"/>
          <w:szCs w:val="24"/>
        </w:rPr>
        <w:lastRenderedPageBreak/>
        <w:t>Disegno di</w:t>
      </w:r>
    </w:p>
    <w:p w:rsidR="00B93281" w:rsidRPr="000409EA" w:rsidRDefault="00B93281" w:rsidP="00B93281">
      <w:pPr>
        <w:spacing w:before="120"/>
        <w:rPr>
          <w:rFonts w:cs="Arial"/>
          <w:szCs w:val="24"/>
        </w:rPr>
      </w:pPr>
    </w:p>
    <w:p w:rsidR="00B93281" w:rsidRPr="00B93281" w:rsidRDefault="00B93281" w:rsidP="00B93281">
      <w:pPr>
        <w:spacing w:before="120" w:after="120"/>
        <w:rPr>
          <w:b/>
        </w:rPr>
      </w:pPr>
      <w:bookmarkStart w:id="27" w:name="_Toc313978810"/>
      <w:bookmarkStart w:id="28" w:name="_Toc20472785"/>
      <w:r w:rsidRPr="00B93281">
        <w:rPr>
          <w:b/>
        </w:rPr>
        <w:t>DECRETO LEGISLATIVO</w:t>
      </w:r>
      <w:bookmarkEnd w:id="27"/>
      <w:bookmarkEnd w:id="28"/>
    </w:p>
    <w:p w:rsidR="00B93281" w:rsidRPr="000409EA" w:rsidRDefault="00B93281" w:rsidP="00B93281">
      <w:pPr>
        <w:tabs>
          <w:tab w:val="left" w:pos="851"/>
        </w:tabs>
        <w:autoSpaceDE w:val="0"/>
        <w:autoSpaceDN w:val="0"/>
        <w:adjustRightInd w:val="0"/>
        <w:rPr>
          <w:rFonts w:cs="Arial"/>
          <w:b/>
          <w:szCs w:val="24"/>
        </w:rPr>
      </w:pPr>
      <w:r w:rsidRPr="000409EA">
        <w:rPr>
          <w:rFonts w:cs="Arial"/>
          <w:b/>
          <w:szCs w:val="24"/>
        </w:rPr>
        <w:t>concernente lo stanziamento di un credito quadro di 13'000'000</w:t>
      </w:r>
      <w:r>
        <w:rPr>
          <w:rFonts w:cs="Arial"/>
          <w:b/>
          <w:szCs w:val="24"/>
        </w:rPr>
        <w:t xml:space="preserve"> di franchi</w:t>
      </w:r>
      <w:r w:rsidRPr="000409EA">
        <w:rPr>
          <w:rFonts w:cs="Arial"/>
          <w:b/>
          <w:szCs w:val="24"/>
        </w:rPr>
        <w:t xml:space="preserve"> </w:t>
      </w:r>
      <w:r>
        <w:rPr>
          <w:rFonts w:cs="Arial"/>
          <w:b/>
          <w:szCs w:val="24"/>
        </w:rPr>
        <w:t>a favore di</w:t>
      </w:r>
      <w:r w:rsidRPr="000409EA">
        <w:rPr>
          <w:rFonts w:cs="Arial"/>
          <w:b/>
          <w:szCs w:val="24"/>
        </w:rPr>
        <w:t xml:space="preserve"> misure </w:t>
      </w:r>
      <w:r>
        <w:rPr>
          <w:rFonts w:cs="Arial"/>
          <w:b/>
          <w:szCs w:val="24"/>
        </w:rPr>
        <w:t xml:space="preserve">cantonali </w:t>
      </w:r>
      <w:r w:rsidRPr="000409EA">
        <w:rPr>
          <w:rFonts w:cs="Arial"/>
          <w:b/>
          <w:szCs w:val="24"/>
        </w:rPr>
        <w:t xml:space="preserve">di politica regionale complementari </w:t>
      </w:r>
      <w:r>
        <w:rPr>
          <w:rFonts w:cs="Arial"/>
          <w:b/>
          <w:szCs w:val="24"/>
        </w:rPr>
        <w:t>al programma d’attuazione della politica economica regionale</w:t>
      </w:r>
      <w:r w:rsidRPr="000409EA">
        <w:rPr>
          <w:rFonts w:cs="Arial"/>
          <w:b/>
          <w:szCs w:val="24"/>
        </w:rPr>
        <w:t xml:space="preserve"> 20</w:t>
      </w:r>
      <w:r>
        <w:rPr>
          <w:rFonts w:cs="Arial"/>
          <w:b/>
          <w:szCs w:val="24"/>
        </w:rPr>
        <w:t>20</w:t>
      </w:r>
      <w:r w:rsidRPr="000409EA">
        <w:rPr>
          <w:rFonts w:cs="Arial"/>
          <w:b/>
          <w:szCs w:val="24"/>
        </w:rPr>
        <w:t>-20</w:t>
      </w:r>
      <w:r>
        <w:rPr>
          <w:rFonts w:cs="Arial"/>
          <w:b/>
          <w:szCs w:val="24"/>
        </w:rPr>
        <w:t>23</w:t>
      </w:r>
    </w:p>
    <w:p w:rsidR="00B93281" w:rsidRPr="00091B41" w:rsidRDefault="00B93281" w:rsidP="00B93281">
      <w:pPr>
        <w:tabs>
          <w:tab w:val="left" w:pos="851"/>
        </w:tabs>
        <w:rPr>
          <w:rFonts w:cs="Arial"/>
          <w:sz w:val="20"/>
        </w:rPr>
      </w:pPr>
    </w:p>
    <w:p w:rsidR="00B93281" w:rsidRPr="00091B41" w:rsidRDefault="00B93281" w:rsidP="00B93281">
      <w:pPr>
        <w:rPr>
          <w:rFonts w:cs="Arial"/>
          <w:sz w:val="20"/>
        </w:rPr>
      </w:pPr>
    </w:p>
    <w:p w:rsidR="00B93281" w:rsidRPr="000409EA" w:rsidRDefault="00B93281" w:rsidP="00B93281">
      <w:pPr>
        <w:rPr>
          <w:rFonts w:cs="Arial"/>
          <w:szCs w:val="24"/>
        </w:rPr>
      </w:pPr>
      <w:r>
        <w:rPr>
          <w:rFonts w:cs="Arial"/>
          <w:szCs w:val="24"/>
        </w:rPr>
        <w:t>IL GRAN CONSIGLIO</w:t>
      </w:r>
    </w:p>
    <w:p w:rsidR="00B93281" w:rsidRPr="000409EA" w:rsidRDefault="00B93281" w:rsidP="00B93281">
      <w:pPr>
        <w:rPr>
          <w:rFonts w:cs="Arial"/>
          <w:szCs w:val="24"/>
        </w:rPr>
      </w:pPr>
      <w:r>
        <w:rPr>
          <w:rFonts w:cs="Arial"/>
          <w:szCs w:val="24"/>
        </w:rPr>
        <w:t>DELLA REPUBBLICA E CANTONE TICINO</w:t>
      </w:r>
    </w:p>
    <w:p w:rsidR="00B93281" w:rsidRPr="009509DF" w:rsidRDefault="00B93281" w:rsidP="00B93281">
      <w:pPr>
        <w:pStyle w:val="Art"/>
        <w:ind w:left="0"/>
        <w:rPr>
          <w:rFonts w:cs="Arial"/>
          <w:noProof w:val="0"/>
          <w:sz w:val="24"/>
          <w:szCs w:val="24"/>
        </w:rPr>
      </w:pPr>
    </w:p>
    <w:p w:rsidR="00B93281" w:rsidRPr="009509DF" w:rsidRDefault="00B93281" w:rsidP="00B93281">
      <w:pPr>
        <w:pStyle w:val="NormaleWeb"/>
        <w:tabs>
          <w:tab w:val="left" w:pos="3686"/>
          <w:tab w:val="left" w:pos="4820"/>
        </w:tabs>
        <w:spacing w:before="0" w:beforeAutospacing="0" w:after="0" w:afterAutospacing="0"/>
        <w:rPr>
          <w:rFonts w:ascii="Arial" w:hAnsi="Arial" w:cs="Arial"/>
        </w:rPr>
      </w:pPr>
      <w:r w:rsidRPr="009509DF">
        <w:rPr>
          <w:rFonts w:ascii="Arial" w:hAnsi="Arial" w:cs="Arial"/>
        </w:rPr>
        <w:t xml:space="preserve">visto il messaggio </w:t>
      </w:r>
      <w:r>
        <w:rPr>
          <w:rFonts w:ascii="Arial" w:hAnsi="Arial" w:cs="Arial"/>
        </w:rPr>
        <w:t>16 ottobre 2019 n. 7725</w:t>
      </w:r>
      <w:r w:rsidRPr="009509DF">
        <w:rPr>
          <w:rFonts w:ascii="Arial" w:hAnsi="Arial" w:cs="Arial"/>
        </w:rPr>
        <w:t xml:space="preserve"> del Consiglio di Stato,</w:t>
      </w:r>
    </w:p>
    <w:p w:rsidR="00B93281" w:rsidRPr="00091B41" w:rsidRDefault="00B93281" w:rsidP="00B93281">
      <w:pPr>
        <w:tabs>
          <w:tab w:val="left" w:pos="851"/>
        </w:tabs>
        <w:rPr>
          <w:rFonts w:cs="Arial"/>
          <w:sz w:val="20"/>
        </w:rPr>
      </w:pPr>
    </w:p>
    <w:p w:rsidR="00B93281" w:rsidRPr="00091B41" w:rsidRDefault="00B93281" w:rsidP="00B93281">
      <w:pPr>
        <w:tabs>
          <w:tab w:val="left" w:pos="851"/>
        </w:tabs>
        <w:rPr>
          <w:rFonts w:cs="Arial"/>
          <w:sz w:val="20"/>
        </w:rPr>
      </w:pPr>
    </w:p>
    <w:p w:rsidR="00B93281" w:rsidRPr="00F9064B" w:rsidRDefault="00B93281" w:rsidP="00B93281">
      <w:pPr>
        <w:pStyle w:val="NormaleWeb"/>
        <w:spacing w:before="0" w:beforeAutospacing="0" w:after="0" w:afterAutospacing="0"/>
        <w:rPr>
          <w:rFonts w:ascii="Arial" w:hAnsi="Arial" w:cs="Arial"/>
          <w:b/>
          <w:bCs/>
        </w:rPr>
      </w:pPr>
      <w:r w:rsidRPr="00F9064B">
        <w:rPr>
          <w:rFonts w:ascii="Arial" w:hAnsi="Arial" w:cs="Arial"/>
          <w:b/>
          <w:bCs/>
        </w:rPr>
        <w:t>d e c r e t a :</w:t>
      </w:r>
    </w:p>
    <w:p w:rsidR="00B93281" w:rsidRPr="00091B41" w:rsidRDefault="00B93281" w:rsidP="00B93281">
      <w:pPr>
        <w:tabs>
          <w:tab w:val="left" w:pos="851"/>
        </w:tabs>
        <w:rPr>
          <w:rFonts w:cs="Arial"/>
          <w:sz w:val="20"/>
        </w:rPr>
      </w:pPr>
    </w:p>
    <w:p w:rsidR="00B93281" w:rsidRPr="00091B41" w:rsidRDefault="00B93281" w:rsidP="00B93281">
      <w:pPr>
        <w:tabs>
          <w:tab w:val="left" w:pos="851"/>
        </w:tabs>
        <w:rPr>
          <w:rFonts w:cs="Arial"/>
          <w:sz w:val="20"/>
        </w:rPr>
      </w:pPr>
    </w:p>
    <w:p w:rsidR="00B93281" w:rsidRPr="00091B41" w:rsidRDefault="00B93281" w:rsidP="00B93281">
      <w:pPr>
        <w:pStyle w:val="NormaleWeb"/>
        <w:spacing w:before="0" w:beforeAutospacing="0" w:after="120" w:afterAutospacing="0"/>
        <w:rPr>
          <w:rFonts w:ascii="Arial" w:hAnsi="Arial" w:cs="Arial"/>
          <w:b/>
          <w:bCs/>
          <w:u w:val="single"/>
        </w:rPr>
      </w:pPr>
      <w:r w:rsidRPr="00091B41">
        <w:rPr>
          <w:rFonts w:ascii="Arial" w:hAnsi="Arial" w:cs="Arial"/>
          <w:b/>
          <w:bCs/>
          <w:u w:val="single"/>
        </w:rPr>
        <w:t>Articolo 1</w:t>
      </w:r>
    </w:p>
    <w:p w:rsidR="00B93281" w:rsidRPr="000409EA" w:rsidRDefault="00B93281" w:rsidP="00B93281">
      <w:pPr>
        <w:tabs>
          <w:tab w:val="left" w:pos="851"/>
        </w:tabs>
        <w:rPr>
          <w:rFonts w:cs="Arial"/>
          <w:szCs w:val="24"/>
        </w:rPr>
      </w:pPr>
      <w:r w:rsidRPr="000409EA">
        <w:rPr>
          <w:rFonts w:cs="Arial"/>
          <w:szCs w:val="24"/>
        </w:rPr>
        <w:t>Per il quadriennio 20</w:t>
      </w:r>
      <w:r>
        <w:rPr>
          <w:rFonts w:cs="Arial"/>
          <w:szCs w:val="24"/>
        </w:rPr>
        <w:t>20</w:t>
      </w:r>
      <w:r w:rsidRPr="000409EA">
        <w:rPr>
          <w:rFonts w:cs="Arial"/>
          <w:szCs w:val="24"/>
        </w:rPr>
        <w:t>-20</w:t>
      </w:r>
      <w:r>
        <w:rPr>
          <w:rFonts w:cs="Arial"/>
          <w:szCs w:val="24"/>
        </w:rPr>
        <w:t>23</w:t>
      </w:r>
      <w:r w:rsidRPr="000409EA">
        <w:rPr>
          <w:rFonts w:cs="Arial"/>
          <w:szCs w:val="24"/>
        </w:rPr>
        <w:t xml:space="preserve"> è stanziato un credito di 13 milioni di franchi </w:t>
      </w:r>
      <w:r>
        <w:rPr>
          <w:rFonts w:cs="Arial"/>
          <w:szCs w:val="24"/>
        </w:rPr>
        <w:t>destinato a</w:t>
      </w:r>
      <w:r w:rsidRPr="000409EA">
        <w:rPr>
          <w:rFonts w:cs="Arial"/>
          <w:szCs w:val="24"/>
        </w:rPr>
        <w:t xml:space="preserve"> misure </w:t>
      </w:r>
      <w:r>
        <w:rPr>
          <w:rFonts w:cs="Arial"/>
          <w:szCs w:val="24"/>
        </w:rPr>
        <w:t xml:space="preserve">cantonali </w:t>
      </w:r>
      <w:r w:rsidRPr="000409EA">
        <w:rPr>
          <w:rFonts w:cs="Arial"/>
          <w:szCs w:val="24"/>
        </w:rPr>
        <w:t xml:space="preserve">di politica regionale </w:t>
      </w:r>
      <w:r w:rsidRPr="004F2ECC">
        <w:rPr>
          <w:rFonts w:cs="Arial"/>
          <w:szCs w:val="24"/>
        </w:rPr>
        <w:t xml:space="preserve">complementari </w:t>
      </w:r>
      <w:r>
        <w:rPr>
          <w:rFonts w:cs="Arial"/>
          <w:szCs w:val="24"/>
        </w:rPr>
        <w:t xml:space="preserve">al </w:t>
      </w:r>
      <w:r w:rsidRPr="004F2ECC">
        <w:rPr>
          <w:rFonts w:cs="Arial"/>
          <w:szCs w:val="24"/>
        </w:rPr>
        <w:t>programma d’attuazione della politica economica regionale 20</w:t>
      </w:r>
      <w:r>
        <w:rPr>
          <w:rFonts w:cs="Arial"/>
          <w:szCs w:val="24"/>
        </w:rPr>
        <w:t>20</w:t>
      </w:r>
      <w:r w:rsidRPr="004F2ECC">
        <w:rPr>
          <w:rFonts w:cs="Arial"/>
          <w:szCs w:val="24"/>
        </w:rPr>
        <w:t>-20</w:t>
      </w:r>
      <w:r>
        <w:rPr>
          <w:rFonts w:cs="Arial"/>
          <w:szCs w:val="24"/>
        </w:rPr>
        <w:t>23</w:t>
      </w:r>
      <w:r w:rsidRPr="000409EA">
        <w:rPr>
          <w:rFonts w:cs="Arial"/>
          <w:szCs w:val="24"/>
        </w:rPr>
        <w:t>.</w:t>
      </w:r>
    </w:p>
    <w:p w:rsidR="00B93281" w:rsidRPr="00091B41" w:rsidRDefault="00B93281" w:rsidP="00B93281">
      <w:pPr>
        <w:rPr>
          <w:rFonts w:cs="Arial"/>
          <w:sz w:val="20"/>
        </w:rPr>
      </w:pPr>
    </w:p>
    <w:p w:rsidR="00B93281" w:rsidRPr="00091B41" w:rsidRDefault="00B93281" w:rsidP="00B93281">
      <w:pPr>
        <w:rPr>
          <w:rFonts w:cs="Arial"/>
          <w:sz w:val="20"/>
        </w:rPr>
      </w:pPr>
    </w:p>
    <w:p w:rsidR="00B93281" w:rsidRPr="00091B41" w:rsidRDefault="00B93281" w:rsidP="00B93281">
      <w:pPr>
        <w:pStyle w:val="NormaleWeb"/>
        <w:spacing w:before="0" w:beforeAutospacing="0" w:after="120" w:afterAutospacing="0"/>
        <w:rPr>
          <w:rFonts w:ascii="Arial" w:hAnsi="Arial" w:cs="Arial"/>
          <w:b/>
          <w:bCs/>
          <w:u w:val="single"/>
        </w:rPr>
      </w:pPr>
      <w:r w:rsidRPr="00091B41">
        <w:rPr>
          <w:rFonts w:ascii="Arial" w:hAnsi="Arial" w:cs="Arial"/>
          <w:b/>
          <w:bCs/>
          <w:u w:val="single"/>
        </w:rPr>
        <w:t>Articolo 2</w:t>
      </w:r>
    </w:p>
    <w:p w:rsidR="00B93281" w:rsidRPr="000409EA" w:rsidRDefault="00B93281" w:rsidP="00B93281">
      <w:pPr>
        <w:rPr>
          <w:rFonts w:cs="Arial"/>
          <w:szCs w:val="24"/>
        </w:rPr>
      </w:pPr>
      <w:r w:rsidRPr="000409EA">
        <w:rPr>
          <w:rFonts w:cs="Arial"/>
          <w:szCs w:val="24"/>
        </w:rPr>
        <w:t xml:space="preserve">Il credito di cui all’art. 1 è </w:t>
      </w:r>
      <w:r>
        <w:rPr>
          <w:rFonts w:cs="Arial"/>
          <w:szCs w:val="24"/>
        </w:rPr>
        <w:t>destinato al finanziamento di misure cantonali</w:t>
      </w:r>
      <w:r w:rsidRPr="000409EA">
        <w:rPr>
          <w:rFonts w:cs="Arial"/>
          <w:szCs w:val="24"/>
        </w:rPr>
        <w:t xml:space="preserve"> per progetti che rientrano nelle seguenti categorie:</w:t>
      </w:r>
    </w:p>
    <w:p w:rsidR="00B93281" w:rsidRPr="000409EA" w:rsidRDefault="00B93281" w:rsidP="00B93281">
      <w:pPr>
        <w:spacing w:before="80"/>
        <w:ind w:left="357" w:hanging="357"/>
        <w:rPr>
          <w:rFonts w:cs="Arial"/>
          <w:szCs w:val="24"/>
        </w:rPr>
      </w:pPr>
      <w:r w:rsidRPr="000409EA">
        <w:rPr>
          <w:rFonts w:cs="Arial"/>
          <w:szCs w:val="24"/>
        </w:rPr>
        <w:t>a)</w:t>
      </w:r>
      <w:r w:rsidRPr="000409EA">
        <w:rPr>
          <w:rFonts w:cs="Arial"/>
          <w:szCs w:val="24"/>
        </w:rPr>
        <w:tab/>
        <w:t>progetti locali e regionali di piccole-medie dimensioni destinati a colmare lacune nell’ambito dei servizi o a valorizzare risorse locali, in particolare nelle regioni periferiche delle rispettive regioni funzionali;</w:t>
      </w:r>
    </w:p>
    <w:p w:rsidR="00B93281" w:rsidRDefault="00B93281" w:rsidP="00B93281">
      <w:pPr>
        <w:tabs>
          <w:tab w:val="left" w:pos="426"/>
        </w:tabs>
        <w:spacing w:before="80"/>
        <w:ind w:left="357" w:hanging="357"/>
        <w:rPr>
          <w:rFonts w:cs="Arial"/>
          <w:szCs w:val="24"/>
        </w:rPr>
      </w:pPr>
      <w:r w:rsidRPr="000409EA">
        <w:rPr>
          <w:rFonts w:cs="Arial"/>
          <w:szCs w:val="24"/>
        </w:rPr>
        <w:t>b)</w:t>
      </w:r>
      <w:r w:rsidRPr="000409EA">
        <w:rPr>
          <w:rFonts w:cs="Arial"/>
          <w:szCs w:val="24"/>
        </w:rPr>
        <w:tab/>
        <w:t>progetti regionali complementari agli obiettivi del Programma d’attuazione della politica economica regionale per il periodo 20</w:t>
      </w:r>
      <w:r>
        <w:rPr>
          <w:rFonts w:cs="Arial"/>
          <w:szCs w:val="24"/>
        </w:rPr>
        <w:t>20</w:t>
      </w:r>
      <w:r w:rsidRPr="000409EA">
        <w:rPr>
          <w:rFonts w:cs="Arial"/>
          <w:szCs w:val="24"/>
        </w:rPr>
        <w:t>-20</w:t>
      </w:r>
      <w:r>
        <w:rPr>
          <w:rFonts w:cs="Arial"/>
          <w:szCs w:val="24"/>
        </w:rPr>
        <w:t>23</w:t>
      </w:r>
      <w:r w:rsidRPr="000409EA">
        <w:rPr>
          <w:rFonts w:cs="Arial"/>
          <w:szCs w:val="24"/>
        </w:rPr>
        <w:t>, considerando in particolare l’obiettivo “</w:t>
      </w:r>
      <w:r>
        <w:rPr>
          <w:rFonts w:cs="Arial"/>
          <w:szCs w:val="24"/>
        </w:rPr>
        <w:t>R</w:t>
      </w:r>
      <w:r w:rsidRPr="000409EA">
        <w:rPr>
          <w:rFonts w:cs="Arial"/>
          <w:szCs w:val="24"/>
        </w:rPr>
        <w:t>egioni periferiche”.</w:t>
      </w:r>
    </w:p>
    <w:p w:rsidR="00B93281" w:rsidRPr="00091B41" w:rsidRDefault="00B93281" w:rsidP="00B93281">
      <w:pPr>
        <w:rPr>
          <w:rFonts w:cs="Arial"/>
          <w:sz w:val="20"/>
        </w:rPr>
      </w:pPr>
    </w:p>
    <w:p w:rsidR="00B93281" w:rsidRPr="00091B41" w:rsidRDefault="00B93281" w:rsidP="00B93281">
      <w:pPr>
        <w:rPr>
          <w:rFonts w:cs="Arial"/>
          <w:sz w:val="20"/>
        </w:rPr>
      </w:pPr>
    </w:p>
    <w:p w:rsidR="00B93281" w:rsidRPr="00091B41" w:rsidRDefault="00B93281" w:rsidP="00B93281">
      <w:pPr>
        <w:pStyle w:val="NormaleWeb"/>
        <w:spacing w:before="0" w:beforeAutospacing="0" w:after="120" w:afterAutospacing="0"/>
        <w:rPr>
          <w:rFonts w:ascii="Arial" w:hAnsi="Arial" w:cs="Arial"/>
          <w:b/>
          <w:bCs/>
          <w:u w:val="single"/>
        </w:rPr>
      </w:pPr>
      <w:r w:rsidRPr="00091B41">
        <w:rPr>
          <w:rFonts w:ascii="Arial" w:hAnsi="Arial" w:cs="Arial"/>
          <w:b/>
          <w:bCs/>
          <w:u w:val="single"/>
        </w:rPr>
        <w:t>Articolo 3</w:t>
      </w:r>
    </w:p>
    <w:p w:rsidR="00B93281" w:rsidRDefault="00B93281" w:rsidP="00B93281">
      <w:pPr>
        <w:rPr>
          <w:rFonts w:cs="Arial"/>
          <w:szCs w:val="24"/>
        </w:rPr>
      </w:pPr>
      <w:r w:rsidRPr="002D297B">
        <w:rPr>
          <w:rFonts w:cs="Arial"/>
          <w:szCs w:val="24"/>
          <w:vertAlign w:val="superscript"/>
        </w:rPr>
        <w:t>1</w:t>
      </w:r>
      <w:r w:rsidRPr="002D297B">
        <w:rPr>
          <w:rFonts w:cs="Arial"/>
          <w:szCs w:val="24"/>
        </w:rPr>
        <w:t xml:space="preserve">I progetti di cui all’art. 2 </w:t>
      </w:r>
      <w:proofErr w:type="spellStart"/>
      <w:r w:rsidRPr="002D297B">
        <w:rPr>
          <w:rFonts w:cs="Arial"/>
          <w:szCs w:val="24"/>
        </w:rPr>
        <w:t>lett</w:t>
      </w:r>
      <w:proofErr w:type="spellEnd"/>
      <w:r w:rsidRPr="002D297B">
        <w:rPr>
          <w:rFonts w:cs="Arial"/>
          <w:szCs w:val="24"/>
        </w:rPr>
        <w:t>. a) sono gestiti autonomamente dagli Enti regionali</w:t>
      </w:r>
      <w:r>
        <w:rPr>
          <w:rFonts w:cs="Arial"/>
          <w:szCs w:val="24"/>
        </w:rPr>
        <w:t xml:space="preserve"> </w:t>
      </w:r>
      <w:r w:rsidRPr="002D297B">
        <w:rPr>
          <w:rFonts w:cs="Arial"/>
          <w:szCs w:val="24"/>
        </w:rPr>
        <w:t>per lo sviluppo in linea con quanto previsto dalla convenzione di sussidiamento stipulata tra il Cantone e gli Enti regionali per lo sviluppo</w:t>
      </w:r>
      <w:r w:rsidRPr="009B5425">
        <w:rPr>
          <w:rFonts w:cs="Arial"/>
          <w:szCs w:val="24"/>
        </w:rPr>
        <w:t>.</w:t>
      </w:r>
      <w:r w:rsidRPr="002D297B">
        <w:rPr>
          <w:rFonts w:cs="Arial"/>
          <w:szCs w:val="24"/>
        </w:rPr>
        <w:t xml:space="preserve"> </w:t>
      </w:r>
    </w:p>
    <w:p w:rsidR="00B93281" w:rsidRPr="00091B41" w:rsidRDefault="00B93281" w:rsidP="00B93281">
      <w:pPr>
        <w:rPr>
          <w:rFonts w:cs="Arial"/>
          <w:sz w:val="20"/>
        </w:rPr>
      </w:pPr>
    </w:p>
    <w:p w:rsidR="00B93281" w:rsidRDefault="00B93281" w:rsidP="00B93281">
      <w:pPr>
        <w:rPr>
          <w:rFonts w:cs="Arial"/>
          <w:szCs w:val="24"/>
        </w:rPr>
      </w:pPr>
      <w:r w:rsidRPr="008D2BA1">
        <w:rPr>
          <w:rFonts w:cs="Arial"/>
          <w:szCs w:val="24"/>
          <w:vertAlign w:val="superscript"/>
        </w:rPr>
        <w:t>2</w:t>
      </w:r>
      <w:r w:rsidRPr="008D2BA1">
        <w:rPr>
          <w:rFonts w:cs="Arial"/>
          <w:szCs w:val="24"/>
        </w:rPr>
        <w:t>Il Consiglio di Stato assegna</w:t>
      </w:r>
      <w:r>
        <w:rPr>
          <w:rFonts w:cs="Arial"/>
          <w:szCs w:val="24"/>
        </w:rPr>
        <w:t>,</w:t>
      </w:r>
      <w:r w:rsidRPr="008D2BA1">
        <w:rPr>
          <w:rFonts w:cs="Arial"/>
          <w:szCs w:val="24"/>
        </w:rPr>
        <w:t xml:space="preserve"> per il periodo 2020-2023</w:t>
      </w:r>
      <w:r>
        <w:rPr>
          <w:rFonts w:cs="Arial"/>
          <w:szCs w:val="24"/>
        </w:rPr>
        <w:t>,</w:t>
      </w:r>
      <w:r w:rsidRPr="008D2BA1">
        <w:rPr>
          <w:rFonts w:cs="Arial"/>
          <w:szCs w:val="24"/>
        </w:rPr>
        <w:t xml:space="preserve"> 1’500'000</w:t>
      </w:r>
      <w:r>
        <w:rPr>
          <w:rFonts w:cs="Arial"/>
          <w:szCs w:val="24"/>
        </w:rPr>
        <w:t xml:space="preserve"> franchi </w:t>
      </w:r>
      <w:r w:rsidRPr="008D2BA1">
        <w:rPr>
          <w:rFonts w:cs="Arial"/>
          <w:szCs w:val="24"/>
        </w:rPr>
        <w:t xml:space="preserve">ad ogni Ente regionale per lo sviluppo cantonale per il sostegno di progetti di cui all’art. 2 </w:t>
      </w:r>
      <w:proofErr w:type="spellStart"/>
      <w:r w:rsidRPr="008D2BA1">
        <w:rPr>
          <w:rFonts w:cs="Arial"/>
          <w:szCs w:val="24"/>
        </w:rPr>
        <w:t>lett</w:t>
      </w:r>
      <w:proofErr w:type="spellEnd"/>
      <w:r w:rsidRPr="008D2BA1">
        <w:rPr>
          <w:rFonts w:cs="Arial"/>
          <w:szCs w:val="24"/>
        </w:rPr>
        <w:t xml:space="preserve"> a). Nel caso di esaurimento dei fondi </w:t>
      </w:r>
      <w:r>
        <w:rPr>
          <w:rFonts w:cs="Arial"/>
          <w:szCs w:val="24"/>
        </w:rPr>
        <w:t xml:space="preserve">di promozione regionale </w:t>
      </w:r>
      <w:r w:rsidRPr="008D2BA1">
        <w:rPr>
          <w:rFonts w:cs="Arial"/>
          <w:szCs w:val="24"/>
        </w:rPr>
        <w:t xml:space="preserve">per progetti di cui all’art. 2 </w:t>
      </w:r>
      <w:proofErr w:type="spellStart"/>
      <w:r w:rsidRPr="008D2BA1">
        <w:rPr>
          <w:rFonts w:cs="Arial"/>
          <w:szCs w:val="24"/>
        </w:rPr>
        <w:t>lett</w:t>
      </w:r>
      <w:proofErr w:type="spellEnd"/>
      <w:r>
        <w:rPr>
          <w:rFonts w:cs="Arial"/>
          <w:szCs w:val="24"/>
        </w:rPr>
        <w:t>.</w:t>
      </w:r>
      <w:r w:rsidRPr="008D2BA1">
        <w:rPr>
          <w:rFonts w:cs="Arial"/>
          <w:szCs w:val="24"/>
        </w:rPr>
        <w:t xml:space="preserve"> a) del presente decreto, possono essere attribuiti ulteriori 500'000</w:t>
      </w:r>
      <w:r>
        <w:rPr>
          <w:rFonts w:cs="Arial"/>
          <w:szCs w:val="24"/>
        </w:rPr>
        <w:t xml:space="preserve"> franchi </w:t>
      </w:r>
      <w:r w:rsidRPr="008D2BA1">
        <w:rPr>
          <w:rFonts w:cs="Arial"/>
          <w:szCs w:val="24"/>
        </w:rPr>
        <w:t>ad ogni Ente regionale per lo sviluppo a favore di progetti nelle proprie regioni periferiche.</w:t>
      </w:r>
    </w:p>
    <w:p w:rsidR="00B93281" w:rsidRPr="00091B41" w:rsidRDefault="00B93281" w:rsidP="00B93281">
      <w:pPr>
        <w:rPr>
          <w:rFonts w:cs="Arial"/>
          <w:sz w:val="20"/>
        </w:rPr>
      </w:pPr>
    </w:p>
    <w:p w:rsidR="00B93281" w:rsidRDefault="00B93281" w:rsidP="00B93281">
      <w:pPr>
        <w:rPr>
          <w:rFonts w:cs="Arial"/>
          <w:szCs w:val="24"/>
        </w:rPr>
      </w:pPr>
      <w:r w:rsidRPr="000409EA">
        <w:rPr>
          <w:rFonts w:cs="Arial"/>
          <w:szCs w:val="24"/>
          <w:vertAlign w:val="superscript"/>
        </w:rPr>
        <w:t>3</w:t>
      </w:r>
      <w:r w:rsidRPr="000409EA">
        <w:rPr>
          <w:rFonts w:cs="Arial"/>
          <w:szCs w:val="24"/>
        </w:rPr>
        <w:t xml:space="preserve">Le modalità di presentazione dei progetti, i criteri di decisione e di erogazione </w:t>
      </w:r>
      <w:r w:rsidRPr="00B2660B">
        <w:rPr>
          <w:rFonts w:cs="Arial"/>
          <w:szCs w:val="24"/>
        </w:rPr>
        <w:t>dei sussidi</w:t>
      </w:r>
      <w:r w:rsidRPr="000409EA">
        <w:rPr>
          <w:rFonts w:cs="Arial"/>
          <w:szCs w:val="24"/>
        </w:rPr>
        <w:t xml:space="preserve"> </w:t>
      </w:r>
      <w:r>
        <w:rPr>
          <w:rFonts w:cs="Arial"/>
          <w:szCs w:val="24"/>
        </w:rPr>
        <w:t>vengono</w:t>
      </w:r>
      <w:r w:rsidRPr="000409EA">
        <w:rPr>
          <w:rFonts w:cs="Arial"/>
          <w:szCs w:val="24"/>
        </w:rPr>
        <w:t xml:space="preserve"> stabilite dal singolo Ente regionale per lo sviluppo</w:t>
      </w:r>
      <w:r>
        <w:rPr>
          <w:rFonts w:cs="Arial"/>
          <w:szCs w:val="24"/>
        </w:rPr>
        <w:t>.</w:t>
      </w:r>
    </w:p>
    <w:p w:rsidR="00B93281" w:rsidRPr="00091B41" w:rsidRDefault="00B93281" w:rsidP="00B93281">
      <w:pPr>
        <w:rPr>
          <w:rFonts w:cs="Arial"/>
          <w:sz w:val="20"/>
        </w:rPr>
      </w:pPr>
    </w:p>
    <w:p w:rsidR="00B93281" w:rsidRDefault="00B93281" w:rsidP="00B93281">
      <w:pPr>
        <w:rPr>
          <w:rFonts w:cs="Arial"/>
          <w:szCs w:val="24"/>
        </w:rPr>
      </w:pPr>
      <w:r w:rsidRPr="000409EA">
        <w:rPr>
          <w:rFonts w:cs="Arial"/>
          <w:szCs w:val="24"/>
          <w:vertAlign w:val="superscript"/>
        </w:rPr>
        <w:t>4</w:t>
      </w:r>
      <w:r w:rsidRPr="000409EA">
        <w:rPr>
          <w:rFonts w:cs="Arial"/>
          <w:szCs w:val="24"/>
        </w:rPr>
        <w:t>Gli Enti regionali per lo sviluppo redig</w:t>
      </w:r>
      <w:r>
        <w:rPr>
          <w:rFonts w:cs="Arial"/>
          <w:szCs w:val="24"/>
        </w:rPr>
        <w:t>ono</w:t>
      </w:r>
      <w:r w:rsidRPr="000409EA">
        <w:rPr>
          <w:rFonts w:cs="Arial"/>
          <w:szCs w:val="24"/>
        </w:rPr>
        <w:t xml:space="preserve"> un rendiconto sull’utilizzo della dotazione finanziaria nell’ambito del rendiconto annuale previsto dal</w:t>
      </w:r>
      <w:r>
        <w:rPr>
          <w:rFonts w:cs="Arial"/>
          <w:szCs w:val="24"/>
        </w:rPr>
        <w:t>la</w:t>
      </w:r>
      <w:r w:rsidRPr="000409EA">
        <w:rPr>
          <w:rFonts w:cs="Arial"/>
          <w:szCs w:val="24"/>
        </w:rPr>
        <w:t xml:space="preserve"> con</w:t>
      </w:r>
      <w:r>
        <w:rPr>
          <w:rFonts w:cs="Arial"/>
          <w:szCs w:val="24"/>
        </w:rPr>
        <w:t>venzione</w:t>
      </w:r>
      <w:r w:rsidRPr="000409EA">
        <w:rPr>
          <w:rFonts w:cs="Arial"/>
          <w:szCs w:val="24"/>
        </w:rPr>
        <w:t xml:space="preserve"> di </w:t>
      </w:r>
      <w:r>
        <w:rPr>
          <w:rFonts w:cs="Arial"/>
          <w:szCs w:val="24"/>
        </w:rPr>
        <w:t xml:space="preserve">sussidiamento </w:t>
      </w:r>
      <w:r w:rsidRPr="000409EA">
        <w:rPr>
          <w:rFonts w:cs="Arial"/>
          <w:szCs w:val="24"/>
        </w:rPr>
        <w:t>20</w:t>
      </w:r>
      <w:r>
        <w:rPr>
          <w:rFonts w:cs="Arial"/>
          <w:szCs w:val="24"/>
        </w:rPr>
        <w:t>20</w:t>
      </w:r>
      <w:r w:rsidRPr="000409EA">
        <w:rPr>
          <w:rFonts w:cs="Arial"/>
          <w:szCs w:val="24"/>
        </w:rPr>
        <w:t>-20</w:t>
      </w:r>
      <w:r>
        <w:rPr>
          <w:rFonts w:cs="Arial"/>
          <w:szCs w:val="24"/>
        </w:rPr>
        <w:t>23</w:t>
      </w:r>
      <w:r w:rsidRPr="000409EA">
        <w:rPr>
          <w:rFonts w:cs="Arial"/>
          <w:szCs w:val="24"/>
        </w:rPr>
        <w:t xml:space="preserve"> con il Cantone Ticino</w:t>
      </w:r>
      <w:r w:rsidRPr="00CA4E94">
        <w:rPr>
          <w:rFonts w:cs="Arial"/>
          <w:szCs w:val="24"/>
        </w:rPr>
        <w:t>.</w:t>
      </w:r>
      <w:r>
        <w:rPr>
          <w:rFonts w:cs="Arial"/>
          <w:szCs w:val="24"/>
        </w:rPr>
        <w:br w:type="page"/>
      </w:r>
    </w:p>
    <w:p w:rsidR="00B93281" w:rsidRPr="00091B41" w:rsidRDefault="00B93281" w:rsidP="00B93281">
      <w:pPr>
        <w:pStyle w:val="NormaleWeb"/>
        <w:spacing w:before="0" w:beforeAutospacing="0" w:after="120" w:afterAutospacing="0"/>
        <w:rPr>
          <w:rFonts w:ascii="Arial" w:hAnsi="Arial" w:cs="Arial"/>
          <w:b/>
          <w:bCs/>
          <w:u w:val="single"/>
        </w:rPr>
      </w:pPr>
      <w:r w:rsidRPr="00091B41">
        <w:rPr>
          <w:rFonts w:ascii="Arial" w:hAnsi="Arial" w:cs="Arial"/>
          <w:b/>
          <w:bCs/>
          <w:u w:val="single"/>
        </w:rPr>
        <w:lastRenderedPageBreak/>
        <w:t>Articolo 4</w:t>
      </w:r>
    </w:p>
    <w:p w:rsidR="00B93281" w:rsidRPr="002D297B" w:rsidRDefault="00B93281" w:rsidP="00B93281">
      <w:pPr>
        <w:rPr>
          <w:rFonts w:cs="Arial"/>
          <w:szCs w:val="24"/>
        </w:rPr>
      </w:pPr>
      <w:r w:rsidRPr="002D297B">
        <w:rPr>
          <w:rFonts w:cs="Arial"/>
          <w:szCs w:val="24"/>
          <w:vertAlign w:val="superscript"/>
        </w:rPr>
        <w:t>1</w:t>
      </w:r>
      <w:r w:rsidRPr="002D297B">
        <w:rPr>
          <w:rFonts w:cs="Arial"/>
          <w:szCs w:val="24"/>
        </w:rPr>
        <w:t xml:space="preserve">Per i progetti regionali complementari agli obiettivi del Programma d’attuazione della politica economica regionale per il periodo 2020-2023 di cui all’art. 2 </w:t>
      </w:r>
      <w:proofErr w:type="spellStart"/>
      <w:r w:rsidRPr="002D297B">
        <w:rPr>
          <w:rFonts w:cs="Arial"/>
          <w:szCs w:val="24"/>
        </w:rPr>
        <w:t>lett</w:t>
      </w:r>
      <w:proofErr w:type="spellEnd"/>
      <w:r w:rsidRPr="002D297B">
        <w:rPr>
          <w:rFonts w:cs="Arial"/>
          <w:szCs w:val="24"/>
        </w:rPr>
        <w:t>. b), possono essere concessi i seguenti tipi di sussidio:</w:t>
      </w:r>
    </w:p>
    <w:p w:rsidR="00B93281" w:rsidRPr="002D297B" w:rsidRDefault="00B93281" w:rsidP="00B93281">
      <w:pPr>
        <w:numPr>
          <w:ilvl w:val="0"/>
          <w:numId w:val="18"/>
        </w:numPr>
        <w:tabs>
          <w:tab w:val="num" w:pos="426"/>
          <w:tab w:val="num" w:pos="885"/>
        </w:tabs>
        <w:ind w:left="420" w:hanging="420"/>
        <w:rPr>
          <w:rFonts w:cs="Arial"/>
          <w:szCs w:val="24"/>
        </w:rPr>
      </w:pPr>
      <w:r w:rsidRPr="002D297B">
        <w:rPr>
          <w:rFonts w:cs="Arial"/>
          <w:szCs w:val="24"/>
        </w:rPr>
        <w:t>mutui a tassi d’interesse agevolati o senza interesse</w:t>
      </w:r>
      <w:r>
        <w:rPr>
          <w:rFonts w:cs="Arial"/>
          <w:szCs w:val="24"/>
        </w:rPr>
        <w:t>;</w:t>
      </w:r>
      <w:r w:rsidRPr="002D297B">
        <w:rPr>
          <w:rFonts w:cs="Arial"/>
          <w:szCs w:val="24"/>
        </w:rPr>
        <w:t xml:space="preserve"> </w:t>
      </w:r>
    </w:p>
    <w:p w:rsidR="00B93281" w:rsidRDefault="00B93281" w:rsidP="00B93281">
      <w:pPr>
        <w:numPr>
          <w:ilvl w:val="0"/>
          <w:numId w:val="18"/>
        </w:numPr>
        <w:tabs>
          <w:tab w:val="num" w:pos="426"/>
          <w:tab w:val="num" w:pos="885"/>
        </w:tabs>
        <w:ind w:left="420" w:hanging="420"/>
        <w:rPr>
          <w:rFonts w:cs="Arial"/>
          <w:szCs w:val="24"/>
        </w:rPr>
      </w:pPr>
      <w:r w:rsidRPr="002D297B">
        <w:rPr>
          <w:rFonts w:cs="Arial"/>
          <w:szCs w:val="24"/>
        </w:rPr>
        <w:t>a fondo perso.</w:t>
      </w:r>
    </w:p>
    <w:p w:rsidR="00B93281" w:rsidRPr="002D297B" w:rsidRDefault="00B93281" w:rsidP="00B93281">
      <w:pPr>
        <w:tabs>
          <w:tab w:val="num" w:pos="885"/>
        </w:tabs>
        <w:rPr>
          <w:rFonts w:cs="Arial"/>
          <w:szCs w:val="24"/>
        </w:rPr>
      </w:pPr>
    </w:p>
    <w:p w:rsidR="00B93281" w:rsidRPr="002D297B" w:rsidRDefault="00B93281" w:rsidP="00B93281">
      <w:pPr>
        <w:rPr>
          <w:rFonts w:cs="Arial"/>
          <w:szCs w:val="24"/>
        </w:rPr>
      </w:pPr>
      <w:r w:rsidRPr="002D297B">
        <w:rPr>
          <w:rFonts w:cs="Arial"/>
          <w:szCs w:val="24"/>
          <w:vertAlign w:val="superscript"/>
        </w:rPr>
        <w:t>2</w:t>
      </w:r>
      <w:r w:rsidRPr="002D297B">
        <w:rPr>
          <w:rFonts w:cs="Arial"/>
          <w:szCs w:val="24"/>
        </w:rPr>
        <w:t>Il sostegno ai progetti sottostà ai seguenti vincoli:</w:t>
      </w:r>
    </w:p>
    <w:p w:rsidR="00B93281" w:rsidRPr="002D297B" w:rsidRDefault="00B93281" w:rsidP="00B93281">
      <w:pPr>
        <w:numPr>
          <w:ilvl w:val="0"/>
          <w:numId w:val="19"/>
        </w:numPr>
        <w:tabs>
          <w:tab w:val="num" w:pos="426"/>
        </w:tabs>
        <w:spacing w:before="80"/>
        <w:ind w:left="420" w:hanging="420"/>
        <w:rPr>
          <w:rFonts w:cs="Arial"/>
          <w:szCs w:val="24"/>
        </w:rPr>
      </w:pPr>
      <w:r w:rsidRPr="002D297B">
        <w:rPr>
          <w:rFonts w:cs="Arial"/>
          <w:szCs w:val="24"/>
        </w:rPr>
        <w:t>i promotori di un progetto assicurano l’apporto di mezzi propri pari ad almeno il 25% dell’investimento complessivo;</w:t>
      </w:r>
    </w:p>
    <w:p w:rsidR="00B93281" w:rsidRPr="00194073" w:rsidRDefault="00194073" w:rsidP="00B93281">
      <w:pPr>
        <w:numPr>
          <w:ilvl w:val="0"/>
          <w:numId w:val="19"/>
        </w:numPr>
        <w:tabs>
          <w:tab w:val="num" w:pos="426"/>
        </w:tabs>
        <w:spacing w:before="80"/>
        <w:ind w:left="420" w:hanging="420"/>
        <w:rPr>
          <w:rFonts w:cs="Arial"/>
          <w:szCs w:val="24"/>
        </w:rPr>
      </w:pPr>
      <w:r w:rsidRPr="00194073">
        <w:rPr>
          <w:rFonts w:cs="Arial"/>
          <w:color w:val="000000" w:themeColor="text1"/>
          <w:szCs w:val="24"/>
        </w:rPr>
        <w:t>il cumulo dei sussidi concessi a un singolo progetto attraverso le leggi cantonali e federali non può̀ superare il 50% dell’importo computabile. Sono esclusi dal calcolo per il cumulo i fondi perequativi intercomunali, i fondi dell’aiuto patriziale, i finanziamenti derivanti da procedure aggregative così come fondi cantonali, nei quali confluisce l’utile netto delle lotterie e delle scommesse sportive, destinati a scopi d’</w:t>
      </w:r>
      <w:proofErr w:type="spellStart"/>
      <w:r w:rsidRPr="00194073">
        <w:rPr>
          <w:rFonts w:cs="Arial"/>
          <w:color w:val="000000" w:themeColor="text1"/>
          <w:szCs w:val="24"/>
        </w:rPr>
        <w:t>utilita</w:t>
      </w:r>
      <w:proofErr w:type="spellEnd"/>
      <w:r w:rsidRPr="00194073">
        <w:rPr>
          <w:rFonts w:cs="Arial"/>
          <w:color w:val="000000" w:themeColor="text1"/>
          <w:szCs w:val="24"/>
        </w:rPr>
        <w:t>̀ pubblica, segnatamente in ambito culturale, sociale e sportivo.</w:t>
      </w:r>
      <w:r w:rsidRPr="00194073">
        <w:rPr>
          <w:rFonts w:cs="Arial"/>
          <w:b/>
          <w:bCs/>
          <w:szCs w:val="24"/>
        </w:rPr>
        <w:t xml:space="preserve"> </w:t>
      </w:r>
      <w:r w:rsidRPr="00194073">
        <w:rPr>
          <w:rFonts w:cs="Arial"/>
          <w:b/>
          <w:bCs/>
          <w:color w:val="000000" w:themeColor="text1"/>
          <w:sz w:val="23"/>
          <w:szCs w:val="23"/>
        </w:rPr>
        <w:t>Per progetti ubicati nelle zone discoste o progetti di particolare valenza ambientale che non beneficiano dei citati fondi esclusi dal calcolo per il cumulo e che presentano ricadute perlopiù indirette è possibile stanziare sussidi a fondo perso aggiuntivi fino a un massimo del 65% dell’importo computabile</w:t>
      </w:r>
      <w:r w:rsidR="00B93281" w:rsidRPr="00194073">
        <w:rPr>
          <w:rFonts w:cs="Arial"/>
          <w:szCs w:val="24"/>
        </w:rPr>
        <w:t>;</w:t>
      </w:r>
    </w:p>
    <w:p w:rsidR="00B93281" w:rsidRDefault="00B93281" w:rsidP="00B93281">
      <w:pPr>
        <w:numPr>
          <w:ilvl w:val="0"/>
          <w:numId w:val="19"/>
        </w:numPr>
        <w:tabs>
          <w:tab w:val="num" w:pos="426"/>
        </w:tabs>
        <w:spacing w:before="80"/>
        <w:ind w:left="420" w:hanging="420"/>
        <w:rPr>
          <w:rFonts w:cs="Arial"/>
          <w:szCs w:val="24"/>
        </w:rPr>
      </w:pPr>
      <w:r w:rsidRPr="002D297B">
        <w:rPr>
          <w:rFonts w:cs="Arial"/>
          <w:szCs w:val="24"/>
        </w:rPr>
        <w:t xml:space="preserve">per l’elaborazione del modello imprenditoriale e l’approfondimento </w:t>
      </w:r>
      <w:proofErr w:type="spellStart"/>
      <w:r w:rsidRPr="002D297B">
        <w:rPr>
          <w:rFonts w:cs="Arial"/>
          <w:szCs w:val="24"/>
        </w:rPr>
        <w:t>pianificatorio</w:t>
      </w:r>
      <w:proofErr w:type="spellEnd"/>
      <w:r w:rsidRPr="002D297B">
        <w:rPr>
          <w:rFonts w:cs="Arial"/>
          <w:szCs w:val="24"/>
        </w:rPr>
        <w:t>, è possibile stanziare sussidi a fondo perso fino al 90% dell’importo computabile.</w:t>
      </w:r>
    </w:p>
    <w:p w:rsidR="00B93281" w:rsidRPr="002D297B" w:rsidRDefault="00B93281" w:rsidP="00B93281">
      <w:pPr>
        <w:rPr>
          <w:rFonts w:cs="Arial"/>
          <w:szCs w:val="24"/>
        </w:rPr>
      </w:pPr>
    </w:p>
    <w:p w:rsidR="00B93281" w:rsidRDefault="00B93281" w:rsidP="00B93281">
      <w:pPr>
        <w:rPr>
          <w:rFonts w:cs="Arial"/>
          <w:szCs w:val="24"/>
        </w:rPr>
      </w:pPr>
      <w:r w:rsidRPr="000409EA">
        <w:rPr>
          <w:rFonts w:cs="Arial"/>
          <w:szCs w:val="24"/>
          <w:vertAlign w:val="superscript"/>
        </w:rPr>
        <w:t>3</w:t>
      </w:r>
      <w:r w:rsidRPr="000409EA">
        <w:rPr>
          <w:rFonts w:cs="Arial"/>
          <w:szCs w:val="24"/>
        </w:rPr>
        <w:t>Per la concessione di sussidi è richiesta l’elaborazione di un modello imprenditoriale, comprendente segnatamente uno studio di fattibilità e un piano degli affari.</w:t>
      </w:r>
    </w:p>
    <w:p w:rsidR="00B93281" w:rsidRPr="000409EA" w:rsidRDefault="00B93281" w:rsidP="00B93281">
      <w:pPr>
        <w:rPr>
          <w:rFonts w:cs="Arial"/>
          <w:szCs w:val="24"/>
        </w:rPr>
      </w:pPr>
    </w:p>
    <w:p w:rsidR="00B93281" w:rsidRPr="000409EA" w:rsidRDefault="00B93281" w:rsidP="00B93281">
      <w:pPr>
        <w:rPr>
          <w:rFonts w:cs="Arial"/>
          <w:szCs w:val="24"/>
        </w:rPr>
      </w:pPr>
      <w:r w:rsidRPr="000409EA">
        <w:rPr>
          <w:rFonts w:cs="Arial"/>
          <w:szCs w:val="24"/>
          <w:vertAlign w:val="superscript"/>
        </w:rPr>
        <w:t>4</w:t>
      </w:r>
      <w:r w:rsidRPr="000409EA">
        <w:rPr>
          <w:rFonts w:cs="Arial"/>
          <w:szCs w:val="24"/>
        </w:rPr>
        <w:t xml:space="preserve">Il Consiglio di Stato decide gli aiuti per il sostegno all’elaborazione del modello imprenditoriale e l’approfondimento </w:t>
      </w:r>
      <w:proofErr w:type="spellStart"/>
      <w:r w:rsidRPr="000409EA">
        <w:rPr>
          <w:rFonts w:cs="Arial"/>
          <w:szCs w:val="24"/>
        </w:rPr>
        <w:t>pianificatorio</w:t>
      </w:r>
      <w:proofErr w:type="spellEnd"/>
      <w:r w:rsidRPr="000409EA">
        <w:rPr>
          <w:rFonts w:cs="Arial"/>
          <w:szCs w:val="24"/>
        </w:rPr>
        <w:t>.</w:t>
      </w:r>
    </w:p>
    <w:p w:rsidR="00B93281" w:rsidRDefault="00B93281" w:rsidP="00B93281">
      <w:pPr>
        <w:rPr>
          <w:rFonts w:cs="Arial"/>
          <w:szCs w:val="24"/>
        </w:rPr>
      </w:pPr>
      <w:r w:rsidRPr="000409EA">
        <w:rPr>
          <w:rFonts w:cs="Arial"/>
          <w:szCs w:val="24"/>
          <w:vertAlign w:val="superscript"/>
        </w:rPr>
        <w:t>5</w:t>
      </w:r>
      <w:r w:rsidRPr="000409EA">
        <w:rPr>
          <w:rFonts w:cs="Arial"/>
          <w:szCs w:val="24"/>
        </w:rPr>
        <w:t xml:space="preserve">Il Gran Consiglio decide gli aiuti per il sostegno ai progetti di cui all’art. 2 </w:t>
      </w:r>
      <w:proofErr w:type="spellStart"/>
      <w:r w:rsidRPr="000409EA">
        <w:rPr>
          <w:rFonts w:cs="Arial"/>
          <w:szCs w:val="24"/>
        </w:rPr>
        <w:t>lett</w:t>
      </w:r>
      <w:proofErr w:type="spellEnd"/>
      <w:r w:rsidRPr="000409EA">
        <w:rPr>
          <w:rFonts w:cs="Arial"/>
          <w:szCs w:val="24"/>
        </w:rPr>
        <w:t>. b).</w:t>
      </w:r>
    </w:p>
    <w:p w:rsidR="00B93281" w:rsidRPr="000409EA" w:rsidRDefault="00B93281" w:rsidP="00B93281">
      <w:pPr>
        <w:rPr>
          <w:rFonts w:cs="Arial"/>
          <w:szCs w:val="24"/>
        </w:rPr>
      </w:pPr>
    </w:p>
    <w:p w:rsidR="00B93281" w:rsidRDefault="00B93281" w:rsidP="00B93281">
      <w:pPr>
        <w:rPr>
          <w:rFonts w:cs="Arial"/>
          <w:szCs w:val="24"/>
        </w:rPr>
      </w:pPr>
      <w:r w:rsidRPr="000409EA">
        <w:rPr>
          <w:rFonts w:cs="Arial"/>
          <w:szCs w:val="24"/>
          <w:vertAlign w:val="superscript"/>
        </w:rPr>
        <w:t>6</w:t>
      </w:r>
      <w:r w:rsidRPr="000409EA">
        <w:rPr>
          <w:rFonts w:cs="Arial"/>
          <w:szCs w:val="24"/>
        </w:rPr>
        <w:t xml:space="preserve">Il Consiglio di Stato </w:t>
      </w:r>
      <w:r w:rsidRPr="002D297B">
        <w:rPr>
          <w:rFonts w:cs="Arial"/>
          <w:szCs w:val="24"/>
        </w:rPr>
        <w:t>stabilisce la procedura</w:t>
      </w:r>
      <w:r>
        <w:rPr>
          <w:rFonts w:cs="Arial"/>
          <w:szCs w:val="24"/>
        </w:rPr>
        <w:t xml:space="preserve"> </w:t>
      </w:r>
      <w:r w:rsidRPr="000409EA">
        <w:rPr>
          <w:rFonts w:cs="Arial"/>
          <w:szCs w:val="24"/>
        </w:rPr>
        <w:t>per le domande intese ad ottenere gli aiuti</w:t>
      </w:r>
      <w:r w:rsidRPr="00637DC9">
        <w:rPr>
          <w:rFonts w:cs="Arial"/>
          <w:szCs w:val="24"/>
        </w:rPr>
        <w:t xml:space="preserve"> </w:t>
      </w:r>
      <w:r>
        <w:rPr>
          <w:rFonts w:cs="Arial"/>
          <w:szCs w:val="24"/>
        </w:rPr>
        <w:t>e designa il servizio competente</w:t>
      </w:r>
      <w:r w:rsidRPr="000409EA">
        <w:rPr>
          <w:rFonts w:cs="Arial"/>
          <w:szCs w:val="24"/>
        </w:rPr>
        <w:t>.</w:t>
      </w:r>
    </w:p>
    <w:p w:rsidR="00B93281" w:rsidRPr="000409EA" w:rsidRDefault="00B93281" w:rsidP="00B93281">
      <w:pPr>
        <w:rPr>
          <w:rFonts w:cs="Arial"/>
          <w:szCs w:val="24"/>
        </w:rPr>
      </w:pPr>
    </w:p>
    <w:p w:rsidR="00B93281" w:rsidRPr="000409EA" w:rsidRDefault="00B93281" w:rsidP="00B93281">
      <w:pPr>
        <w:rPr>
          <w:rFonts w:cs="Arial"/>
          <w:szCs w:val="24"/>
        </w:rPr>
      </w:pPr>
      <w:r>
        <w:rPr>
          <w:rFonts w:cs="Arial"/>
          <w:szCs w:val="24"/>
          <w:vertAlign w:val="superscript"/>
        </w:rPr>
        <w:t>7</w:t>
      </w:r>
      <w:r w:rsidRPr="000409EA">
        <w:rPr>
          <w:rFonts w:cs="Arial"/>
          <w:szCs w:val="24"/>
        </w:rPr>
        <w:t xml:space="preserve">Per </w:t>
      </w:r>
      <w:r>
        <w:rPr>
          <w:rFonts w:cs="Arial"/>
          <w:szCs w:val="24"/>
        </w:rPr>
        <w:t>quanto non disciplinato dal presente decreto legislativo</w:t>
      </w:r>
      <w:r w:rsidRPr="000409EA">
        <w:rPr>
          <w:rFonts w:cs="Arial"/>
          <w:szCs w:val="24"/>
        </w:rPr>
        <w:t xml:space="preserve"> </w:t>
      </w:r>
      <w:r w:rsidRPr="00637DC9">
        <w:rPr>
          <w:rFonts w:cs="Arial"/>
          <w:szCs w:val="24"/>
        </w:rPr>
        <w:t>sono app</w:t>
      </w:r>
      <w:r>
        <w:rPr>
          <w:rFonts w:cs="Arial"/>
          <w:szCs w:val="24"/>
        </w:rPr>
        <w:t>licabili le disposizioni della l</w:t>
      </w:r>
      <w:r w:rsidRPr="00637DC9">
        <w:rPr>
          <w:rFonts w:cs="Arial"/>
          <w:szCs w:val="24"/>
        </w:rPr>
        <w:t>egge sui sussidi canton</w:t>
      </w:r>
      <w:r>
        <w:rPr>
          <w:rFonts w:cs="Arial"/>
          <w:szCs w:val="24"/>
        </w:rPr>
        <w:t>ali del 22 giugno 1994</w:t>
      </w:r>
      <w:r w:rsidRPr="002D297B">
        <w:rPr>
          <w:rFonts w:cs="Arial"/>
          <w:szCs w:val="24"/>
        </w:rPr>
        <w:t>.</w:t>
      </w:r>
    </w:p>
    <w:p w:rsidR="00B93281" w:rsidRDefault="00B93281" w:rsidP="00B93281">
      <w:pPr>
        <w:rPr>
          <w:rFonts w:cs="Arial"/>
          <w:szCs w:val="24"/>
        </w:rPr>
      </w:pPr>
    </w:p>
    <w:p w:rsidR="00B93281" w:rsidRPr="000409EA" w:rsidRDefault="00B93281" w:rsidP="00B93281">
      <w:pPr>
        <w:rPr>
          <w:rFonts w:cs="Arial"/>
          <w:szCs w:val="24"/>
        </w:rPr>
      </w:pPr>
    </w:p>
    <w:p w:rsidR="00B93281" w:rsidRPr="00091B41" w:rsidRDefault="00B93281" w:rsidP="00B93281">
      <w:pPr>
        <w:pStyle w:val="NormaleWeb"/>
        <w:spacing w:before="0" w:beforeAutospacing="0" w:after="120" w:afterAutospacing="0"/>
        <w:rPr>
          <w:rFonts w:ascii="Arial" w:hAnsi="Arial" w:cs="Arial"/>
          <w:b/>
          <w:bCs/>
          <w:u w:val="single"/>
        </w:rPr>
      </w:pPr>
      <w:r w:rsidRPr="00091B41">
        <w:rPr>
          <w:rFonts w:ascii="Arial" w:hAnsi="Arial" w:cs="Arial"/>
          <w:b/>
          <w:bCs/>
          <w:u w:val="single"/>
        </w:rPr>
        <w:t>Articolo 5</w:t>
      </w:r>
    </w:p>
    <w:p w:rsidR="00B93281" w:rsidRPr="000409EA" w:rsidRDefault="00B93281" w:rsidP="00B93281">
      <w:pPr>
        <w:rPr>
          <w:rFonts w:cs="Arial"/>
          <w:szCs w:val="24"/>
        </w:rPr>
      </w:pPr>
      <w:r w:rsidRPr="000409EA">
        <w:rPr>
          <w:rFonts w:cs="Arial"/>
          <w:szCs w:val="24"/>
        </w:rPr>
        <w:t>Il credito di cui all'art. 1 è iscritto al conto degli investimenti del Dipartimento delle finanze e dell'economia, Divisione dell’economia.</w:t>
      </w:r>
    </w:p>
    <w:p w:rsidR="00B93281" w:rsidRDefault="00B93281" w:rsidP="00B93281">
      <w:pPr>
        <w:rPr>
          <w:rFonts w:cs="Arial"/>
          <w:szCs w:val="24"/>
        </w:rPr>
      </w:pPr>
    </w:p>
    <w:p w:rsidR="00B93281" w:rsidRPr="000409EA" w:rsidRDefault="00B93281" w:rsidP="00B93281">
      <w:pPr>
        <w:rPr>
          <w:rFonts w:cs="Arial"/>
          <w:szCs w:val="24"/>
        </w:rPr>
      </w:pPr>
    </w:p>
    <w:p w:rsidR="00B93281" w:rsidRPr="00091B41" w:rsidRDefault="00B93281" w:rsidP="00B93281">
      <w:pPr>
        <w:pStyle w:val="NormaleWeb"/>
        <w:spacing w:before="0" w:beforeAutospacing="0" w:after="120" w:afterAutospacing="0"/>
        <w:rPr>
          <w:rFonts w:ascii="Arial" w:hAnsi="Arial" w:cs="Arial"/>
          <w:b/>
          <w:bCs/>
          <w:u w:val="single"/>
        </w:rPr>
      </w:pPr>
      <w:r w:rsidRPr="00091B41">
        <w:rPr>
          <w:rFonts w:ascii="Arial" w:hAnsi="Arial" w:cs="Arial"/>
          <w:b/>
          <w:bCs/>
          <w:u w:val="single"/>
        </w:rPr>
        <w:t>Articolo 6</w:t>
      </w:r>
    </w:p>
    <w:p w:rsidR="00B93281" w:rsidRDefault="00B93281" w:rsidP="00B93281">
      <w:pPr>
        <w:rPr>
          <w:rFonts w:cs="Arial"/>
          <w:szCs w:val="24"/>
        </w:rPr>
      </w:pPr>
      <w:r w:rsidRPr="000409EA">
        <w:rPr>
          <w:rFonts w:cs="Arial"/>
          <w:szCs w:val="24"/>
          <w:vertAlign w:val="superscript"/>
        </w:rPr>
        <w:t>1</w:t>
      </w:r>
      <w:r w:rsidRPr="000409EA">
        <w:rPr>
          <w:rFonts w:cs="Arial"/>
          <w:szCs w:val="24"/>
        </w:rPr>
        <w:t xml:space="preserve">Trascorsi i termini per l’esercizio del diritto di referendum, il presente </w:t>
      </w:r>
      <w:r>
        <w:rPr>
          <w:rFonts w:cs="Arial"/>
          <w:szCs w:val="24"/>
        </w:rPr>
        <w:t>d</w:t>
      </w:r>
      <w:r w:rsidRPr="000409EA">
        <w:rPr>
          <w:rFonts w:cs="Arial"/>
          <w:szCs w:val="24"/>
        </w:rPr>
        <w:t>ecreto</w:t>
      </w:r>
      <w:r>
        <w:rPr>
          <w:rFonts w:cs="Arial"/>
          <w:szCs w:val="24"/>
        </w:rPr>
        <w:t xml:space="preserve"> legislativo</w:t>
      </w:r>
      <w:r w:rsidRPr="000409EA">
        <w:rPr>
          <w:rFonts w:cs="Arial"/>
          <w:szCs w:val="24"/>
        </w:rPr>
        <w:t xml:space="preserve"> è pubblicato nel Bollettino</w:t>
      </w:r>
      <w:r>
        <w:rPr>
          <w:rFonts w:cs="Arial"/>
          <w:szCs w:val="24"/>
        </w:rPr>
        <w:t xml:space="preserve"> ufficiale</w:t>
      </w:r>
      <w:r w:rsidRPr="000409EA">
        <w:rPr>
          <w:rFonts w:cs="Arial"/>
          <w:szCs w:val="24"/>
        </w:rPr>
        <w:t xml:space="preserve"> delle leggi ed entra immediatamente in vigore</w:t>
      </w:r>
      <w:r>
        <w:rPr>
          <w:rFonts w:cs="Arial"/>
          <w:szCs w:val="24"/>
        </w:rPr>
        <w:t>.</w:t>
      </w:r>
      <w:r w:rsidDel="00FC48DC">
        <w:rPr>
          <w:rFonts w:cs="Arial"/>
          <w:szCs w:val="24"/>
        </w:rPr>
        <w:t xml:space="preserve"> </w:t>
      </w:r>
    </w:p>
    <w:p w:rsidR="00B93281" w:rsidRDefault="00B93281" w:rsidP="00B93281">
      <w:pPr>
        <w:rPr>
          <w:rFonts w:cs="Arial"/>
          <w:szCs w:val="24"/>
        </w:rPr>
      </w:pPr>
    </w:p>
    <w:p w:rsidR="00B93281" w:rsidRPr="000409EA" w:rsidRDefault="00B93281" w:rsidP="00B93281">
      <w:pPr>
        <w:rPr>
          <w:rFonts w:cs="Arial"/>
          <w:szCs w:val="24"/>
        </w:rPr>
      </w:pPr>
      <w:r>
        <w:rPr>
          <w:rFonts w:cs="Arial"/>
          <w:szCs w:val="24"/>
          <w:vertAlign w:val="superscript"/>
        </w:rPr>
        <w:t xml:space="preserve">2 </w:t>
      </w:r>
      <w:r>
        <w:rPr>
          <w:rFonts w:cs="Arial"/>
          <w:szCs w:val="24"/>
        </w:rPr>
        <w:t xml:space="preserve">Il </w:t>
      </w:r>
      <w:r>
        <w:rPr>
          <w:rFonts w:cs="Arial"/>
        </w:rPr>
        <w:t>decreto resta in vigore fino al 31 dicembre 2023.</w:t>
      </w:r>
      <w:r>
        <w:rPr>
          <w:rFonts w:cs="Arial"/>
          <w:szCs w:val="24"/>
        </w:rPr>
        <w:t xml:space="preserve"> </w:t>
      </w:r>
    </w:p>
    <w:p w:rsidR="00B93281" w:rsidRPr="000409EA" w:rsidRDefault="00B93281" w:rsidP="00B93281">
      <w:pPr>
        <w:rPr>
          <w:rFonts w:cs="Arial"/>
          <w:szCs w:val="24"/>
        </w:rPr>
      </w:pPr>
    </w:p>
    <w:p w:rsidR="00B93281" w:rsidRDefault="00B93281" w:rsidP="00B93281">
      <w:pPr>
        <w:rPr>
          <w:rFonts w:cs="Arial"/>
          <w:szCs w:val="24"/>
        </w:rPr>
      </w:pPr>
      <w:r>
        <w:rPr>
          <w:rFonts w:cs="Arial"/>
          <w:szCs w:val="24"/>
        </w:rPr>
        <w:br w:type="page"/>
      </w:r>
    </w:p>
    <w:p w:rsidR="00B93281" w:rsidRPr="007D0F1C" w:rsidRDefault="00B93281" w:rsidP="00B93281">
      <w:pPr>
        <w:rPr>
          <w:rFonts w:cs="Arial"/>
          <w:szCs w:val="24"/>
        </w:rPr>
      </w:pPr>
      <w:r w:rsidRPr="007D0F1C">
        <w:rPr>
          <w:rFonts w:cs="Arial"/>
          <w:szCs w:val="24"/>
        </w:rPr>
        <w:lastRenderedPageBreak/>
        <w:t>Disegno di</w:t>
      </w:r>
    </w:p>
    <w:p w:rsidR="00B93281" w:rsidRPr="00212363" w:rsidRDefault="00B93281" w:rsidP="00B93281">
      <w:pPr>
        <w:spacing w:before="120"/>
        <w:rPr>
          <w:rFonts w:cs="Arial"/>
          <w:szCs w:val="24"/>
        </w:rPr>
      </w:pPr>
    </w:p>
    <w:p w:rsidR="00B93281" w:rsidRPr="00B93281" w:rsidRDefault="00B93281" w:rsidP="00B93281">
      <w:pPr>
        <w:spacing w:before="120" w:after="120"/>
        <w:rPr>
          <w:b/>
        </w:rPr>
      </w:pPr>
      <w:bookmarkStart w:id="29" w:name="_Toc20472786"/>
      <w:r w:rsidRPr="00B93281">
        <w:rPr>
          <w:b/>
        </w:rPr>
        <w:t>DECRETO LEGISLATIVO</w:t>
      </w:r>
      <w:bookmarkEnd w:id="29"/>
    </w:p>
    <w:p w:rsidR="00B93281" w:rsidRPr="00212363" w:rsidRDefault="00B93281" w:rsidP="00B93281">
      <w:pPr>
        <w:autoSpaceDE w:val="0"/>
        <w:autoSpaceDN w:val="0"/>
        <w:adjustRightInd w:val="0"/>
        <w:rPr>
          <w:rFonts w:cs="Arial"/>
          <w:b/>
          <w:szCs w:val="24"/>
        </w:rPr>
      </w:pPr>
      <w:r w:rsidRPr="00212363">
        <w:rPr>
          <w:rFonts w:cs="Arial"/>
          <w:b/>
          <w:szCs w:val="24"/>
        </w:rPr>
        <w:t>concernente la partecipazione al Programma San Gottardo</w:t>
      </w:r>
    </w:p>
    <w:p w:rsidR="00B93281" w:rsidRPr="00212363" w:rsidRDefault="00B93281" w:rsidP="00B93281">
      <w:pPr>
        <w:pStyle w:val="Art"/>
        <w:ind w:left="0"/>
        <w:rPr>
          <w:rFonts w:cs="Arial"/>
          <w:noProof w:val="0"/>
          <w:sz w:val="24"/>
          <w:szCs w:val="24"/>
        </w:rPr>
      </w:pPr>
    </w:p>
    <w:p w:rsidR="00B93281" w:rsidRPr="00212363" w:rsidRDefault="00B93281" w:rsidP="00B93281">
      <w:pPr>
        <w:pStyle w:val="Art"/>
        <w:ind w:left="0"/>
        <w:rPr>
          <w:rFonts w:cs="Arial"/>
          <w:noProof w:val="0"/>
          <w:sz w:val="24"/>
          <w:szCs w:val="24"/>
        </w:rPr>
      </w:pPr>
    </w:p>
    <w:p w:rsidR="00B93281" w:rsidRPr="00212363" w:rsidRDefault="00B93281" w:rsidP="00B93281">
      <w:pPr>
        <w:pStyle w:val="gCCdS"/>
        <w:ind w:left="0"/>
        <w:jc w:val="both"/>
        <w:rPr>
          <w:rFonts w:cs="Arial"/>
          <w:noProof w:val="0"/>
          <w:sz w:val="24"/>
          <w:szCs w:val="24"/>
        </w:rPr>
      </w:pPr>
      <w:r w:rsidRPr="00212363">
        <w:rPr>
          <w:rFonts w:cs="Arial"/>
          <w:caps w:val="0"/>
          <w:noProof w:val="0"/>
          <w:sz w:val="24"/>
          <w:szCs w:val="24"/>
        </w:rPr>
        <w:t>I</w:t>
      </w:r>
      <w:r>
        <w:rPr>
          <w:rFonts w:cs="Arial"/>
          <w:caps w:val="0"/>
          <w:noProof w:val="0"/>
          <w:sz w:val="24"/>
          <w:szCs w:val="24"/>
        </w:rPr>
        <w:t>L GRAN CONSIGLIO</w:t>
      </w:r>
      <w:r w:rsidRPr="00212363">
        <w:rPr>
          <w:rFonts w:cs="Arial"/>
          <w:caps w:val="0"/>
          <w:noProof w:val="0"/>
          <w:sz w:val="24"/>
          <w:szCs w:val="24"/>
        </w:rPr>
        <w:t xml:space="preserve"> </w:t>
      </w:r>
    </w:p>
    <w:p w:rsidR="00B93281" w:rsidRPr="00212363" w:rsidRDefault="00B93281" w:rsidP="00B93281">
      <w:pPr>
        <w:pStyle w:val="gCCdS"/>
        <w:ind w:left="0"/>
        <w:jc w:val="both"/>
        <w:rPr>
          <w:rFonts w:cs="Arial"/>
          <w:noProof w:val="0"/>
          <w:sz w:val="24"/>
          <w:szCs w:val="24"/>
        </w:rPr>
      </w:pPr>
      <w:r>
        <w:rPr>
          <w:rFonts w:cs="Arial"/>
          <w:caps w:val="0"/>
          <w:noProof w:val="0"/>
          <w:sz w:val="24"/>
          <w:szCs w:val="24"/>
        </w:rPr>
        <w:t>DELLA REPUBBLICA E CANTONE TICINO</w:t>
      </w:r>
    </w:p>
    <w:p w:rsidR="00B93281" w:rsidRPr="009509DF" w:rsidRDefault="00B93281" w:rsidP="00B93281">
      <w:pPr>
        <w:pStyle w:val="Art"/>
        <w:ind w:left="0"/>
        <w:rPr>
          <w:rFonts w:cs="Arial"/>
          <w:noProof w:val="0"/>
          <w:sz w:val="24"/>
          <w:szCs w:val="24"/>
        </w:rPr>
      </w:pPr>
    </w:p>
    <w:p w:rsidR="00B93281" w:rsidRPr="009509DF" w:rsidRDefault="00B93281" w:rsidP="00B93281">
      <w:pPr>
        <w:pStyle w:val="NormaleWeb"/>
        <w:tabs>
          <w:tab w:val="left" w:pos="3686"/>
          <w:tab w:val="left" w:pos="4820"/>
        </w:tabs>
        <w:spacing w:before="0" w:beforeAutospacing="0" w:after="0" w:afterAutospacing="0"/>
        <w:rPr>
          <w:rFonts w:ascii="Arial" w:hAnsi="Arial" w:cs="Arial"/>
        </w:rPr>
      </w:pPr>
      <w:r w:rsidRPr="009509DF">
        <w:rPr>
          <w:rFonts w:ascii="Arial" w:hAnsi="Arial" w:cs="Arial"/>
        </w:rPr>
        <w:t xml:space="preserve">visto il messaggio </w:t>
      </w:r>
      <w:r>
        <w:rPr>
          <w:rFonts w:ascii="Arial" w:hAnsi="Arial" w:cs="Arial"/>
        </w:rPr>
        <w:t>16 ottobre 2019 n. 7725</w:t>
      </w:r>
      <w:r w:rsidRPr="009509DF">
        <w:rPr>
          <w:rFonts w:ascii="Arial" w:hAnsi="Arial" w:cs="Arial"/>
        </w:rPr>
        <w:t xml:space="preserve"> del Consiglio di Stato,</w:t>
      </w:r>
    </w:p>
    <w:p w:rsidR="00B93281" w:rsidRPr="009509DF" w:rsidRDefault="00B93281" w:rsidP="00B93281">
      <w:pPr>
        <w:tabs>
          <w:tab w:val="left" w:pos="851"/>
        </w:tabs>
        <w:rPr>
          <w:rFonts w:cs="Arial"/>
          <w:szCs w:val="24"/>
        </w:rPr>
      </w:pPr>
    </w:p>
    <w:p w:rsidR="00B93281" w:rsidRPr="009509DF" w:rsidRDefault="00B93281" w:rsidP="00B93281">
      <w:pPr>
        <w:tabs>
          <w:tab w:val="left" w:pos="851"/>
        </w:tabs>
        <w:rPr>
          <w:rFonts w:cs="Arial"/>
          <w:szCs w:val="24"/>
        </w:rPr>
      </w:pPr>
    </w:p>
    <w:p w:rsidR="00B93281" w:rsidRPr="00F9064B" w:rsidRDefault="00B93281" w:rsidP="00B93281">
      <w:pPr>
        <w:pStyle w:val="NormaleWeb"/>
        <w:spacing w:before="0" w:beforeAutospacing="0" w:after="0" w:afterAutospacing="0"/>
        <w:rPr>
          <w:rFonts w:ascii="Arial" w:hAnsi="Arial" w:cs="Arial"/>
          <w:b/>
          <w:bCs/>
        </w:rPr>
      </w:pPr>
      <w:r w:rsidRPr="00F9064B">
        <w:rPr>
          <w:rFonts w:ascii="Arial" w:hAnsi="Arial" w:cs="Arial"/>
          <w:b/>
          <w:bCs/>
        </w:rPr>
        <w:t>d e c r e t a :</w:t>
      </w:r>
    </w:p>
    <w:p w:rsidR="00B93281" w:rsidRPr="00212363" w:rsidRDefault="00B93281" w:rsidP="00B93281">
      <w:pPr>
        <w:tabs>
          <w:tab w:val="left" w:pos="851"/>
        </w:tabs>
        <w:rPr>
          <w:rFonts w:cs="Arial"/>
          <w:szCs w:val="24"/>
        </w:rPr>
      </w:pPr>
    </w:p>
    <w:p w:rsidR="00B93281" w:rsidRPr="00EC2934" w:rsidRDefault="00B93281" w:rsidP="00B93281">
      <w:pPr>
        <w:tabs>
          <w:tab w:val="left" w:pos="851"/>
        </w:tabs>
        <w:rPr>
          <w:rFonts w:cs="Arial"/>
          <w:szCs w:val="24"/>
        </w:rPr>
      </w:pPr>
    </w:p>
    <w:p w:rsidR="00B93281" w:rsidRPr="00816F7B" w:rsidRDefault="00B93281" w:rsidP="00B93281">
      <w:pPr>
        <w:pStyle w:val="NormaleWeb"/>
        <w:spacing w:before="0" w:beforeAutospacing="0" w:after="120" w:afterAutospacing="0"/>
        <w:rPr>
          <w:rFonts w:ascii="Arial" w:hAnsi="Arial" w:cs="Arial"/>
          <w:b/>
          <w:bCs/>
          <w:u w:val="single"/>
        </w:rPr>
      </w:pPr>
      <w:r w:rsidRPr="00816F7B">
        <w:rPr>
          <w:rFonts w:ascii="Arial" w:hAnsi="Arial" w:cs="Arial"/>
          <w:b/>
          <w:bCs/>
          <w:u w:val="single"/>
        </w:rPr>
        <w:t>Articolo 1</w:t>
      </w:r>
    </w:p>
    <w:p w:rsidR="00B93281" w:rsidRPr="00212363" w:rsidRDefault="00B93281" w:rsidP="00B93281">
      <w:pPr>
        <w:tabs>
          <w:tab w:val="left" w:pos="851"/>
        </w:tabs>
        <w:rPr>
          <w:rFonts w:cs="Arial"/>
          <w:szCs w:val="24"/>
        </w:rPr>
      </w:pPr>
      <w:r w:rsidRPr="00780A8E">
        <w:rPr>
          <w:rFonts w:cs="Arial"/>
          <w:szCs w:val="24"/>
        </w:rPr>
        <w:t>Per l'attuazione del Programma San Gottardo</w:t>
      </w:r>
      <w:r w:rsidRPr="00212363">
        <w:rPr>
          <w:rFonts w:cs="Arial"/>
          <w:szCs w:val="24"/>
        </w:rPr>
        <w:t xml:space="preserve"> è </w:t>
      </w:r>
      <w:r w:rsidRPr="009B5425">
        <w:rPr>
          <w:rFonts w:cs="Arial"/>
          <w:szCs w:val="24"/>
        </w:rPr>
        <w:t>concesso un finanziamento di 2'650'000</w:t>
      </w:r>
      <w:r>
        <w:rPr>
          <w:rFonts w:cs="Arial"/>
          <w:szCs w:val="24"/>
        </w:rPr>
        <w:t xml:space="preserve"> franchi </w:t>
      </w:r>
      <w:r w:rsidRPr="009B5425">
        <w:rPr>
          <w:rFonts w:cs="Arial"/>
          <w:szCs w:val="24"/>
        </w:rPr>
        <w:t>per il periodo 2020-2023.</w:t>
      </w:r>
    </w:p>
    <w:p w:rsidR="00B93281" w:rsidRDefault="00B93281" w:rsidP="00B93281">
      <w:pPr>
        <w:tabs>
          <w:tab w:val="left" w:pos="851"/>
        </w:tabs>
        <w:rPr>
          <w:rFonts w:cs="Arial"/>
          <w:szCs w:val="24"/>
        </w:rPr>
      </w:pPr>
    </w:p>
    <w:p w:rsidR="00B93281" w:rsidRPr="00212363" w:rsidRDefault="00B93281" w:rsidP="00B93281">
      <w:pPr>
        <w:tabs>
          <w:tab w:val="left" w:pos="851"/>
        </w:tabs>
        <w:rPr>
          <w:rFonts w:cs="Arial"/>
          <w:szCs w:val="24"/>
        </w:rPr>
      </w:pPr>
    </w:p>
    <w:p w:rsidR="00B93281" w:rsidRPr="00816F7B" w:rsidRDefault="00B93281" w:rsidP="00B93281">
      <w:pPr>
        <w:pStyle w:val="NormaleWeb"/>
        <w:spacing w:before="0" w:beforeAutospacing="0" w:after="120" w:afterAutospacing="0"/>
        <w:rPr>
          <w:rFonts w:ascii="Arial" w:hAnsi="Arial" w:cs="Arial"/>
          <w:b/>
          <w:bCs/>
          <w:u w:val="single"/>
        </w:rPr>
      </w:pPr>
      <w:r w:rsidRPr="00816F7B">
        <w:rPr>
          <w:rFonts w:ascii="Arial" w:hAnsi="Arial" w:cs="Arial"/>
          <w:b/>
          <w:bCs/>
          <w:u w:val="single"/>
        </w:rPr>
        <w:t>Articolo 2</w:t>
      </w:r>
    </w:p>
    <w:p w:rsidR="00B93281" w:rsidRPr="00212363" w:rsidRDefault="00B93281" w:rsidP="00B93281">
      <w:pPr>
        <w:tabs>
          <w:tab w:val="left" w:pos="851"/>
        </w:tabs>
        <w:rPr>
          <w:rFonts w:cs="Arial"/>
          <w:szCs w:val="24"/>
        </w:rPr>
      </w:pPr>
      <w:r w:rsidRPr="00780A8E">
        <w:rPr>
          <w:rFonts w:cs="Arial"/>
          <w:szCs w:val="24"/>
        </w:rPr>
        <w:t xml:space="preserve">Il credito di cui all’art. 1 è iscritto al conto degli investimenti del Dipartimento delle finanze e dell’economia, Divisione dell’economia, </w:t>
      </w:r>
      <w:r w:rsidRPr="00697E10">
        <w:rPr>
          <w:rFonts w:cs="Arial"/>
          <w:szCs w:val="24"/>
        </w:rPr>
        <w:t>a carico del decreto legislativo concernente lo stanziamento di un credito quadro di 27'000'000 franchi a favore di misure cantonali per la politica economica regionale nel quadriennio 2020-2023</w:t>
      </w:r>
      <w:r>
        <w:rPr>
          <w:rFonts w:cs="Arial"/>
          <w:szCs w:val="24"/>
        </w:rPr>
        <w:t xml:space="preserve"> del</w:t>
      </w:r>
      <w:r w:rsidRPr="00420009">
        <w:rPr>
          <w:rFonts w:cs="Arial"/>
          <w:szCs w:val="24"/>
          <w:highlight w:val="yellow"/>
        </w:rPr>
        <w:t>….</w:t>
      </w:r>
    </w:p>
    <w:p w:rsidR="00B93281" w:rsidRDefault="00B93281" w:rsidP="00B93281">
      <w:pPr>
        <w:tabs>
          <w:tab w:val="left" w:pos="851"/>
        </w:tabs>
        <w:rPr>
          <w:rFonts w:cs="Arial"/>
          <w:szCs w:val="24"/>
        </w:rPr>
      </w:pPr>
    </w:p>
    <w:p w:rsidR="00B93281" w:rsidRPr="00212363" w:rsidRDefault="00B93281" w:rsidP="00B93281">
      <w:pPr>
        <w:tabs>
          <w:tab w:val="left" w:pos="851"/>
        </w:tabs>
        <w:rPr>
          <w:rFonts w:cs="Arial"/>
          <w:szCs w:val="24"/>
        </w:rPr>
      </w:pPr>
    </w:p>
    <w:p w:rsidR="00B93281" w:rsidRPr="00816F7B" w:rsidRDefault="00B93281" w:rsidP="00B93281">
      <w:pPr>
        <w:pStyle w:val="NormaleWeb"/>
        <w:spacing w:before="0" w:beforeAutospacing="0" w:after="120" w:afterAutospacing="0"/>
        <w:rPr>
          <w:rFonts w:ascii="Arial" w:hAnsi="Arial" w:cs="Arial"/>
          <w:b/>
          <w:bCs/>
          <w:u w:val="single"/>
        </w:rPr>
      </w:pPr>
      <w:r w:rsidRPr="00816F7B">
        <w:rPr>
          <w:rFonts w:ascii="Arial" w:hAnsi="Arial" w:cs="Arial"/>
          <w:b/>
          <w:bCs/>
          <w:u w:val="single"/>
        </w:rPr>
        <w:t>Articolo 3</w:t>
      </w:r>
    </w:p>
    <w:p w:rsidR="00B93281" w:rsidRPr="007D0F1C" w:rsidRDefault="00B93281" w:rsidP="00B93281">
      <w:pPr>
        <w:pStyle w:val="NormaleWeb"/>
        <w:spacing w:before="0" w:beforeAutospacing="0" w:after="0" w:afterAutospacing="0"/>
        <w:jc w:val="both"/>
        <w:rPr>
          <w:rFonts w:ascii="Arial" w:hAnsi="Arial" w:cs="Arial"/>
        </w:rPr>
      </w:pPr>
      <w:r w:rsidRPr="00697E10">
        <w:rPr>
          <w:rFonts w:ascii="Arial" w:hAnsi="Arial" w:cs="Arial"/>
        </w:rPr>
        <w:t>Trascorsi i termini per l'esercizio del diritto di referendum</w:t>
      </w:r>
      <w:r w:rsidRPr="007D0F1C">
        <w:rPr>
          <w:rFonts w:ascii="Arial" w:hAnsi="Arial" w:cs="Arial"/>
        </w:rPr>
        <w:t xml:space="preserve">, il presente decreto legislativo è pubblicato nel Bollettino ufficiale </w:t>
      </w:r>
      <w:r>
        <w:rPr>
          <w:rFonts w:ascii="Arial" w:hAnsi="Arial" w:cs="Arial"/>
        </w:rPr>
        <w:t xml:space="preserve">delle leggi </w:t>
      </w:r>
      <w:r w:rsidRPr="007D0F1C">
        <w:rPr>
          <w:rFonts w:ascii="Arial" w:hAnsi="Arial" w:cs="Arial"/>
        </w:rPr>
        <w:t>ed entra immediatamente in vigore.</w:t>
      </w:r>
    </w:p>
    <w:p w:rsidR="00B93281" w:rsidRDefault="00B93281" w:rsidP="00B93281">
      <w:pPr>
        <w:jc w:val="left"/>
        <w:rPr>
          <w:rFonts w:cs="Arial"/>
          <w:szCs w:val="24"/>
        </w:rPr>
      </w:pPr>
    </w:p>
    <w:p w:rsidR="00B93281" w:rsidRDefault="00B93281" w:rsidP="00B93281">
      <w:pPr>
        <w:jc w:val="left"/>
        <w:rPr>
          <w:rFonts w:cs="Arial"/>
          <w:szCs w:val="24"/>
        </w:rPr>
      </w:pPr>
      <w:r>
        <w:rPr>
          <w:rFonts w:cs="Arial"/>
          <w:szCs w:val="24"/>
        </w:rPr>
        <w:br w:type="page"/>
      </w:r>
    </w:p>
    <w:p w:rsidR="00B93281" w:rsidRPr="009509DF" w:rsidRDefault="00B93281" w:rsidP="00B93281">
      <w:pPr>
        <w:rPr>
          <w:rFonts w:cs="Arial"/>
          <w:szCs w:val="24"/>
        </w:rPr>
      </w:pPr>
      <w:r w:rsidRPr="009509DF">
        <w:rPr>
          <w:rFonts w:cs="Arial"/>
          <w:szCs w:val="24"/>
        </w:rPr>
        <w:lastRenderedPageBreak/>
        <w:t>Disegno di</w:t>
      </w:r>
    </w:p>
    <w:p w:rsidR="00B93281" w:rsidRPr="009509DF" w:rsidRDefault="00B93281" w:rsidP="00B93281">
      <w:pPr>
        <w:spacing w:before="120"/>
        <w:rPr>
          <w:rFonts w:cs="Arial"/>
          <w:szCs w:val="24"/>
        </w:rPr>
      </w:pPr>
    </w:p>
    <w:p w:rsidR="00B93281" w:rsidRPr="00B93281" w:rsidRDefault="00B93281" w:rsidP="00B93281">
      <w:pPr>
        <w:spacing w:before="120" w:after="120"/>
        <w:rPr>
          <w:b/>
        </w:rPr>
      </w:pPr>
      <w:bookmarkStart w:id="30" w:name="_Toc20472787"/>
      <w:r w:rsidRPr="00B93281">
        <w:rPr>
          <w:b/>
        </w:rPr>
        <w:t>DECRETO LEGISLATIVO</w:t>
      </w:r>
      <w:bookmarkEnd w:id="30"/>
    </w:p>
    <w:p w:rsidR="00B93281" w:rsidRPr="009509DF" w:rsidRDefault="00B93281" w:rsidP="00B93281">
      <w:pPr>
        <w:autoSpaceDE w:val="0"/>
        <w:autoSpaceDN w:val="0"/>
        <w:adjustRightInd w:val="0"/>
        <w:rPr>
          <w:rFonts w:cs="Arial"/>
          <w:b/>
          <w:szCs w:val="24"/>
        </w:rPr>
      </w:pPr>
      <w:r w:rsidRPr="00A631B4">
        <w:rPr>
          <w:rFonts w:cs="Arial"/>
          <w:b/>
          <w:szCs w:val="24"/>
        </w:rPr>
        <w:t xml:space="preserve">concernente lo stanziamento di un sussidio forfettario complessivo di 2'400'000 franchi a favore delle Agenzie regionali per lo sviluppo </w:t>
      </w:r>
      <w:r w:rsidRPr="00A631B4">
        <w:rPr>
          <w:b/>
        </w:rPr>
        <w:t xml:space="preserve">nell’ambito del credito quadro di 27'000'000 di franchi a favore di misure cantonali </w:t>
      </w:r>
      <w:r>
        <w:rPr>
          <w:b/>
        </w:rPr>
        <w:t>di</w:t>
      </w:r>
      <w:r w:rsidRPr="00A631B4">
        <w:rPr>
          <w:b/>
        </w:rPr>
        <w:t xml:space="preserve"> politica economica regionale nel quadriennio 2020-2023 e della relativa </w:t>
      </w:r>
      <w:r w:rsidRPr="00A631B4">
        <w:rPr>
          <w:b/>
          <w:bCs/>
        </w:rPr>
        <w:t>Convenzione tra la Confederazione Svizzera e la Repubblica e Cantone Ticino</w:t>
      </w:r>
    </w:p>
    <w:p w:rsidR="00B93281" w:rsidRPr="009509DF" w:rsidRDefault="00B93281" w:rsidP="00B93281">
      <w:pPr>
        <w:pStyle w:val="Art"/>
        <w:ind w:left="0"/>
        <w:rPr>
          <w:rFonts w:cs="Arial"/>
          <w:noProof w:val="0"/>
          <w:sz w:val="24"/>
          <w:szCs w:val="24"/>
        </w:rPr>
      </w:pPr>
    </w:p>
    <w:p w:rsidR="00B93281" w:rsidRPr="009509DF" w:rsidRDefault="00B93281" w:rsidP="00B93281">
      <w:pPr>
        <w:pStyle w:val="Art"/>
        <w:ind w:left="0"/>
        <w:rPr>
          <w:rFonts w:cs="Arial"/>
          <w:noProof w:val="0"/>
          <w:sz w:val="24"/>
          <w:szCs w:val="24"/>
        </w:rPr>
      </w:pPr>
    </w:p>
    <w:p w:rsidR="00B93281" w:rsidRDefault="00B93281" w:rsidP="00B93281">
      <w:pPr>
        <w:pStyle w:val="gCCdS"/>
        <w:ind w:left="0"/>
        <w:jc w:val="both"/>
        <w:rPr>
          <w:rFonts w:cs="Arial"/>
          <w:caps w:val="0"/>
          <w:noProof w:val="0"/>
          <w:sz w:val="24"/>
          <w:szCs w:val="24"/>
        </w:rPr>
      </w:pPr>
      <w:r w:rsidRPr="009509DF">
        <w:rPr>
          <w:rFonts w:cs="Arial"/>
          <w:caps w:val="0"/>
          <w:noProof w:val="0"/>
          <w:sz w:val="24"/>
          <w:szCs w:val="24"/>
        </w:rPr>
        <w:t>I</w:t>
      </w:r>
      <w:r>
        <w:rPr>
          <w:rFonts w:cs="Arial"/>
          <w:caps w:val="0"/>
          <w:noProof w:val="0"/>
          <w:sz w:val="24"/>
          <w:szCs w:val="24"/>
        </w:rPr>
        <w:t>L GRAN CONSIGLIO</w:t>
      </w:r>
    </w:p>
    <w:p w:rsidR="00B93281" w:rsidRPr="009509DF" w:rsidRDefault="00B93281" w:rsidP="00B93281">
      <w:pPr>
        <w:pStyle w:val="gCCdS"/>
        <w:ind w:left="0"/>
        <w:jc w:val="both"/>
        <w:rPr>
          <w:rFonts w:cs="Arial"/>
          <w:noProof w:val="0"/>
          <w:sz w:val="24"/>
          <w:szCs w:val="24"/>
        </w:rPr>
      </w:pPr>
      <w:r>
        <w:rPr>
          <w:rFonts w:cs="Arial"/>
          <w:caps w:val="0"/>
          <w:noProof w:val="0"/>
          <w:sz w:val="24"/>
          <w:szCs w:val="24"/>
        </w:rPr>
        <w:t>DELLA REPUBBLICA E CANTONE TICINO</w:t>
      </w:r>
    </w:p>
    <w:p w:rsidR="00B93281" w:rsidRPr="009509DF" w:rsidRDefault="00B93281" w:rsidP="00B93281">
      <w:pPr>
        <w:pStyle w:val="Art"/>
        <w:ind w:left="0"/>
        <w:rPr>
          <w:rFonts w:cs="Arial"/>
          <w:noProof w:val="0"/>
          <w:sz w:val="24"/>
          <w:szCs w:val="24"/>
        </w:rPr>
      </w:pPr>
    </w:p>
    <w:p w:rsidR="00B93281" w:rsidRPr="009509DF" w:rsidRDefault="00B93281" w:rsidP="00B93281">
      <w:pPr>
        <w:pStyle w:val="NormaleWeb"/>
        <w:tabs>
          <w:tab w:val="left" w:pos="3686"/>
          <w:tab w:val="left" w:pos="4820"/>
        </w:tabs>
        <w:spacing w:before="0" w:beforeAutospacing="0" w:after="0" w:afterAutospacing="0"/>
        <w:rPr>
          <w:rFonts w:ascii="Arial" w:hAnsi="Arial" w:cs="Arial"/>
        </w:rPr>
      </w:pPr>
      <w:r w:rsidRPr="009509DF">
        <w:rPr>
          <w:rFonts w:ascii="Arial" w:hAnsi="Arial" w:cs="Arial"/>
        </w:rPr>
        <w:t xml:space="preserve">visto il messaggio </w:t>
      </w:r>
      <w:r>
        <w:rPr>
          <w:rFonts w:ascii="Arial" w:hAnsi="Arial" w:cs="Arial"/>
        </w:rPr>
        <w:t>16 ottobre 2019 n. 7725</w:t>
      </w:r>
      <w:r w:rsidRPr="009509DF">
        <w:rPr>
          <w:rFonts w:ascii="Arial" w:hAnsi="Arial" w:cs="Arial"/>
        </w:rPr>
        <w:t xml:space="preserve"> del Consiglio di Stato,</w:t>
      </w:r>
    </w:p>
    <w:p w:rsidR="00B93281" w:rsidRPr="00F9064B" w:rsidRDefault="00B93281" w:rsidP="00B93281">
      <w:pPr>
        <w:tabs>
          <w:tab w:val="left" w:pos="851"/>
        </w:tabs>
        <w:rPr>
          <w:rFonts w:cs="Arial"/>
          <w:sz w:val="20"/>
        </w:rPr>
      </w:pPr>
    </w:p>
    <w:p w:rsidR="00B93281" w:rsidRPr="00F9064B" w:rsidRDefault="00B93281" w:rsidP="00B93281">
      <w:pPr>
        <w:tabs>
          <w:tab w:val="left" w:pos="851"/>
        </w:tabs>
        <w:rPr>
          <w:rFonts w:cs="Arial"/>
          <w:sz w:val="20"/>
        </w:rPr>
      </w:pPr>
    </w:p>
    <w:p w:rsidR="00B93281" w:rsidRPr="00F9064B" w:rsidRDefault="00B93281" w:rsidP="00B93281">
      <w:pPr>
        <w:pStyle w:val="NormaleWeb"/>
        <w:spacing w:before="0" w:beforeAutospacing="0" w:after="0" w:afterAutospacing="0"/>
        <w:rPr>
          <w:rFonts w:ascii="Arial" w:hAnsi="Arial" w:cs="Arial"/>
          <w:b/>
          <w:bCs/>
        </w:rPr>
      </w:pPr>
      <w:r w:rsidRPr="00F9064B">
        <w:rPr>
          <w:rFonts w:ascii="Arial" w:hAnsi="Arial" w:cs="Arial"/>
          <w:b/>
          <w:bCs/>
        </w:rPr>
        <w:t>d e c r e t a :</w:t>
      </w:r>
    </w:p>
    <w:p w:rsidR="00B93281" w:rsidRPr="00F9064B" w:rsidRDefault="00B93281" w:rsidP="00B93281">
      <w:pPr>
        <w:tabs>
          <w:tab w:val="left" w:pos="851"/>
        </w:tabs>
        <w:rPr>
          <w:rFonts w:cs="Arial"/>
          <w:sz w:val="20"/>
        </w:rPr>
      </w:pPr>
    </w:p>
    <w:p w:rsidR="00B93281" w:rsidRPr="00F9064B" w:rsidRDefault="00B93281" w:rsidP="00B93281">
      <w:pPr>
        <w:tabs>
          <w:tab w:val="left" w:pos="851"/>
        </w:tabs>
        <w:rPr>
          <w:rFonts w:cs="Arial"/>
          <w:sz w:val="20"/>
        </w:rPr>
      </w:pPr>
    </w:p>
    <w:p w:rsidR="00B93281" w:rsidRPr="00816F7B" w:rsidRDefault="00B93281" w:rsidP="00B93281">
      <w:pPr>
        <w:pStyle w:val="NormaleWeb"/>
        <w:spacing w:before="0" w:beforeAutospacing="0" w:after="120" w:afterAutospacing="0"/>
        <w:rPr>
          <w:rFonts w:ascii="Arial" w:hAnsi="Arial" w:cs="Arial"/>
          <w:b/>
          <w:bCs/>
          <w:u w:val="single"/>
        </w:rPr>
      </w:pPr>
      <w:r w:rsidRPr="00816F7B">
        <w:rPr>
          <w:rFonts w:ascii="Arial" w:hAnsi="Arial" w:cs="Arial"/>
          <w:b/>
          <w:bCs/>
          <w:u w:val="single"/>
        </w:rPr>
        <w:t>Articolo 1</w:t>
      </w:r>
    </w:p>
    <w:p w:rsidR="00B93281" w:rsidRPr="00212363" w:rsidRDefault="00B93281" w:rsidP="00B93281">
      <w:pPr>
        <w:tabs>
          <w:tab w:val="left" w:pos="851"/>
        </w:tabs>
        <w:rPr>
          <w:rFonts w:cs="Arial"/>
          <w:szCs w:val="24"/>
        </w:rPr>
      </w:pPr>
      <w:r w:rsidRPr="00780A8E">
        <w:rPr>
          <w:rFonts w:cs="Arial"/>
          <w:szCs w:val="24"/>
        </w:rPr>
        <w:t xml:space="preserve">Agli Enti regionali per lo sviluppo (ERS), per l’attuazione delle misure di politica economica regionale tramite la rispettiva Agenzia (ARS), secondo quanto previsto dalla legge d’applicazione della legge federale sulla politica regionale del 22 giugno 2009, dal regolamento della legge cantonale di applicazione della legge federale sulla politica regionale del 20 aprile 2010 e dal decreto legislativo concernente lo stanziamento di un credito quadro di franchi 13'000'000.- a favore di misure cantonali di politica regionale complementari al Programma d’attuazione della politica economica regionale </w:t>
      </w:r>
      <w:r w:rsidRPr="00212363">
        <w:rPr>
          <w:rFonts w:cs="Arial"/>
          <w:szCs w:val="24"/>
        </w:rPr>
        <w:t>2020-2023</w:t>
      </w:r>
      <w:r>
        <w:rPr>
          <w:rFonts w:cs="Arial"/>
          <w:szCs w:val="24"/>
        </w:rPr>
        <w:t xml:space="preserve"> del</w:t>
      </w:r>
      <w:r w:rsidRPr="00420009">
        <w:rPr>
          <w:rFonts w:cs="Arial"/>
          <w:szCs w:val="24"/>
          <w:highlight w:val="yellow"/>
        </w:rPr>
        <w:t>…</w:t>
      </w:r>
      <w:r w:rsidRPr="00780A8E">
        <w:rPr>
          <w:rFonts w:cs="Arial"/>
          <w:szCs w:val="24"/>
        </w:rPr>
        <w:t>,</w:t>
      </w:r>
      <w:r w:rsidRPr="00212363">
        <w:rPr>
          <w:rFonts w:cs="Arial"/>
          <w:szCs w:val="24"/>
        </w:rPr>
        <w:t xml:space="preserve"> è assegnato un sussidio forfettario complessivo di 2'400'000</w:t>
      </w:r>
      <w:r>
        <w:rPr>
          <w:rFonts w:cs="Arial"/>
          <w:szCs w:val="24"/>
        </w:rPr>
        <w:t xml:space="preserve"> franchi</w:t>
      </w:r>
      <w:r w:rsidRPr="00212363">
        <w:rPr>
          <w:rFonts w:cs="Arial"/>
          <w:szCs w:val="24"/>
        </w:rPr>
        <w:t>, equamente suddiviso tra i quattro ERS, per il periodo 2020-2023.</w:t>
      </w:r>
    </w:p>
    <w:p w:rsidR="00B93281" w:rsidRPr="00F9064B" w:rsidRDefault="00B93281" w:rsidP="00B93281">
      <w:pPr>
        <w:tabs>
          <w:tab w:val="left" w:pos="851"/>
        </w:tabs>
        <w:rPr>
          <w:rFonts w:cs="Arial"/>
          <w:sz w:val="20"/>
        </w:rPr>
      </w:pPr>
    </w:p>
    <w:p w:rsidR="00B93281" w:rsidRPr="00F9064B" w:rsidRDefault="00B93281" w:rsidP="00B93281">
      <w:pPr>
        <w:tabs>
          <w:tab w:val="left" w:pos="851"/>
        </w:tabs>
        <w:rPr>
          <w:rFonts w:cs="Arial"/>
          <w:sz w:val="20"/>
        </w:rPr>
      </w:pPr>
    </w:p>
    <w:p w:rsidR="00B93281" w:rsidRPr="00816F7B" w:rsidRDefault="00B93281" w:rsidP="00B93281">
      <w:pPr>
        <w:pStyle w:val="NormaleWeb"/>
        <w:spacing w:before="0" w:beforeAutospacing="0" w:after="120" w:afterAutospacing="0"/>
        <w:rPr>
          <w:rFonts w:ascii="Arial" w:hAnsi="Arial" w:cs="Arial"/>
          <w:b/>
          <w:bCs/>
          <w:u w:val="single"/>
        </w:rPr>
      </w:pPr>
      <w:r w:rsidRPr="00816F7B">
        <w:rPr>
          <w:rFonts w:ascii="Arial" w:hAnsi="Arial" w:cs="Arial"/>
          <w:b/>
          <w:bCs/>
          <w:u w:val="single"/>
        </w:rPr>
        <w:t>Articolo 2</w:t>
      </w:r>
    </w:p>
    <w:p w:rsidR="00B93281" w:rsidRPr="00212363" w:rsidRDefault="00B93281" w:rsidP="00B93281">
      <w:pPr>
        <w:tabs>
          <w:tab w:val="left" w:pos="851"/>
        </w:tabs>
        <w:rPr>
          <w:rFonts w:cs="Arial"/>
          <w:szCs w:val="24"/>
        </w:rPr>
      </w:pPr>
      <w:r w:rsidRPr="00212363">
        <w:rPr>
          <w:rFonts w:cs="Arial"/>
          <w:szCs w:val="24"/>
        </w:rPr>
        <w:t>Il credito di cui all’art. 1 è iscritto al conto degli investimenti del Dipartimento delle finanze e dell’economia, Divisione dell’economia ed è così ripartito:</w:t>
      </w:r>
    </w:p>
    <w:p w:rsidR="00B93281" w:rsidRPr="00212363" w:rsidRDefault="00B93281" w:rsidP="00B93281">
      <w:pPr>
        <w:pStyle w:val="Paragrafoelenco"/>
        <w:numPr>
          <w:ilvl w:val="0"/>
          <w:numId w:val="20"/>
        </w:numPr>
        <w:tabs>
          <w:tab w:val="clear" w:pos="720"/>
        </w:tabs>
        <w:ind w:left="284" w:hanging="284"/>
        <w:contextualSpacing/>
        <w:rPr>
          <w:rFonts w:cs="Arial"/>
          <w:szCs w:val="24"/>
        </w:rPr>
      </w:pPr>
      <w:r w:rsidRPr="00212363">
        <w:rPr>
          <w:rFonts w:cs="Arial"/>
          <w:szCs w:val="24"/>
        </w:rPr>
        <w:t>1'200</w:t>
      </w:r>
      <w:r>
        <w:rPr>
          <w:rFonts w:cs="Arial"/>
          <w:szCs w:val="24"/>
        </w:rPr>
        <w:t>'</w:t>
      </w:r>
      <w:r w:rsidRPr="00212363">
        <w:rPr>
          <w:rFonts w:cs="Arial"/>
          <w:szCs w:val="24"/>
        </w:rPr>
        <w:t>000</w:t>
      </w:r>
      <w:r>
        <w:rPr>
          <w:rFonts w:cs="Arial"/>
          <w:szCs w:val="24"/>
        </w:rPr>
        <w:t xml:space="preserve"> franchi</w:t>
      </w:r>
      <w:r w:rsidRPr="00212363">
        <w:rPr>
          <w:rFonts w:cs="Arial"/>
          <w:szCs w:val="24"/>
        </w:rPr>
        <w:t xml:space="preserve"> a carico del credito quadro di 27'000'000</w:t>
      </w:r>
      <w:r>
        <w:rPr>
          <w:rFonts w:cs="Arial"/>
          <w:szCs w:val="24"/>
        </w:rPr>
        <w:t xml:space="preserve"> di franchi</w:t>
      </w:r>
      <w:r w:rsidRPr="00212363">
        <w:rPr>
          <w:rFonts w:cs="Arial"/>
          <w:szCs w:val="24"/>
        </w:rPr>
        <w:t xml:space="preserve"> a favore di misure cantonali </w:t>
      </w:r>
      <w:r w:rsidRPr="00A631B4">
        <w:rPr>
          <w:rFonts w:cs="Arial"/>
          <w:szCs w:val="24"/>
        </w:rPr>
        <w:t>ai sensi dell’art. 12 della legge d’applicazione della legge federale sulla politica regionale del 22 giugno 2009;</w:t>
      </w:r>
    </w:p>
    <w:p w:rsidR="00B93281" w:rsidRPr="00212363" w:rsidRDefault="00B93281" w:rsidP="00B93281">
      <w:pPr>
        <w:pStyle w:val="Paragrafoelenco"/>
        <w:numPr>
          <w:ilvl w:val="0"/>
          <w:numId w:val="20"/>
        </w:numPr>
        <w:tabs>
          <w:tab w:val="clear" w:pos="720"/>
        </w:tabs>
        <w:ind w:left="284" w:hanging="284"/>
        <w:contextualSpacing/>
        <w:rPr>
          <w:rFonts w:cs="Arial"/>
          <w:szCs w:val="24"/>
        </w:rPr>
      </w:pPr>
      <w:r w:rsidRPr="00212363">
        <w:rPr>
          <w:rFonts w:cs="Arial"/>
          <w:szCs w:val="24"/>
        </w:rPr>
        <w:t>1’200</w:t>
      </w:r>
      <w:r>
        <w:rPr>
          <w:rFonts w:cs="Arial"/>
          <w:szCs w:val="24"/>
        </w:rPr>
        <w:t>'</w:t>
      </w:r>
      <w:r w:rsidRPr="00212363">
        <w:rPr>
          <w:rFonts w:cs="Arial"/>
          <w:szCs w:val="24"/>
        </w:rPr>
        <w:t>000</w:t>
      </w:r>
      <w:r>
        <w:rPr>
          <w:rFonts w:cs="Arial"/>
          <w:szCs w:val="24"/>
        </w:rPr>
        <w:t xml:space="preserve"> franchi</w:t>
      </w:r>
      <w:r w:rsidRPr="00212363">
        <w:rPr>
          <w:rFonts w:cs="Arial"/>
          <w:szCs w:val="24"/>
        </w:rPr>
        <w:t xml:space="preserve"> nell’ambito</w:t>
      </w:r>
      <w:r>
        <w:rPr>
          <w:rFonts w:cs="Arial"/>
          <w:szCs w:val="24"/>
        </w:rPr>
        <w:t xml:space="preserve"> della</w:t>
      </w:r>
      <w:r w:rsidRPr="00212363">
        <w:rPr>
          <w:rFonts w:cs="Arial"/>
          <w:szCs w:val="24"/>
        </w:rPr>
        <w:t xml:space="preserve"> </w:t>
      </w:r>
      <w:r w:rsidRPr="00A631B4">
        <w:rPr>
          <w:rFonts w:cs="Arial"/>
          <w:bCs/>
          <w:szCs w:val="24"/>
        </w:rPr>
        <w:t>Convenzione tra la Confederazione Svizzera e la Repubblica e Cantone Ticino sulla promozione del programma cantonale d’attuazione della politica regionale 2020-2023</w:t>
      </w:r>
      <w:r w:rsidRPr="00212363">
        <w:rPr>
          <w:rFonts w:cs="Arial"/>
          <w:szCs w:val="24"/>
        </w:rPr>
        <w:t>.</w:t>
      </w:r>
    </w:p>
    <w:p w:rsidR="00B93281" w:rsidRPr="00F9064B" w:rsidRDefault="00B93281" w:rsidP="00B93281">
      <w:pPr>
        <w:tabs>
          <w:tab w:val="left" w:pos="851"/>
        </w:tabs>
        <w:rPr>
          <w:rFonts w:cs="Arial"/>
          <w:sz w:val="20"/>
        </w:rPr>
      </w:pPr>
    </w:p>
    <w:p w:rsidR="00B93281" w:rsidRPr="00F9064B" w:rsidRDefault="00B93281" w:rsidP="00B93281">
      <w:pPr>
        <w:tabs>
          <w:tab w:val="left" w:pos="851"/>
        </w:tabs>
        <w:rPr>
          <w:rFonts w:cs="Arial"/>
          <w:sz w:val="20"/>
        </w:rPr>
      </w:pPr>
    </w:p>
    <w:p w:rsidR="00B93281" w:rsidRPr="00816F7B" w:rsidRDefault="00B93281" w:rsidP="00B93281">
      <w:pPr>
        <w:pStyle w:val="NormaleWeb"/>
        <w:spacing w:before="0" w:beforeAutospacing="0" w:after="120" w:afterAutospacing="0"/>
        <w:rPr>
          <w:rFonts w:ascii="Arial" w:hAnsi="Arial" w:cs="Arial"/>
          <w:b/>
          <w:bCs/>
          <w:u w:val="single"/>
        </w:rPr>
      </w:pPr>
      <w:r w:rsidRPr="00816F7B">
        <w:rPr>
          <w:rFonts w:ascii="Arial" w:hAnsi="Arial" w:cs="Arial"/>
          <w:b/>
          <w:bCs/>
          <w:u w:val="single"/>
        </w:rPr>
        <w:t>Articolo 3</w:t>
      </w:r>
    </w:p>
    <w:p w:rsidR="00B93281" w:rsidRDefault="00B93281" w:rsidP="00B93281">
      <w:pPr>
        <w:rPr>
          <w:rFonts w:cs="Arial"/>
          <w:szCs w:val="24"/>
        </w:rPr>
      </w:pPr>
      <w:r w:rsidRPr="00212363">
        <w:rPr>
          <w:rFonts w:cs="Arial"/>
          <w:szCs w:val="24"/>
        </w:rPr>
        <w:t>Il Consiglio di Stato è incaricato di stipulare con gli Enti regionali per lo sviluppo la convenzione di sussidiamento per le attività svolte dalle rispettive Agenzie regionali per lo sviluppo.</w:t>
      </w:r>
    </w:p>
    <w:p w:rsidR="00B93281" w:rsidRPr="00F9064B" w:rsidRDefault="00B93281" w:rsidP="00B93281">
      <w:pPr>
        <w:rPr>
          <w:rFonts w:cs="Arial"/>
          <w:sz w:val="20"/>
        </w:rPr>
      </w:pPr>
    </w:p>
    <w:p w:rsidR="00B93281" w:rsidRPr="00F9064B" w:rsidRDefault="00B93281" w:rsidP="00B93281">
      <w:pPr>
        <w:rPr>
          <w:rFonts w:cs="Arial"/>
          <w:sz w:val="20"/>
        </w:rPr>
      </w:pPr>
    </w:p>
    <w:p w:rsidR="00B93281" w:rsidRPr="00816F7B" w:rsidRDefault="00B93281" w:rsidP="00B93281">
      <w:pPr>
        <w:pStyle w:val="NormaleWeb"/>
        <w:spacing w:before="0" w:beforeAutospacing="0" w:after="120" w:afterAutospacing="0"/>
        <w:rPr>
          <w:rFonts w:ascii="Arial" w:hAnsi="Arial" w:cs="Arial"/>
          <w:b/>
          <w:bCs/>
          <w:u w:val="single"/>
        </w:rPr>
      </w:pPr>
      <w:r w:rsidRPr="00816F7B">
        <w:rPr>
          <w:rFonts w:ascii="Arial" w:hAnsi="Arial" w:cs="Arial"/>
          <w:b/>
          <w:bCs/>
          <w:u w:val="single"/>
        </w:rPr>
        <w:t>Articolo 4</w:t>
      </w:r>
    </w:p>
    <w:p w:rsidR="00B93281" w:rsidRDefault="00B93281" w:rsidP="00B93281">
      <w:pPr>
        <w:pStyle w:val="NormaleWeb"/>
        <w:spacing w:before="0" w:beforeAutospacing="0" w:after="0" w:afterAutospacing="0"/>
        <w:jc w:val="both"/>
        <w:rPr>
          <w:rFonts w:cs="Arial"/>
        </w:rPr>
      </w:pPr>
      <w:r w:rsidRPr="00697E10">
        <w:rPr>
          <w:rFonts w:ascii="Arial" w:hAnsi="Arial" w:cs="Arial"/>
        </w:rPr>
        <w:t>Trascorsi i termini per l'esercizio del diritto di referendum,</w:t>
      </w:r>
      <w:r w:rsidRPr="00212363">
        <w:rPr>
          <w:rFonts w:ascii="Arial" w:hAnsi="Arial" w:cs="Arial"/>
        </w:rPr>
        <w:t xml:space="preserve"> il presente decreto legislativo è pubblicato nel Bollettino ufficiale delle leggi ed entra immediatamente in vigore.</w:t>
      </w:r>
      <w:r>
        <w:rPr>
          <w:rFonts w:cs="Arial"/>
        </w:rPr>
        <w:br w:type="page"/>
      </w:r>
    </w:p>
    <w:p w:rsidR="00B93281" w:rsidRPr="00247566" w:rsidRDefault="00B93281" w:rsidP="00B93281">
      <w:pPr>
        <w:jc w:val="left"/>
        <w:rPr>
          <w:rFonts w:cs="Arial"/>
          <w:szCs w:val="24"/>
        </w:rPr>
      </w:pPr>
      <w:bookmarkStart w:id="31" w:name="_Toc281912328"/>
      <w:r w:rsidRPr="00247566">
        <w:rPr>
          <w:rFonts w:cs="Arial"/>
          <w:szCs w:val="24"/>
        </w:rPr>
        <w:lastRenderedPageBreak/>
        <w:t>Disegno di</w:t>
      </w:r>
      <w:bookmarkEnd w:id="31"/>
    </w:p>
    <w:p w:rsidR="00B93281" w:rsidRPr="00247566" w:rsidRDefault="00B93281" w:rsidP="00B93281">
      <w:pPr>
        <w:jc w:val="left"/>
        <w:rPr>
          <w:rFonts w:cs="Arial"/>
          <w:szCs w:val="24"/>
        </w:rPr>
      </w:pPr>
    </w:p>
    <w:p w:rsidR="00B93281" w:rsidRPr="00B93281" w:rsidRDefault="00B93281" w:rsidP="00B93281">
      <w:pPr>
        <w:spacing w:before="120" w:after="120"/>
        <w:rPr>
          <w:b/>
        </w:rPr>
      </w:pPr>
      <w:bookmarkStart w:id="32" w:name="_Toc281912329"/>
      <w:bookmarkStart w:id="33" w:name="_Toc16598649"/>
      <w:bookmarkStart w:id="34" w:name="_Toc20472788"/>
      <w:r w:rsidRPr="00B93281">
        <w:rPr>
          <w:b/>
        </w:rPr>
        <w:t>DECRETO LEGISLATIVO</w:t>
      </w:r>
      <w:bookmarkEnd w:id="32"/>
      <w:bookmarkEnd w:id="33"/>
      <w:bookmarkEnd w:id="34"/>
    </w:p>
    <w:p w:rsidR="00B93281" w:rsidRPr="001A64D0" w:rsidRDefault="00B93281" w:rsidP="00B93281">
      <w:pPr>
        <w:spacing w:before="120"/>
        <w:rPr>
          <w:b/>
          <w:bCs/>
        </w:rPr>
      </w:pPr>
      <w:r w:rsidRPr="00A631B4">
        <w:rPr>
          <w:b/>
        </w:rPr>
        <w:t xml:space="preserve">concernente lo stanziamento di un sussidio forfettario di 8’600'000 franchi a favore della Fondazione Agire per il finanziamento delle attività finalizzate al rafforzamento del sistema regionale dell’innovazione previste dal Programma d’attività 2020-2023 nell’ambito del credito quadro di 27'000'000 di franchi a favore di misure cantonali </w:t>
      </w:r>
      <w:r>
        <w:rPr>
          <w:b/>
        </w:rPr>
        <w:t>di</w:t>
      </w:r>
      <w:r w:rsidRPr="00A631B4">
        <w:rPr>
          <w:b/>
        </w:rPr>
        <w:t xml:space="preserve"> politica economica regionale nel quadriennio 2020-2023 e della relativa </w:t>
      </w:r>
      <w:r w:rsidRPr="00A631B4">
        <w:rPr>
          <w:b/>
          <w:bCs/>
        </w:rPr>
        <w:t>Convenzione tra la Confederazione Svizzera e la Repubblica e Cantone Ticino</w:t>
      </w:r>
    </w:p>
    <w:p w:rsidR="00B93281" w:rsidRPr="006921F3" w:rsidRDefault="00B93281" w:rsidP="00B93281">
      <w:pPr>
        <w:jc w:val="left"/>
        <w:rPr>
          <w:rFonts w:cs="Arial"/>
          <w:bCs/>
          <w:sz w:val="18"/>
          <w:szCs w:val="18"/>
        </w:rPr>
      </w:pPr>
    </w:p>
    <w:p w:rsidR="00B93281" w:rsidRPr="006921F3" w:rsidRDefault="00B93281" w:rsidP="00B93281">
      <w:pPr>
        <w:jc w:val="left"/>
        <w:rPr>
          <w:rFonts w:cs="Arial"/>
          <w:bCs/>
          <w:sz w:val="18"/>
          <w:szCs w:val="18"/>
        </w:rPr>
      </w:pPr>
    </w:p>
    <w:p w:rsidR="00B93281" w:rsidRPr="00247566" w:rsidRDefault="00B93281" w:rsidP="00B93281">
      <w:pPr>
        <w:jc w:val="left"/>
        <w:rPr>
          <w:rFonts w:cs="Arial"/>
          <w:bCs/>
          <w:szCs w:val="24"/>
        </w:rPr>
      </w:pPr>
      <w:r>
        <w:rPr>
          <w:rFonts w:cs="Arial"/>
          <w:bCs/>
          <w:szCs w:val="24"/>
        </w:rPr>
        <w:t>IL GRAN CONSIGLIO</w:t>
      </w:r>
    </w:p>
    <w:p w:rsidR="00B93281" w:rsidRPr="00247566" w:rsidRDefault="00B93281" w:rsidP="00B93281">
      <w:pPr>
        <w:jc w:val="left"/>
        <w:rPr>
          <w:rFonts w:cs="Arial"/>
          <w:bCs/>
          <w:szCs w:val="24"/>
        </w:rPr>
      </w:pPr>
      <w:r>
        <w:rPr>
          <w:rFonts w:cs="Arial"/>
          <w:bCs/>
          <w:szCs w:val="24"/>
        </w:rPr>
        <w:t>DELLA REPUBBLICA E CANTONE TICINO</w:t>
      </w:r>
    </w:p>
    <w:p w:rsidR="00B93281" w:rsidRPr="009509DF" w:rsidRDefault="00B93281" w:rsidP="00B93281">
      <w:pPr>
        <w:pStyle w:val="Art"/>
        <w:ind w:left="0"/>
        <w:rPr>
          <w:rFonts w:cs="Arial"/>
          <w:noProof w:val="0"/>
          <w:sz w:val="24"/>
          <w:szCs w:val="24"/>
        </w:rPr>
      </w:pPr>
    </w:p>
    <w:p w:rsidR="00B93281" w:rsidRPr="009509DF" w:rsidRDefault="00B93281" w:rsidP="00B93281">
      <w:pPr>
        <w:pStyle w:val="NormaleWeb"/>
        <w:tabs>
          <w:tab w:val="left" w:pos="3686"/>
          <w:tab w:val="left" w:pos="4820"/>
        </w:tabs>
        <w:spacing w:before="0" w:beforeAutospacing="0" w:after="0" w:afterAutospacing="0"/>
        <w:rPr>
          <w:rFonts w:ascii="Arial" w:hAnsi="Arial" w:cs="Arial"/>
        </w:rPr>
      </w:pPr>
      <w:r w:rsidRPr="009509DF">
        <w:rPr>
          <w:rFonts w:ascii="Arial" w:hAnsi="Arial" w:cs="Arial"/>
        </w:rPr>
        <w:t xml:space="preserve">visto il messaggio </w:t>
      </w:r>
      <w:r>
        <w:rPr>
          <w:rFonts w:ascii="Arial" w:hAnsi="Arial" w:cs="Arial"/>
        </w:rPr>
        <w:t>16 ottobre 2019 n. 7725</w:t>
      </w:r>
      <w:r w:rsidRPr="009509DF">
        <w:rPr>
          <w:rFonts w:ascii="Arial" w:hAnsi="Arial" w:cs="Arial"/>
        </w:rPr>
        <w:t xml:space="preserve"> del Consiglio di Stato,</w:t>
      </w:r>
    </w:p>
    <w:p w:rsidR="00B93281" w:rsidRPr="006921F3" w:rsidRDefault="00B93281" w:rsidP="00B93281">
      <w:pPr>
        <w:tabs>
          <w:tab w:val="left" w:pos="851"/>
        </w:tabs>
        <w:rPr>
          <w:rFonts w:cs="Arial"/>
          <w:sz w:val="18"/>
          <w:szCs w:val="18"/>
        </w:rPr>
      </w:pPr>
    </w:p>
    <w:p w:rsidR="00B93281" w:rsidRPr="006921F3" w:rsidRDefault="00B93281" w:rsidP="00B93281">
      <w:pPr>
        <w:tabs>
          <w:tab w:val="left" w:pos="851"/>
        </w:tabs>
        <w:rPr>
          <w:rFonts w:cs="Arial"/>
          <w:sz w:val="18"/>
          <w:szCs w:val="18"/>
        </w:rPr>
      </w:pPr>
    </w:p>
    <w:p w:rsidR="00B93281" w:rsidRPr="00F9064B" w:rsidRDefault="00B93281" w:rsidP="00B93281">
      <w:pPr>
        <w:pStyle w:val="NormaleWeb"/>
        <w:spacing w:before="0" w:beforeAutospacing="0" w:after="0" w:afterAutospacing="0"/>
        <w:rPr>
          <w:rFonts w:ascii="Arial" w:hAnsi="Arial" w:cs="Arial"/>
          <w:b/>
          <w:bCs/>
        </w:rPr>
      </w:pPr>
      <w:r w:rsidRPr="00F9064B">
        <w:rPr>
          <w:rFonts w:ascii="Arial" w:hAnsi="Arial" w:cs="Arial"/>
          <w:b/>
          <w:bCs/>
        </w:rPr>
        <w:t>d e c r e t a :</w:t>
      </w:r>
    </w:p>
    <w:p w:rsidR="00B93281" w:rsidRPr="006921F3" w:rsidRDefault="00B93281" w:rsidP="00B93281">
      <w:pPr>
        <w:tabs>
          <w:tab w:val="left" w:pos="851"/>
        </w:tabs>
        <w:rPr>
          <w:rFonts w:cs="Arial"/>
          <w:sz w:val="18"/>
          <w:szCs w:val="18"/>
        </w:rPr>
      </w:pPr>
    </w:p>
    <w:p w:rsidR="00B93281" w:rsidRPr="006921F3" w:rsidRDefault="00B93281" w:rsidP="00B93281">
      <w:pPr>
        <w:tabs>
          <w:tab w:val="left" w:pos="851"/>
        </w:tabs>
        <w:rPr>
          <w:rFonts w:cs="Arial"/>
          <w:sz w:val="18"/>
          <w:szCs w:val="18"/>
        </w:rPr>
      </w:pPr>
    </w:p>
    <w:p w:rsidR="00B93281" w:rsidRPr="00816F7B" w:rsidRDefault="00B93281" w:rsidP="00B93281">
      <w:pPr>
        <w:pStyle w:val="NormaleWeb"/>
        <w:spacing w:before="0" w:beforeAutospacing="0" w:after="120" w:afterAutospacing="0"/>
        <w:rPr>
          <w:rFonts w:ascii="Arial" w:hAnsi="Arial" w:cs="Arial"/>
          <w:b/>
          <w:bCs/>
          <w:u w:val="single"/>
        </w:rPr>
      </w:pPr>
      <w:r w:rsidRPr="00816F7B">
        <w:rPr>
          <w:rFonts w:ascii="Arial" w:hAnsi="Arial" w:cs="Arial"/>
          <w:b/>
          <w:bCs/>
          <w:u w:val="single"/>
        </w:rPr>
        <w:t>Articolo 1</w:t>
      </w:r>
    </w:p>
    <w:p w:rsidR="00B93281" w:rsidRPr="00780A8E" w:rsidRDefault="00B93281" w:rsidP="00B93281">
      <w:pPr>
        <w:rPr>
          <w:szCs w:val="24"/>
        </w:rPr>
      </w:pPr>
      <w:r w:rsidRPr="00780A8E">
        <w:rPr>
          <w:szCs w:val="24"/>
        </w:rPr>
        <w:t>Alla Fondazione Agire (di seguito: Fondazione) è concesso un sussidio forfettario di 8’600'000</w:t>
      </w:r>
      <w:r>
        <w:rPr>
          <w:szCs w:val="24"/>
        </w:rPr>
        <w:t xml:space="preserve"> franchi</w:t>
      </w:r>
      <w:r w:rsidRPr="00780A8E">
        <w:rPr>
          <w:szCs w:val="24"/>
        </w:rPr>
        <w:t xml:space="preserve"> per lo svolgimento, nel periodo 2020-2023, delle attività previste dal Programma d’attività 2020-2023 finalizzate al rafforzamento del sistema regionale dell’innovazione.</w:t>
      </w:r>
    </w:p>
    <w:p w:rsidR="00B93281" w:rsidRPr="006921F3" w:rsidRDefault="00B93281" w:rsidP="00B93281">
      <w:pPr>
        <w:rPr>
          <w:rFonts w:cs="Arial"/>
          <w:sz w:val="18"/>
          <w:szCs w:val="18"/>
        </w:rPr>
      </w:pPr>
    </w:p>
    <w:p w:rsidR="00B93281" w:rsidRPr="006921F3" w:rsidRDefault="00B93281" w:rsidP="00B93281">
      <w:pPr>
        <w:rPr>
          <w:rFonts w:cs="Arial"/>
          <w:sz w:val="18"/>
          <w:szCs w:val="18"/>
        </w:rPr>
      </w:pPr>
    </w:p>
    <w:p w:rsidR="00B93281" w:rsidRPr="00816F7B" w:rsidRDefault="00B93281" w:rsidP="00B93281">
      <w:pPr>
        <w:pStyle w:val="NormaleWeb"/>
        <w:spacing w:before="0" w:beforeAutospacing="0" w:after="120" w:afterAutospacing="0"/>
        <w:rPr>
          <w:rFonts w:ascii="Arial" w:hAnsi="Arial" w:cs="Arial"/>
          <w:b/>
          <w:bCs/>
          <w:u w:val="single"/>
        </w:rPr>
      </w:pPr>
      <w:r w:rsidRPr="00816F7B">
        <w:rPr>
          <w:rFonts w:ascii="Arial" w:hAnsi="Arial" w:cs="Arial"/>
          <w:b/>
          <w:bCs/>
          <w:u w:val="single"/>
        </w:rPr>
        <w:t>Articolo 2</w:t>
      </w:r>
    </w:p>
    <w:p w:rsidR="00B93281" w:rsidRPr="00212363" w:rsidRDefault="00B93281" w:rsidP="00B93281">
      <w:pPr>
        <w:rPr>
          <w:rFonts w:cs="Arial"/>
          <w:szCs w:val="24"/>
        </w:rPr>
      </w:pPr>
      <w:r w:rsidRPr="007D0F1C">
        <w:rPr>
          <w:rFonts w:cs="Arial"/>
          <w:szCs w:val="24"/>
          <w:vertAlign w:val="superscript"/>
        </w:rPr>
        <w:t>1</w:t>
      </w:r>
      <w:r w:rsidRPr="00212363">
        <w:rPr>
          <w:rFonts w:cs="Arial"/>
          <w:szCs w:val="24"/>
        </w:rPr>
        <w:t>Il credito di cui all’art. 1 è iscritto al conto degli investimenti del Dipartimento delle finanze e dell’economia, Divisione dell’economia ed è indicativamente così ripartito:</w:t>
      </w:r>
    </w:p>
    <w:p w:rsidR="00B93281" w:rsidRPr="00212363" w:rsidRDefault="00B93281" w:rsidP="00B93281">
      <w:pPr>
        <w:pStyle w:val="Paragrafoelenco"/>
        <w:numPr>
          <w:ilvl w:val="0"/>
          <w:numId w:val="20"/>
        </w:numPr>
        <w:tabs>
          <w:tab w:val="clear" w:pos="720"/>
        </w:tabs>
        <w:spacing w:before="60"/>
        <w:ind w:left="284" w:hanging="284"/>
        <w:rPr>
          <w:rFonts w:cs="Arial"/>
          <w:szCs w:val="24"/>
        </w:rPr>
      </w:pPr>
      <w:r w:rsidRPr="00212363">
        <w:rPr>
          <w:rFonts w:cs="Arial"/>
          <w:szCs w:val="24"/>
        </w:rPr>
        <w:t>5’600</w:t>
      </w:r>
      <w:r>
        <w:rPr>
          <w:rFonts w:cs="Arial"/>
          <w:szCs w:val="24"/>
        </w:rPr>
        <w:t>'</w:t>
      </w:r>
      <w:r w:rsidRPr="00212363">
        <w:rPr>
          <w:rFonts w:cs="Arial"/>
          <w:szCs w:val="24"/>
        </w:rPr>
        <w:t>000</w:t>
      </w:r>
      <w:r>
        <w:rPr>
          <w:rFonts w:cs="Arial"/>
          <w:szCs w:val="24"/>
        </w:rPr>
        <w:t xml:space="preserve"> franchi </w:t>
      </w:r>
      <w:r w:rsidRPr="00212363">
        <w:rPr>
          <w:rFonts w:cs="Arial"/>
          <w:szCs w:val="24"/>
        </w:rPr>
        <w:t>a carico del credito quadro di 27'000'000</w:t>
      </w:r>
      <w:r>
        <w:rPr>
          <w:rFonts w:cs="Arial"/>
          <w:szCs w:val="24"/>
        </w:rPr>
        <w:t xml:space="preserve"> di franchi</w:t>
      </w:r>
      <w:r w:rsidRPr="00212363">
        <w:rPr>
          <w:rFonts w:cs="Arial"/>
          <w:szCs w:val="24"/>
        </w:rPr>
        <w:t xml:space="preserve"> a favore di misure cantonali nell’ambito della </w:t>
      </w:r>
      <w:r w:rsidRPr="0024653F">
        <w:rPr>
          <w:rFonts w:cs="Arial"/>
          <w:szCs w:val="24"/>
        </w:rPr>
        <w:t>politica economica regionale</w:t>
      </w:r>
      <w:r w:rsidRPr="00A631B4">
        <w:t xml:space="preserve"> </w:t>
      </w:r>
      <w:r w:rsidRPr="00A631B4">
        <w:rPr>
          <w:rFonts w:cs="Arial"/>
          <w:szCs w:val="24"/>
        </w:rPr>
        <w:t>ai sensi dell’art. 16 cpv. 1 della legge d’applicazione della legge federale sulla politica regionale del 22 giugno 2009</w:t>
      </w:r>
      <w:r w:rsidRPr="00212363">
        <w:rPr>
          <w:rFonts w:cs="Arial"/>
          <w:szCs w:val="24"/>
        </w:rPr>
        <w:t>, di cui franchi 1'200'000</w:t>
      </w:r>
      <w:r>
        <w:rPr>
          <w:rFonts w:cs="Arial"/>
          <w:szCs w:val="24"/>
        </w:rPr>
        <w:t xml:space="preserve"> franchi</w:t>
      </w:r>
      <w:r w:rsidRPr="00212363">
        <w:rPr>
          <w:rFonts w:cs="Arial"/>
          <w:szCs w:val="24"/>
        </w:rPr>
        <w:t xml:space="preserve"> destinati al coordinamento </w:t>
      </w:r>
      <w:proofErr w:type="spellStart"/>
      <w:r w:rsidRPr="00212363">
        <w:rPr>
          <w:rFonts w:cs="Arial"/>
          <w:szCs w:val="24"/>
        </w:rPr>
        <w:t>Switzerland</w:t>
      </w:r>
      <w:proofErr w:type="spellEnd"/>
      <w:r w:rsidRPr="00212363">
        <w:rPr>
          <w:rFonts w:cs="Arial"/>
          <w:szCs w:val="24"/>
        </w:rPr>
        <w:t xml:space="preserve"> </w:t>
      </w:r>
      <w:proofErr w:type="spellStart"/>
      <w:r w:rsidRPr="00212363">
        <w:rPr>
          <w:rFonts w:cs="Arial"/>
          <w:szCs w:val="24"/>
        </w:rPr>
        <w:t>Innovation</w:t>
      </w:r>
      <w:proofErr w:type="spellEnd"/>
      <w:r w:rsidRPr="00212363">
        <w:rPr>
          <w:rFonts w:cs="Arial"/>
          <w:szCs w:val="24"/>
        </w:rPr>
        <w:t>;</w:t>
      </w:r>
    </w:p>
    <w:p w:rsidR="00B93281" w:rsidRDefault="00B93281" w:rsidP="00B93281">
      <w:pPr>
        <w:pStyle w:val="Paragrafoelenco"/>
        <w:numPr>
          <w:ilvl w:val="0"/>
          <w:numId w:val="20"/>
        </w:numPr>
        <w:tabs>
          <w:tab w:val="clear" w:pos="720"/>
        </w:tabs>
        <w:spacing w:before="60"/>
        <w:ind w:left="284" w:hanging="284"/>
        <w:rPr>
          <w:rFonts w:cs="Arial"/>
          <w:szCs w:val="24"/>
        </w:rPr>
      </w:pPr>
      <w:r w:rsidRPr="00212363">
        <w:rPr>
          <w:rFonts w:cs="Arial"/>
          <w:szCs w:val="24"/>
        </w:rPr>
        <w:t>3’000</w:t>
      </w:r>
      <w:r>
        <w:rPr>
          <w:rFonts w:cs="Arial"/>
          <w:szCs w:val="24"/>
        </w:rPr>
        <w:t>'</w:t>
      </w:r>
      <w:r w:rsidRPr="00212363">
        <w:rPr>
          <w:rFonts w:cs="Arial"/>
          <w:szCs w:val="24"/>
        </w:rPr>
        <w:t>000</w:t>
      </w:r>
      <w:r>
        <w:rPr>
          <w:rFonts w:cs="Arial"/>
          <w:szCs w:val="24"/>
        </w:rPr>
        <w:t xml:space="preserve"> di franchi</w:t>
      </w:r>
      <w:r w:rsidRPr="00212363">
        <w:rPr>
          <w:rFonts w:cs="Arial"/>
          <w:szCs w:val="24"/>
        </w:rPr>
        <w:t xml:space="preserve"> nell’ambito </w:t>
      </w:r>
      <w:r>
        <w:rPr>
          <w:rFonts w:cs="Arial"/>
          <w:szCs w:val="24"/>
        </w:rPr>
        <w:t xml:space="preserve">della </w:t>
      </w:r>
      <w:r w:rsidRPr="00A631B4">
        <w:rPr>
          <w:rFonts w:cs="Arial"/>
          <w:bCs/>
          <w:szCs w:val="24"/>
        </w:rPr>
        <w:t>Convenzione tra la Confederazione Svizzera e la Repubblica e Cantone Ticino sulla promozione del programma cantonale d’attuazione della politica regionale 2020-2023</w:t>
      </w:r>
      <w:r w:rsidRPr="00212363">
        <w:rPr>
          <w:rFonts w:cs="Arial"/>
          <w:szCs w:val="24"/>
        </w:rPr>
        <w:t xml:space="preserve">. </w:t>
      </w:r>
    </w:p>
    <w:p w:rsidR="00B93281" w:rsidRPr="006921F3" w:rsidRDefault="00B93281" w:rsidP="00B93281">
      <w:pPr>
        <w:rPr>
          <w:rFonts w:cs="Arial"/>
          <w:sz w:val="18"/>
          <w:szCs w:val="18"/>
        </w:rPr>
      </w:pPr>
    </w:p>
    <w:p w:rsidR="00B93281" w:rsidRPr="00780A8E" w:rsidRDefault="00B93281" w:rsidP="00B93281">
      <w:pPr>
        <w:rPr>
          <w:szCs w:val="24"/>
        </w:rPr>
      </w:pPr>
      <w:r w:rsidRPr="009B5425">
        <w:rPr>
          <w:szCs w:val="24"/>
          <w:vertAlign w:val="superscript"/>
        </w:rPr>
        <w:t>2</w:t>
      </w:r>
      <w:r w:rsidRPr="009B5425">
        <w:rPr>
          <w:szCs w:val="24"/>
        </w:rPr>
        <w:t>Qualora l’importo concesso dalla Confederazione non dovesse essere confermato nella sua interezza, l’eventuale differenza andrà a carico del credito quadro di 27'000'000</w:t>
      </w:r>
      <w:r>
        <w:rPr>
          <w:szCs w:val="24"/>
        </w:rPr>
        <w:t xml:space="preserve"> di franchi</w:t>
      </w:r>
      <w:r w:rsidRPr="009B5425">
        <w:rPr>
          <w:szCs w:val="24"/>
        </w:rPr>
        <w:t xml:space="preserve"> per la concessione di sussidi nell’ambito della politica economica regionale. Il Consiglio di Stato è responsabile per la suddivisione definitiva dei fondi federali e cantonali.</w:t>
      </w:r>
    </w:p>
    <w:p w:rsidR="00B93281" w:rsidRPr="006921F3" w:rsidRDefault="00B93281" w:rsidP="00B93281">
      <w:pPr>
        <w:rPr>
          <w:rFonts w:cs="Arial"/>
          <w:sz w:val="18"/>
          <w:szCs w:val="18"/>
        </w:rPr>
      </w:pPr>
    </w:p>
    <w:p w:rsidR="00B93281" w:rsidRPr="006921F3" w:rsidRDefault="00B93281" w:rsidP="00B93281">
      <w:pPr>
        <w:rPr>
          <w:rFonts w:cs="Arial"/>
          <w:sz w:val="18"/>
          <w:szCs w:val="18"/>
        </w:rPr>
      </w:pPr>
    </w:p>
    <w:p w:rsidR="00B93281" w:rsidRPr="00816F7B" w:rsidRDefault="00B93281" w:rsidP="00B93281">
      <w:pPr>
        <w:pStyle w:val="NormaleWeb"/>
        <w:spacing w:before="0" w:beforeAutospacing="0" w:after="120" w:afterAutospacing="0"/>
        <w:rPr>
          <w:rFonts w:ascii="Arial" w:hAnsi="Arial" w:cs="Arial"/>
          <w:b/>
          <w:bCs/>
          <w:u w:val="single"/>
        </w:rPr>
      </w:pPr>
      <w:r w:rsidRPr="00816F7B">
        <w:rPr>
          <w:rFonts w:ascii="Arial" w:hAnsi="Arial" w:cs="Arial"/>
          <w:b/>
          <w:bCs/>
          <w:u w:val="single"/>
        </w:rPr>
        <w:t>Articolo 3</w:t>
      </w:r>
    </w:p>
    <w:p w:rsidR="00B93281" w:rsidRPr="00212363" w:rsidRDefault="00B93281" w:rsidP="00B93281">
      <w:pPr>
        <w:rPr>
          <w:rFonts w:cs="Arial"/>
          <w:szCs w:val="24"/>
        </w:rPr>
      </w:pPr>
      <w:r w:rsidRPr="00212363">
        <w:rPr>
          <w:rFonts w:cs="Arial"/>
          <w:szCs w:val="24"/>
        </w:rPr>
        <w:t>Il Consiglio di Stato è incaricato di stipulare con la Fondazione la convenzione di sussidiamento per le attività svolte dalla Fondazione nel periodo 2020-2023.</w:t>
      </w:r>
    </w:p>
    <w:p w:rsidR="00B93281" w:rsidRPr="006921F3" w:rsidRDefault="00B93281" w:rsidP="00B93281">
      <w:pPr>
        <w:rPr>
          <w:rFonts w:cs="Arial"/>
          <w:sz w:val="18"/>
          <w:szCs w:val="18"/>
        </w:rPr>
      </w:pPr>
    </w:p>
    <w:p w:rsidR="00B93281" w:rsidRPr="006921F3" w:rsidRDefault="00B93281" w:rsidP="00B93281">
      <w:pPr>
        <w:rPr>
          <w:rFonts w:cs="Arial"/>
          <w:sz w:val="18"/>
          <w:szCs w:val="18"/>
        </w:rPr>
      </w:pPr>
    </w:p>
    <w:p w:rsidR="00B93281" w:rsidRPr="00816F7B" w:rsidRDefault="00B93281" w:rsidP="00B93281">
      <w:pPr>
        <w:pStyle w:val="NormaleWeb"/>
        <w:spacing w:before="0" w:beforeAutospacing="0" w:after="120" w:afterAutospacing="0"/>
        <w:rPr>
          <w:rFonts w:ascii="Arial" w:hAnsi="Arial" w:cs="Arial"/>
          <w:b/>
          <w:bCs/>
          <w:u w:val="single"/>
        </w:rPr>
      </w:pPr>
      <w:r w:rsidRPr="00816F7B">
        <w:rPr>
          <w:rFonts w:ascii="Arial" w:hAnsi="Arial" w:cs="Arial"/>
          <w:b/>
          <w:bCs/>
          <w:u w:val="single"/>
        </w:rPr>
        <w:t>Articolo 4</w:t>
      </w:r>
    </w:p>
    <w:p w:rsidR="00B93281" w:rsidRPr="00247566" w:rsidRDefault="00B93281" w:rsidP="00B93281">
      <w:pPr>
        <w:jc w:val="left"/>
        <w:rPr>
          <w:rFonts w:cs="Arial"/>
          <w:szCs w:val="24"/>
        </w:rPr>
      </w:pPr>
      <w:r w:rsidRPr="00697E10">
        <w:rPr>
          <w:rFonts w:cs="Arial"/>
          <w:szCs w:val="24"/>
        </w:rPr>
        <w:t>Trascorsi i termini per l'esercizio del diritto di referendum, il</w:t>
      </w:r>
      <w:r w:rsidRPr="00780A8E">
        <w:rPr>
          <w:rFonts w:cs="Arial"/>
          <w:szCs w:val="24"/>
        </w:rPr>
        <w:t xml:space="preserve"> presente decreto legislativo è pubblicato nel Bollettino ufficiale delle leggi ed entra immediatamente in vigore.</w:t>
      </w:r>
      <w:r>
        <w:rPr>
          <w:rFonts w:cs="Arial"/>
        </w:rPr>
        <w:br w:type="page"/>
      </w:r>
      <w:r w:rsidRPr="00247566">
        <w:rPr>
          <w:rFonts w:cs="Arial"/>
          <w:szCs w:val="24"/>
        </w:rPr>
        <w:lastRenderedPageBreak/>
        <w:t>Disegno di</w:t>
      </w:r>
    </w:p>
    <w:p w:rsidR="00B93281" w:rsidRPr="00247566" w:rsidRDefault="00B93281" w:rsidP="00B93281">
      <w:pPr>
        <w:jc w:val="left"/>
        <w:rPr>
          <w:rFonts w:cs="Arial"/>
          <w:szCs w:val="24"/>
        </w:rPr>
      </w:pPr>
    </w:p>
    <w:p w:rsidR="00B93281" w:rsidRPr="00B93281" w:rsidRDefault="00B93281" w:rsidP="00B93281">
      <w:pPr>
        <w:spacing w:before="120" w:after="120"/>
        <w:rPr>
          <w:b/>
        </w:rPr>
      </w:pPr>
      <w:bookmarkStart w:id="35" w:name="_Toc20472789"/>
      <w:r w:rsidRPr="00B93281">
        <w:rPr>
          <w:b/>
        </w:rPr>
        <w:t>DECRETO LEGISLATIVO</w:t>
      </w:r>
      <w:bookmarkEnd w:id="35"/>
    </w:p>
    <w:p w:rsidR="00B93281" w:rsidRPr="00A631B4" w:rsidRDefault="00B93281" w:rsidP="00B93281">
      <w:pPr>
        <w:spacing w:before="120"/>
        <w:rPr>
          <w:b/>
        </w:rPr>
      </w:pPr>
      <w:r w:rsidRPr="00A631B4">
        <w:rPr>
          <w:b/>
        </w:rPr>
        <w:t xml:space="preserve">concernente lo stanziamento di un sussidio forfettario di </w:t>
      </w:r>
      <w:r w:rsidRPr="00CA4E94">
        <w:rPr>
          <w:b/>
        </w:rPr>
        <w:t>1’200'000 f</w:t>
      </w:r>
      <w:r w:rsidRPr="00A631B4">
        <w:rPr>
          <w:b/>
        </w:rPr>
        <w:t xml:space="preserve">ranchi a favore della Fondazione Centro di mobilità sostenibile e ferroviaria per la fase di transizione e per il </w:t>
      </w:r>
      <w:proofErr w:type="spellStart"/>
      <w:r w:rsidRPr="00A631B4">
        <w:rPr>
          <w:b/>
        </w:rPr>
        <w:t>riorientamento</w:t>
      </w:r>
      <w:proofErr w:type="spellEnd"/>
      <w:r w:rsidRPr="00A631B4">
        <w:rPr>
          <w:b/>
        </w:rPr>
        <w:t xml:space="preserve"> delle proprie attività nell’ambito del credito quadro di 27'000'000 franchi a favore di misure cantonali</w:t>
      </w:r>
      <w:r w:rsidRPr="0024653F">
        <w:rPr>
          <w:rFonts w:cs="Arial"/>
          <w:szCs w:val="24"/>
        </w:rPr>
        <w:t xml:space="preserve"> </w:t>
      </w:r>
      <w:r>
        <w:rPr>
          <w:b/>
        </w:rPr>
        <w:t>di</w:t>
      </w:r>
      <w:r w:rsidRPr="00A631B4">
        <w:rPr>
          <w:b/>
        </w:rPr>
        <w:t xml:space="preserve"> politica economica regionale</w:t>
      </w:r>
      <w:r w:rsidRPr="00A631B4" w:rsidDel="0024653F">
        <w:rPr>
          <w:b/>
        </w:rPr>
        <w:t xml:space="preserve"> </w:t>
      </w:r>
      <w:r w:rsidRPr="00A631B4">
        <w:rPr>
          <w:b/>
        </w:rPr>
        <w:t>nel quadriennio 2020-2023</w:t>
      </w:r>
      <w:r w:rsidRPr="0024653F">
        <w:rPr>
          <w:b/>
        </w:rPr>
        <w:t xml:space="preserve"> </w:t>
      </w:r>
    </w:p>
    <w:p w:rsidR="00B93281" w:rsidRDefault="00B93281" w:rsidP="00B93281">
      <w:pPr>
        <w:jc w:val="left"/>
        <w:rPr>
          <w:rFonts w:cs="Arial"/>
          <w:bCs/>
          <w:szCs w:val="24"/>
        </w:rPr>
      </w:pPr>
    </w:p>
    <w:p w:rsidR="00B93281" w:rsidRPr="00247566" w:rsidRDefault="00B93281" w:rsidP="00B93281">
      <w:pPr>
        <w:jc w:val="left"/>
        <w:rPr>
          <w:rFonts w:cs="Arial"/>
          <w:bCs/>
          <w:szCs w:val="24"/>
        </w:rPr>
      </w:pPr>
    </w:p>
    <w:p w:rsidR="00B93281" w:rsidRPr="00247566" w:rsidRDefault="00B93281" w:rsidP="00B93281">
      <w:pPr>
        <w:jc w:val="left"/>
        <w:rPr>
          <w:rFonts w:cs="Arial"/>
          <w:bCs/>
          <w:szCs w:val="24"/>
        </w:rPr>
      </w:pPr>
      <w:r w:rsidRPr="00247566">
        <w:rPr>
          <w:rFonts w:cs="Arial"/>
          <w:bCs/>
          <w:szCs w:val="24"/>
        </w:rPr>
        <w:t>I</w:t>
      </w:r>
      <w:r>
        <w:rPr>
          <w:rFonts w:cs="Arial"/>
          <w:bCs/>
          <w:szCs w:val="24"/>
        </w:rPr>
        <w:t>L GRAN CONSIGLIO</w:t>
      </w:r>
    </w:p>
    <w:p w:rsidR="00B93281" w:rsidRPr="00247566" w:rsidRDefault="00B93281" w:rsidP="00B93281">
      <w:pPr>
        <w:jc w:val="left"/>
        <w:rPr>
          <w:rFonts w:cs="Arial"/>
          <w:bCs/>
          <w:szCs w:val="24"/>
        </w:rPr>
      </w:pPr>
      <w:r>
        <w:rPr>
          <w:rFonts w:cs="Arial"/>
          <w:bCs/>
          <w:szCs w:val="24"/>
        </w:rPr>
        <w:t>DELLA REPUBBLICA E CANTONE TICINO</w:t>
      </w:r>
    </w:p>
    <w:p w:rsidR="00B93281" w:rsidRPr="009509DF" w:rsidRDefault="00B93281" w:rsidP="00B93281">
      <w:pPr>
        <w:pStyle w:val="Art"/>
        <w:ind w:left="0"/>
        <w:rPr>
          <w:rFonts w:cs="Arial"/>
          <w:noProof w:val="0"/>
          <w:sz w:val="24"/>
          <w:szCs w:val="24"/>
        </w:rPr>
      </w:pPr>
    </w:p>
    <w:p w:rsidR="00B93281" w:rsidRPr="009509DF" w:rsidRDefault="00B93281" w:rsidP="00B93281">
      <w:pPr>
        <w:pStyle w:val="NormaleWeb"/>
        <w:tabs>
          <w:tab w:val="left" w:pos="3686"/>
          <w:tab w:val="left" w:pos="4820"/>
        </w:tabs>
        <w:spacing w:before="0" w:beforeAutospacing="0" w:after="0" w:afterAutospacing="0"/>
        <w:rPr>
          <w:rFonts w:ascii="Arial" w:hAnsi="Arial" w:cs="Arial"/>
        </w:rPr>
      </w:pPr>
      <w:r w:rsidRPr="009509DF">
        <w:rPr>
          <w:rFonts w:ascii="Arial" w:hAnsi="Arial" w:cs="Arial"/>
        </w:rPr>
        <w:t xml:space="preserve">visto il messaggio </w:t>
      </w:r>
      <w:r>
        <w:rPr>
          <w:rFonts w:ascii="Arial" w:hAnsi="Arial" w:cs="Arial"/>
        </w:rPr>
        <w:t>16 ottobre 2019 n. 7725</w:t>
      </w:r>
      <w:r w:rsidRPr="009509DF">
        <w:rPr>
          <w:rFonts w:ascii="Arial" w:hAnsi="Arial" w:cs="Arial"/>
        </w:rPr>
        <w:t xml:space="preserve"> del Consiglio di Stato,</w:t>
      </w:r>
    </w:p>
    <w:p w:rsidR="00B93281" w:rsidRPr="009509DF" w:rsidRDefault="00B93281" w:rsidP="00B93281">
      <w:pPr>
        <w:tabs>
          <w:tab w:val="left" w:pos="851"/>
        </w:tabs>
        <w:rPr>
          <w:rFonts w:cs="Arial"/>
          <w:szCs w:val="24"/>
        </w:rPr>
      </w:pPr>
    </w:p>
    <w:p w:rsidR="00B93281" w:rsidRPr="009509DF" w:rsidRDefault="00B93281" w:rsidP="00B93281">
      <w:pPr>
        <w:tabs>
          <w:tab w:val="left" w:pos="851"/>
        </w:tabs>
        <w:rPr>
          <w:rFonts w:cs="Arial"/>
          <w:szCs w:val="24"/>
        </w:rPr>
      </w:pPr>
    </w:p>
    <w:p w:rsidR="00B93281" w:rsidRPr="00F9064B" w:rsidRDefault="00B93281" w:rsidP="00B93281">
      <w:pPr>
        <w:pStyle w:val="NormaleWeb"/>
        <w:spacing w:before="0" w:beforeAutospacing="0" w:after="0" w:afterAutospacing="0"/>
        <w:rPr>
          <w:rFonts w:ascii="Arial" w:hAnsi="Arial" w:cs="Arial"/>
          <w:b/>
          <w:bCs/>
        </w:rPr>
      </w:pPr>
      <w:r w:rsidRPr="00F9064B">
        <w:rPr>
          <w:rFonts w:ascii="Arial" w:hAnsi="Arial" w:cs="Arial"/>
          <w:b/>
          <w:bCs/>
        </w:rPr>
        <w:t>d e c r e t a :</w:t>
      </w:r>
    </w:p>
    <w:p w:rsidR="00B93281" w:rsidRPr="00212363" w:rsidRDefault="00B93281" w:rsidP="00B93281">
      <w:pPr>
        <w:tabs>
          <w:tab w:val="left" w:pos="851"/>
        </w:tabs>
        <w:rPr>
          <w:rFonts w:cs="Arial"/>
          <w:szCs w:val="24"/>
        </w:rPr>
      </w:pPr>
    </w:p>
    <w:p w:rsidR="00B93281" w:rsidRPr="00EC2934" w:rsidRDefault="00B93281" w:rsidP="00B93281">
      <w:pPr>
        <w:tabs>
          <w:tab w:val="left" w:pos="851"/>
        </w:tabs>
        <w:rPr>
          <w:rFonts w:cs="Arial"/>
          <w:szCs w:val="24"/>
        </w:rPr>
      </w:pPr>
    </w:p>
    <w:p w:rsidR="00B93281" w:rsidRPr="006255D4" w:rsidRDefault="00B93281" w:rsidP="00B93281">
      <w:pPr>
        <w:spacing w:after="120"/>
        <w:rPr>
          <w:rFonts w:cs="Arial"/>
          <w:b/>
          <w:szCs w:val="24"/>
          <w:u w:val="single"/>
        </w:rPr>
      </w:pPr>
      <w:r w:rsidRPr="006255D4">
        <w:rPr>
          <w:rFonts w:cs="Arial"/>
          <w:b/>
          <w:szCs w:val="24"/>
          <w:u w:val="single"/>
        </w:rPr>
        <w:t>Articolo 1</w:t>
      </w:r>
    </w:p>
    <w:p w:rsidR="00B93281" w:rsidRPr="00780A8E" w:rsidRDefault="00B93281" w:rsidP="00B93281">
      <w:pPr>
        <w:rPr>
          <w:szCs w:val="24"/>
        </w:rPr>
      </w:pPr>
      <w:r w:rsidRPr="00780A8E">
        <w:rPr>
          <w:szCs w:val="24"/>
        </w:rPr>
        <w:t>Alla Fondazione Centro di mobilità sostenibile e ferroviaria (di seguito</w:t>
      </w:r>
      <w:r>
        <w:rPr>
          <w:szCs w:val="24"/>
        </w:rPr>
        <w:t>:</w:t>
      </w:r>
      <w:r w:rsidRPr="00780A8E">
        <w:rPr>
          <w:szCs w:val="24"/>
        </w:rPr>
        <w:t xml:space="preserve"> Fondazione) è concesso un sussidio forfettario di </w:t>
      </w:r>
      <w:r w:rsidRPr="00CA4E94">
        <w:rPr>
          <w:szCs w:val="24"/>
        </w:rPr>
        <w:t>1’200'000</w:t>
      </w:r>
      <w:r>
        <w:rPr>
          <w:szCs w:val="24"/>
        </w:rPr>
        <w:t xml:space="preserve"> franchi</w:t>
      </w:r>
      <w:r w:rsidRPr="00780A8E">
        <w:rPr>
          <w:szCs w:val="24"/>
        </w:rPr>
        <w:t xml:space="preserve"> per il </w:t>
      </w:r>
      <w:proofErr w:type="spellStart"/>
      <w:r w:rsidRPr="00780A8E">
        <w:rPr>
          <w:szCs w:val="24"/>
        </w:rPr>
        <w:t>riorientamento</w:t>
      </w:r>
      <w:proofErr w:type="spellEnd"/>
      <w:r w:rsidRPr="00780A8E">
        <w:rPr>
          <w:szCs w:val="24"/>
        </w:rPr>
        <w:t>, nel periodo 2020-2023, delle proprie attività.</w:t>
      </w:r>
    </w:p>
    <w:p w:rsidR="00B93281" w:rsidRDefault="00B93281" w:rsidP="00B93281">
      <w:pPr>
        <w:rPr>
          <w:rFonts w:cs="Arial"/>
          <w:szCs w:val="24"/>
        </w:rPr>
      </w:pPr>
    </w:p>
    <w:p w:rsidR="00B93281" w:rsidRPr="00780A8E" w:rsidRDefault="00B93281" w:rsidP="00B93281">
      <w:pPr>
        <w:rPr>
          <w:rFonts w:cs="Arial"/>
          <w:szCs w:val="24"/>
        </w:rPr>
      </w:pPr>
    </w:p>
    <w:p w:rsidR="00B93281" w:rsidRPr="006255D4" w:rsidRDefault="00B93281" w:rsidP="00B93281">
      <w:pPr>
        <w:spacing w:after="120"/>
        <w:rPr>
          <w:rFonts w:cs="Arial"/>
          <w:b/>
          <w:szCs w:val="24"/>
          <w:u w:val="single"/>
        </w:rPr>
      </w:pPr>
      <w:r w:rsidRPr="006255D4">
        <w:rPr>
          <w:rFonts w:cs="Arial"/>
          <w:b/>
          <w:szCs w:val="24"/>
          <w:u w:val="single"/>
        </w:rPr>
        <w:t>Articolo 2</w:t>
      </w:r>
    </w:p>
    <w:p w:rsidR="00B93281" w:rsidRPr="00212363" w:rsidRDefault="00B93281" w:rsidP="00B93281">
      <w:pPr>
        <w:rPr>
          <w:rFonts w:cs="Arial"/>
          <w:szCs w:val="24"/>
        </w:rPr>
      </w:pPr>
      <w:r w:rsidRPr="009B5425">
        <w:rPr>
          <w:rFonts w:cs="Arial"/>
          <w:szCs w:val="24"/>
        </w:rPr>
        <w:t>Il credito di cui all’art. 1 è iscritto al conto degli investimenti del Dipartimento delle finanze e dell’economia, Divisione dell’economia ed è a carico del credito quadro di 27'000'000</w:t>
      </w:r>
      <w:r>
        <w:rPr>
          <w:rFonts w:cs="Arial"/>
          <w:szCs w:val="24"/>
        </w:rPr>
        <w:t xml:space="preserve"> franchi</w:t>
      </w:r>
      <w:r w:rsidRPr="009B5425">
        <w:rPr>
          <w:rFonts w:cs="Arial"/>
          <w:szCs w:val="24"/>
        </w:rPr>
        <w:t xml:space="preserve"> a favore di misure cantonali </w:t>
      </w:r>
      <w:r w:rsidRPr="00A631B4">
        <w:rPr>
          <w:rFonts w:cs="Arial"/>
          <w:szCs w:val="24"/>
        </w:rPr>
        <w:t>ai sensi dell’art. 16 cpv. 1 della legge d’applicazione della legge federale sulla politica regionale del 22 giugno 2009 nel quadriennio 2020-2023</w:t>
      </w:r>
      <w:r w:rsidRPr="0024653F">
        <w:rPr>
          <w:rFonts w:cs="Arial"/>
          <w:szCs w:val="24"/>
        </w:rPr>
        <w:t xml:space="preserve">. </w:t>
      </w:r>
    </w:p>
    <w:p w:rsidR="00B93281" w:rsidRDefault="00B93281" w:rsidP="00B93281">
      <w:pPr>
        <w:rPr>
          <w:rFonts w:cs="Arial"/>
          <w:b/>
          <w:szCs w:val="24"/>
          <w:u w:val="single"/>
        </w:rPr>
      </w:pPr>
    </w:p>
    <w:p w:rsidR="00B93281" w:rsidRPr="00212363" w:rsidRDefault="00B93281" w:rsidP="00B93281">
      <w:pPr>
        <w:rPr>
          <w:rFonts w:cs="Arial"/>
          <w:b/>
          <w:szCs w:val="24"/>
          <w:u w:val="single"/>
        </w:rPr>
      </w:pPr>
    </w:p>
    <w:p w:rsidR="00B93281" w:rsidRPr="006255D4" w:rsidRDefault="00B93281" w:rsidP="00B93281">
      <w:pPr>
        <w:spacing w:after="120"/>
        <w:rPr>
          <w:rFonts w:cs="Arial"/>
          <w:b/>
          <w:szCs w:val="24"/>
          <w:u w:val="single"/>
        </w:rPr>
      </w:pPr>
      <w:r w:rsidRPr="006255D4">
        <w:rPr>
          <w:rFonts w:cs="Arial"/>
          <w:b/>
          <w:szCs w:val="24"/>
          <w:u w:val="single"/>
        </w:rPr>
        <w:t>Articolo 3</w:t>
      </w:r>
    </w:p>
    <w:p w:rsidR="00B93281" w:rsidRPr="00212363" w:rsidRDefault="00B93281" w:rsidP="00B93281">
      <w:pPr>
        <w:rPr>
          <w:rFonts w:cs="Arial"/>
          <w:szCs w:val="24"/>
        </w:rPr>
      </w:pPr>
      <w:r w:rsidRPr="00212363">
        <w:rPr>
          <w:rFonts w:cs="Arial"/>
          <w:szCs w:val="24"/>
        </w:rPr>
        <w:t>Il Consiglio di Stato è incaricato di stipulare con la Fondazione la convenzione di sussidiamento per le attività svolte dalla Fondazione nel periodo 2020-2023.</w:t>
      </w:r>
    </w:p>
    <w:p w:rsidR="00B93281" w:rsidRDefault="00B93281" w:rsidP="00B93281">
      <w:pPr>
        <w:rPr>
          <w:rFonts w:cs="Arial"/>
          <w:szCs w:val="24"/>
        </w:rPr>
      </w:pPr>
    </w:p>
    <w:p w:rsidR="00B93281" w:rsidRPr="00780A8E" w:rsidRDefault="00B93281" w:rsidP="00B93281">
      <w:pPr>
        <w:rPr>
          <w:rFonts w:cs="Arial"/>
          <w:szCs w:val="24"/>
        </w:rPr>
      </w:pPr>
    </w:p>
    <w:p w:rsidR="00B93281" w:rsidRPr="006255D4" w:rsidRDefault="00B93281" w:rsidP="00B93281">
      <w:pPr>
        <w:spacing w:after="120"/>
        <w:rPr>
          <w:rFonts w:cs="Arial"/>
          <w:b/>
          <w:szCs w:val="24"/>
          <w:u w:val="single"/>
        </w:rPr>
      </w:pPr>
      <w:r w:rsidRPr="006255D4">
        <w:rPr>
          <w:rFonts w:cs="Arial"/>
          <w:b/>
          <w:szCs w:val="24"/>
          <w:u w:val="single"/>
        </w:rPr>
        <w:t>Articolo 4</w:t>
      </w:r>
    </w:p>
    <w:p w:rsidR="00B93281" w:rsidRDefault="00B93281" w:rsidP="00B93281">
      <w:pPr>
        <w:pStyle w:val="NormaleWeb"/>
        <w:spacing w:before="0" w:beforeAutospacing="0" w:after="0" w:afterAutospacing="0"/>
        <w:jc w:val="both"/>
        <w:rPr>
          <w:rFonts w:ascii="Arial" w:hAnsi="Arial" w:cs="Arial"/>
        </w:rPr>
      </w:pPr>
      <w:r w:rsidRPr="00697E10">
        <w:rPr>
          <w:rFonts w:ascii="Arial" w:hAnsi="Arial" w:cs="Arial"/>
        </w:rPr>
        <w:t>Trascorsi i termini per l'esercizio del diritto di referendum</w:t>
      </w:r>
      <w:r w:rsidRPr="00212363">
        <w:rPr>
          <w:rFonts w:ascii="Arial" w:hAnsi="Arial" w:cs="Arial"/>
        </w:rPr>
        <w:t>, il presente decreto legislativo è pubblicato nel Bollettino ufficiale delle leggi ed entra immediatamente in vigore.</w:t>
      </w:r>
    </w:p>
    <w:p w:rsidR="00B93281" w:rsidRDefault="00B93281" w:rsidP="00B93281">
      <w:pPr>
        <w:pStyle w:val="NormaleWeb"/>
        <w:spacing w:before="0" w:beforeAutospacing="0" w:after="0" w:afterAutospacing="0"/>
        <w:jc w:val="both"/>
        <w:rPr>
          <w:rFonts w:ascii="Arial" w:hAnsi="Arial" w:cs="Arial"/>
        </w:rPr>
      </w:pPr>
    </w:p>
    <w:p w:rsidR="00B93281" w:rsidRDefault="00B93281">
      <w:r>
        <w:br w:type="page"/>
      </w:r>
    </w:p>
    <w:p w:rsidR="002E22F1" w:rsidRPr="009B5425" w:rsidRDefault="002E22F1" w:rsidP="002E22F1">
      <w:r w:rsidRPr="009B5425">
        <w:lastRenderedPageBreak/>
        <w:t>Disegno di</w:t>
      </w:r>
    </w:p>
    <w:p w:rsidR="002E22F1" w:rsidRPr="009B5425" w:rsidRDefault="002E22F1" w:rsidP="002E22F1">
      <w:pPr>
        <w:rPr>
          <w:szCs w:val="24"/>
        </w:rPr>
      </w:pPr>
    </w:p>
    <w:p w:rsidR="002E22F1" w:rsidRPr="00B93281" w:rsidRDefault="002E22F1" w:rsidP="00B93281">
      <w:pPr>
        <w:spacing w:before="120" w:after="120"/>
        <w:rPr>
          <w:b/>
          <w:caps/>
        </w:rPr>
      </w:pPr>
      <w:bookmarkStart w:id="36" w:name="_Toc517770574"/>
      <w:bookmarkStart w:id="37" w:name="_Toc18585589"/>
      <w:bookmarkStart w:id="38" w:name="_Toc20472790"/>
      <w:r w:rsidRPr="00B93281">
        <w:rPr>
          <w:b/>
        </w:rPr>
        <w:t xml:space="preserve">LEGGE </w:t>
      </w:r>
    </w:p>
    <w:p w:rsidR="002E22F1" w:rsidRPr="00B93281" w:rsidRDefault="002E22F1" w:rsidP="00B93281">
      <w:pPr>
        <w:rPr>
          <w:b/>
          <w:caps/>
        </w:rPr>
      </w:pPr>
      <w:r w:rsidRPr="00B93281">
        <w:rPr>
          <w:b/>
        </w:rPr>
        <w:t>d’applicazione della legge federale sulla politica regionale del 22 giugno 2009</w:t>
      </w:r>
      <w:bookmarkEnd w:id="36"/>
      <w:bookmarkEnd w:id="37"/>
      <w:bookmarkEnd w:id="38"/>
      <w:r w:rsidRPr="00B93281">
        <w:rPr>
          <w:b/>
        </w:rPr>
        <w:t>; modifica</w:t>
      </w:r>
    </w:p>
    <w:p w:rsidR="002E22F1" w:rsidRPr="009D0963" w:rsidRDefault="002E22F1" w:rsidP="002E22F1">
      <w:pPr>
        <w:rPr>
          <w:bCs/>
          <w:szCs w:val="24"/>
        </w:rPr>
      </w:pPr>
    </w:p>
    <w:p w:rsidR="002E22F1" w:rsidRPr="00247566" w:rsidRDefault="002E22F1" w:rsidP="002E22F1">
      <w:pPr>
        <w:jc w:val="left"/>
        <w:rPr>
          <w:rFonts w:cs="Arial"/>
          <w:bCs/>
          <w:szCs w:val="24"/>
        </w:rPr>
      </w:pPr>
      <w:r>
        <w:rPr>
          <w:rFonts w:cs="Arial"/>
          <w:bCs/>
          <w:szCs w:val="24"/>
        </w:rPr>
        <w:t>IL GRAN CONSIGLIO</w:t>
      </w:r>
    </w:p>
    <w:p w:rsidR="002E22F1" w:rsidRPr="00247566" w:rsidRDefault="002E22F1" w:rsidP="002E22F1">
      <w:pPr>
        <w:jc w:val="left"/>
        <w:rPr>
          <w:rFonts w:cs="Arial"/>
          <w:bCs/>
          <w:szCs w:val="24"/>
        </w:rPr>
      </w:pPr>
      <w:r>
        <w:rPr>
          <w:rFonts w:cs="Arial"/>
          <w:bCs/>
          <w:szCs w:val="24"/>
        </w:rPr>
        <w:t>DELLA REPUBBLICA E CANTONE TICINO</w:t>
      </w:r>
    </w:p>
    <w:p w:rsidR="002E22F1" w:rsidRPr="009509DF" w:rsidRDefault="002E22F1" w:rsidP="002E22F1">
      <w:pPr>
        <w:pStyle w:val="Art"/>
        <w:ind w:left="0"/>
        <w:rPr>
          <w:rFonts w:cs="Arial"/>
          <w:noProof w:val="0"/>
          <w:sz w:val="24"/>
          <w:szCs w:val="24"/>
        </w:rPr>
      </w:pPr>
    </w:p>
    <w:p w:rsidR="002E22F1" w:rsidRPr="009509DF" w:rsidRDefault="002E22F1" w:rsidP="002E22F1">
      <w:pPr>
        <w:pStyle w:val="NormaleWeb"/>
        <w:tabs>
          <w:tab w:val="left" w:pos="3686"/>
          <w:tab w:val="left" w:pos="4820"/>
        </w:tabs>
        <w:spacing w:before="0" w:beforeAutospacing="0" w:after="0" w:afterAutospacing="0"/>
        <w:rPr>
          <w:rFonts w:ascii="Arial" w:hAnsi="Arial" w:cs="Arial"/>
        </w:rPr>
      </w:pPr>
      <w:r w:rsidRPr="009509DF">
        <w:rPr>
          <w:rFonts w:ascii="Arial" w:hAnsi="Arial" w:cs="Arial"/>
        </w:rPr>
        <w:t xml:space="preserve">visto il messaggio </w:t>
      </w:r>
      <w:r>
        <w:rPr>
          <w:rFonts w:ascii="Arial" w:hAnsi="Arial" w:cs="Arial"/>
        </w:rPr>
        <w:t>16 ottobre 2019 n. 7725</w:t>
      </w:r>
      <w:r w:rsidRPr="009509DF">
        <w:rPr>
          <w:rFonts w:ascii="Arial" w:hAnsi="Arial" w:cs="Arial"/>
        </w:rPr>
        <w:t xml:space="preserve"> del Consiglio di Stato,</w:t>
      </w:r>
    </w:p>
    <w:p w:rsidR="002E22F1" w:rsidRPr="005A5012" w:rsidRDefault="002E22F1" w:rsidP="002E22F1">
      <w:pPr>
        <w:tabs>
          <w:tab w:val="left" w:pos="851"/>
        </w:tabs>
        <w:rPr>
          <w:rFonts w:cs="Arial"/>
          <w:sz w:val="20"/>
        </w:rPr>
      </w:pPr>
    </w:p>
    <w:p w:rsidR="002E22F1" w:rsidRPr="005A5012" w:rsidRDefault="002E22F1" w:rsidP="002E22F1">
      <w:pPr>
        <w:tabs>
          <w:tab w:val="left" w:pos="851"/>
        </w:tabs>
        <w:rPr>
          <w:rFonts w:cs="Arial"/>
          <w:sz w:val="20"/>
        </w:rPr>
      </w:pPr>
    </w:p>
    <w:p w:rsidR="002E22F1" w:rsidRPr="00F9064B" w:rsidRDefault="002E22F1" w:rsidP="002E22F1">
      <w:pPr>
        <w:pStyle w:val="NormaleWeb"/>
        <w:spacing w:before="0" w:beforeAutospacing="0" w:after="0" w:afterAutospacing="0"/>
        <w:rPr>
          <w:rFonts w:ascii="Arial" w:hAnsi="Arial" w:cs="Arial"/>
          <w:b/>
          <w:bCs/>
        </w:rPr>
      </w:pPr>
      <w:r w:rsidRPr="00F9064B">
        <w:rPr>
          <w:rFonts w:ascii="Arial" w:hAnsi="Arial" w:cs="Arial"/>
          <w:b/>
          <w:bCs/>
        </w:rPr>
        <w:t>d e c r e t a :</w:t>
      </w:r>
    </w:p>
    <w:p w:rsidR="002E22F1" w:rsidRPr="005A5012" w:rsidRDefault="002E22F1" w:rsidP="002E22F1">
      <w:pPr>
        <w:tabs>
          <w:tab w:val="left" w:pos="851"/>
        </w:tabs>
        <w:rPr>
          <w:rFonts w:cs="Arial"/>
          <w:sz w:val="20"/>
        </w:rPr>
      </w:pPr>
    </w:p>
    <w:p w:rsidR="002E22F1" w:rsidRPr="005A5012" w:rsidRDefault="002E22F1" w:rsidP="002E22F1">
      <w:pPr>
        <w:tabs>
          <w:tab w:val="left" w:pos="851"/>
        </w:tabs>
        <w:rPr>
          <w:rFonts w:cs="Arial"/>
          <w:sz w:val="20"/>
        </w:rPr>
      </w:pPr>
    </w:p>
    <w:p w:rsidR="002E22F1" w:rsidRPr="00FF32E0" w:rsidRDefault="002E22F1" w:rsidP="002E22F1">
      <w:pPr>
        <w:rPr>
          <w:b/>
        </w:rPr>
      </w:pPr>
      <w:r w:rsidRPr="00FF32E0">
        <w:rPr>
          <w:b/>
        </w:rPr>
        <w:t>I</w:t>
      </w:r>
    </w:p>
    <w:p w:rsidR="002E22F1" w:rsidRDefault="002E22F1" w:rsidP="002E22F1">
      <w:pPr>
        <w:spacing w:before="120"/>
      </w:pPr>
      <w:r w:rsidRPr="00D87396">
        <w:t xml:space="preserve">La </w:t>
      </w:r>
      <w:r>
        <w:t>l</w:t>
      </w:r>
      <w:r w:rsidRPr="00D87396">
        <w:t xml:space="preserve">egge </w:t>
      </w:r>
      <w:r>
        <w:t xml:space="preserve">d’applicazione della legge federale sulla politica regionale </w:t>
      </w:r>
      <w:r w:rsidRPr="00D87396">
        <w:t xml:space="preserve">del </w:t>
      </w:r>
      <w:r>
        <w:t xml:space="preserve">22 giugno 2009 </w:t>
      </w:r>
      <w:r w:rsidRPr="00D87396">
        <w:t>è così modificata:</w:t>
      </w:r>
    </w:p>
    <w:p w:rsidR="002E22F1" w:rsidRPr="00D87396" w:rsidRDefault="002E22F1" w:rsidP="002E22F1"/>
    <w:tbl>
      <w:tblPr>
        <w:tblW w:w="0" w:type="auto"/>
        <w:tblLayout w:type="fixed"/>
        <w:tblCellMar>
          <w:left w:w="70" w:type="dxa"/>
          <w:right w:w="70" w:type="dxa"/>
        </w:tblCellMar>
        <w:tblLook w:val="0000" w:firstRow="0" w:lastRow="0" w:firstColumn="0" w:lastColumn="0" w:noHBand="0" w:noVBand="0"/>
      </w:tblPr>
      <w:tblGrid>
        <w:gridCol w:w="2263"/>
        <w:gridCol w:w="7237"/>
      </w:tblGrid>
      <w:tr w:rsidR="002E22F1" w:rsidRPr="00212363" w:rsidTr="00B93281">
        <w:tc>
          <w:tcPr>
            <w:tcW w:w="2263" w:type="dxa"/>
          </w:tcPr>
          <w:p w:rsidR="002E22F1" w:rsidRPr="00E86885" w:rsidRDefault="002E22F1" w:rsidP="00B93281">
            <w:pPr>
              <w:jc w:val="left"/>
              <w:rPr>
                <w:sz w:val="22"/>
              </w:rPr>
            </w:pPr>
          </w:p>
          <w:p w:rsidR="002E22F1" w:rsidRPr="00E86885" w:rsidRDefault="002E22F1" w:rsidP="00B93281">
            <w:pPr>
              <w:jc w:val="left"/>
              <w:rPr>
                <w:sz w:val="22"/>
              </w:rPr>
            </w:pPr>
          </w:p>
          <w:p w:rsidR="002E22F1" w:rsidRPr="00F9064B" w:rsidRDefault="002E22F1" w:rsidP="00B93281">
            <w:pPr>
              <w:jc w:val="left"/>
              <w:rPr>
                <w:b/>
                <w:sz w:val="20"/>
              </w:rPr>
            </w:pPr>
            <w:r w:rsidRPr="00F9064B">
              <w:rPr>
                <w:b/>
                <w:sz w:val="20"/>
              </w:rPr>
              <w:t>Programma d’attuazione della politica economica regionale e Convenzione di programma</w:t>
            </w:r>
          </w:p>
        </w:tc>
        <w:tc>
          <w:tcPr>
            <w:tcW w:w="7237" w:type="dxa"/>
          </w:tcPr>
          <w:p w:rsidR="002E22F1" w:rsidRDefault="002E22F1" w:rsidP="00B93281">
            <w:pPr>
              <w:rPr>
                <w:b/>
                <w:sz w:val="22"/>
              </w:rPr>
            </w:pPr>
            <w:r w:rsidRPr="00F9064B">
              <w:rPr>
                <w:b/>
                <w:sz w:val="22"/>
              </w:rPr>
              <w:t>Art. 3</w:t>
            </w:r>
          </w:p>
          <w:p w:rsidR="002E22F1" w:rsidRPr="005A5012" w:rsidRDefault="002E22F1" w:rsidP="00B93281">
            <w:pPr>
              <w:rPr>
                <w:sz w:val="18"/>
                <w:szCs w:val="18"/>
              </w:rPr>
            </w:pPr>
          </w:p>
          <w:p w:rsidR="002E22F1" w:rsidRDefault="002E22F1" w:rsidP="00B93281">
            <w:pPr>
              <w:rPr>
                <w:sz w:val="22"/>
              </w:rPr>
            </w:pPr>
            <w:r w:rsidRPr="00F9064B">
              <w:rPr>
                <w:sz w:val="22"/>
              </w:rPr>
              <w:t>Il programma d’attuazione della politica economica regionale e la Convenzione di programma definiscono i contenuti, le priorità, le strategie e l’impegno finanziario del Cantone e della Confederazione in materia di politica regionale.</w:t>
            </w:r>
          </w:p>
          <w:p w:rsidR="002E22F1" w:rsidRPr="005A5012" w:rsidRDefault="002E22F1" w:rsidP="00B93281">
            <w:pPr>
              <w:rPr>
                <w:sz w:val="18"/>
                <w:szCs w:val="18"/>
              </w:rPr>
            </w:pPr>
          </w:p>
          <w:p w:rsidR="002E22F1" w:rsidRPr="00F9064B" w:rsidRDefault="002E22F1" w:rsidP="00B93281">
            <w:pPr>
              <w:rPr>
                <w:sz w:val="22"/>
              </w:rPr>
            </w:pPr>
          </w:p>
        </w:tc>
      </w:tr>
      <w:tr w:rsidR="002E22F1" w:rsidRPr="00212363" w:rsidTr="00B93281">
        <w:tc>
          <w:tcPr>
            <w:tcW w:w="2263" w:type="dxa"/>
          </w:tcPr>
          <w:p w:rsidR="002E22F1" w:rsidRPr="00F9064B" w:rsidRDefault="002E22F1" w:rsidP="00B93281">
            <w:pPr>
              <w:jc w:val="left"/>
              <w:rPr>
                <w:b/>
                <w:sz w:val="20"/>
              </w:rPr>
            </w:pPr>
          </w:p>
        </w:tc>
        <w:tc>
          <w:tcPr>
            <w:tcW w:w="7237" w:type="dxa"/>
          </w:tcPr>
          <w:p w:rsidR="002E22F1" w:rsidRDefault="002E22F1" w:rsidP="00B93281">
            <w:pPr>
              <w:rPr>
                <w:b/>
                <w:sz w:val="22"/>
              </w:rPr>
            </w:pPr>
            <w:r w:rsidRPr="00F9064B">
              <w:rPr>
                <w:b/>
                <w:sz w:val="22"/>
              </w:rPr>
              <w:t xml:space="preserve">Art. 4 cpv. 2 </w:t>
            </w:r>
            <w:proofErr w:type="spellStart"/>
            <w:r w:rsidRPr="00F9064B">
              <w:rPr>
                <w:b/>
                <w:sz w:val="22"/>
              </w:rPr>
              <w:t>lett</w:t>
            </w:r>
            <w:proofErr w:type="spellEnd"/>
            <w:r w:rsidRPr="00F9064B">
              <w:rPr>
                <w:b/>
                <w:sz w:val="22"/>
              </w:rPr>
              <w:t>. g)</w:t>
            </w:r>
          </w:p>
          <w:p w:rsidR="002E22F1" w:rsidRPr="005A5012" w:rsidRDefault="002E22F1" w:rsidP="00B93281">
            <w:pPr>
              <w:rPr>
                <w:sz w:val="18"/>
                <w:szCs w:val="18"/>
              </w:rPr>
            </w:pPr>
          </w:p>
          <w:p w:rsidR="002E22F1" w:rsidRDefault="002E22F1" w:rsidP="00B93281">
            <w:pPr>
              <w:tabs>
                <w:tab w:val="left" w:pos="289"/>
              </w:tabs>
              <w:ind w:left="289" w:hanging="289"/>
              <w:rPr>
                <w:rFonts w:cs="Arial"/>
                <w:color w:val="000000"/>
                <w:sz w:val="22"/>
                <w:shd w:val="clear" w:color="auto" w:fill="FFFFFF"/>
              </w:rPr>
            </w:pPr>
            <w:r>
              <w:rPr>
                <w:rFonts w:cs="Arial"/>
                <w:color w:val="000000"/>
                <w:sz w:val="22"/>
                <w:shd w:val="clear" w:color="auto" w:fill="FFFFFF"/>
              </w:rPr>
              <w:t>g)</w:t>
            </w:r>
            <w:r>
              <w:rPr>
                <w:rFonts w:cs="Arial"/>
                <w:color w:val="000000"/>
                <w:sz w:val="22"/>
                <w:shd w:val="clear" w:color="auto" w:fill="FFFFFF"/>
              </w:rPr>
              <w:tab/>
            </w:r>
            <w:r w:rsidRPr="00F9064B">
              <w:rPr>
                <w:rFonts w:cs="Arial"/>
                <w:color w:val="000000"/>
                <w:sz w:val="22"/>
                <w:shd w:val="clear" w:color="auto" w:fill="FFFFFF"/>
              </w:rPr>
              <w:t>adottare misure che consistono nel contribuire al finanziamento degli Enti regionali per lo sviluppo e alle piattaforme tematiche, nel concedere sussidi e nell’aggiudicare commesse pubbliche;</w:t>
            </w:r>
          </w:p>
          <w:p w:rsidR="002E22F1" w:rsidRPr="005A5012" w:rsidRDefault="002E22F1" w:rsidP="00B93281">
            <w:pPr>
              <w:rPr>
                <w:sz w:val="18"/>
                <w:szCs w:val="18"/>
              </w:rPr>
            </w:pPr>
          </w:p>
          <w:p w:rsidR="002E22F1" w:rsidRPr="00F9064B" w:rsidRDefault="002E22F1" w:rsidP="00B93281">
            <w:pPr>
              <w:rPr>
                <w:b/>
                <w:sz w:val="22"/>
              </w:rPr>
            </w:pPr>
          </w:p>
        </w:tc>
      </w:tr>
      <w:tr w:rsidR="002E22F1" w:rsidRPr="00212363" w:rsidTr="00B93281">
        <w:tc>
          <w:tcPr>
            <w:tcW w:w="2263" w:type="dxa"/>
          </w:tcPr>
          <w:p w:rsidR="002E22F1" w:rsidRPr="00F9064B" w:rsidRDefault="002E22F1" w:rsidP="00B93281">
            <w:pPr>
              <w:jc w:val="left"/>
              <w:rPr>
                <w:b/>
                <w:sz w:val="20"/>
              </w:rPr>
            </w:pPr>
          </w:p>
        </w:tc>
        <w:tc>
          <w:tcPr>
            <w:tcW w:w="7237" w:type="dxa"/>
          </w:tcPr>
          <w:p w:rsidR="002E22F1" w:rsidRDefault="002E22F1" w:rsidP="00B93281">
            <w:pPr>
              <w:rPr>
                <w:b/>
                <w:sz w:val="22"/>
              </w:rPr>
            </w:pPr>
            <w:r w:rsidRPr="00F9064B">
              <w:rPr>
                <w:b/>
                <w:sz w:val="22"/>
              </w:rPr>
              <w:t xml:space="preserve">Art. 7 cpv. 2 </w:t>
            </w:r>
            <w:proofErr w:type="spellStart"/>
            <w:r w:rsidRPr="00F9064B">
              <w:rPr>
                <w:b/>
                <w:sz w:val="22"/>
              </w:rPr>
              <w:t>lett</w:t>
            </w:r>
            <w:proofErr w:type="spellEnd"/>
            <w:r w:rsidRPr="00F9064B">
              <w:rPr>
                <w:b/>
                <w:sz w:val="22"/>
              </w:rPr>
              <w:t>. a)</w:t>
            </w:r>
          </w:p>
          <w:p w:rsidR="002E22F1" w:rsidRPr="005A5012" w:rsidRDefault="002E22F1" w:rsidP="00B93281">
            <w:pPr>
              <w:rPr>
                <w:sz w:val="18"/>
                <w:szCs w:val="18"/>
              </w:rPr>
            </w:pPr>
          </w:p>
          <w:p w:rsidR="002E22F1" w:rsidRPr="005A5012" w:rsidRDefault="002E22F1" w:rsidP="002E22F1">
            <w:pPr>
              <w:pStyle w:val="Paragrafoelenco"/>
              <w:numPr>
                <w:ilvl w:val="0"/>
                <w:numId w:val="16"/>
              </w:numPr>
              <w:ind w:left="289" w:hanging="284"/>
              <w:contextualSpacing/>
              <w:rPr>
                <w:sz w:val="22"/>
              </w:rPr>
            </w:pPr>
            <w:r w:rsidRPr="005A5012">
              <w:rPr>
                <w:sz w:val="22"/>
              </w:rPr>
              <w:t>contribuire operativamente al raggiungimento degli obiettivi del programma d’attuazione della politica economica regionale e della Convenzione di programma;</w:t>
            </w:r>
          </w:p>
          <w:p w:rsidR="002E22F1" w:rsidRPr="005A5012" w:rsidRDefault="002E22F1" w:rsidP="00B93281">
            <w:pPr>
              <w:rPr>
                <w:sz w:val="18"/>
                <w:szCs w:val="18"/>
              </w:rPr>
            </w:pPr>
          </w:p>
          <w:p w:rsidR="002E22F1" w:rsidRPr="005A5012" w:rsidRDefault="002E22F1" w:rsidP="00B93281">
            <w:pPr>
              <w:rPr>
                <w:b/>
                <w:sz w:val="22"/>
              </w:rPr>
            </w:pPr>
          </w:p>
        </w:tc>
      </w:tr>
      <w:tr w:rsidR="002E22F1" w:rsidRPr="00212363" w:rsidTr="00B93281">
        <w:tc>
          <w:tcPr>
            <w:tcW w:w="2263" w:type="dxa"/>
          </w:tcPr>
          <w:p w:rsidR="002E22F1" w:rsidRPr="00F9064B" w:rsidRDefault="002E22F1" w:rsidP="00B93281">
            <w:pPr>
              <w:jc w:val="left"/>
              <w:rPr>
                <w:b/>
                <w:sz w:val="20"/>
              </w:rPr>
            </w:pPr>
          </w:p>
          <w:p w:rsidR="002E22F1" w:rsidRPr="00F9064B" w:rsidRDefault="002E22F1" w:rsidP="00B93281">
            <w:pPr>
              <w:jc w:val="left"/>
              <w:rPr>
                <w:b/>
                <w:sz w:val="20"/>
              </w:rPr>
            </w:pPr>
          </w:p>
        </w:tc>
        <w:tc>
          <w:tcPr>
            <w:tcW w:w="7237" w:type="dxa"/>
          </w:tcPr>
          <w:p w:rsidR="002E22F1" w:rsidRDefault="002E22F1" w:rsidP="00B93281">
            <w:pPr>
              <w:rPr>
                <w:b/>
                <w:sz w:val="22"/>
              </w:rPr>
            </w:pPr>
            <w:r w:rsidRPr="00F9064B">
              <w:rPr>
                <w:b/>
                <w:sz w:val="22"/>
              </w:rPr>
              <w:t>Art. 10 cpv. 2</w:t>
            </w:r>
          </w:p>
          <w:p w:rsidR="002E22F1" w:rsidRPr="005A5012" w:rsidRDefault="002E22F1" w:rsidP="00B93281">
            <w:pPr>
              <w:rPr>
                <w:sz w:val="18"/>
                <w:szCs w:val="18"/>
              </w:rPr>
            </w:pPr>
          </w:p>
          <w:p w:rsidR="002E22F1" w:rsidRPr="00F9064B" w:rsidRDefault="002E22F1" w:rsidP="00B93281">
            <w:pPr>
              <w:rPr>
                <w:rFonts w:cs="Arial"/>
                <w:color w:val="000000"/>
                <w:sz w:val="22"/>
              </w:rPr>
            </w:pPr>
            <w:r w:rsidRPr="00F9064B">
              <w:rPr>
                <w:rFonts w:cs="Arial"/>
                <w:color w:val="000000"/>
                <w:position w:val="4"/>
                <w:sz w:val="22"/>
                <w:vertAlign w:val="superscript"/>
              </w:rPr>
              <w:t>2</w:t>
            </w:r>
            <w:r w:rsidRPr="00F9064B">
              <w:rPr>
                <w:rFonts w:cs="Arial"/>
                <w:color w:val="000000"/>
                <w:sz w:val="22"/>
              </w:rPr>
              <w:t>Essa ha il compito di esprimere un preavviso sulla concessione dei sussidi.</w:t>
            </w:r>
          </w:p>
          <w:p w:rsidR="002E22F1" w:rsidRPr="005A5012" w:rsidRDefault="002E22F1" w:rsidP="00B93281">
            <w:pPr>
              <w:rPr>
                <w:rFonts w:cs="Arial"/>
                <w:color w:val="000000"/>
                <w:sz w:val="18"/>
                <w:szCs w:val="18"/>
              </w:rPr>
            </w:pPr>
          </w:p>
          <w:p w:rsidR="002E22F1" w:rsidRPr="00F9064B" w:rsidRDefault="002E22F1" w:rsidP="00B93281">
            <w:pPr>
              <w:rPr>
                <w:rFonts w:cs="Arial"/>
                <w:color w:val="000000"/>
                <w:sz w:val="22"/>
              </w:rPr>
            </w:pPr>
          </w:p>
        </w:tc>
      </w:tr>
      <w:tr w:rsidR="002E22F1" w:rsidRPr="00212363" w:rsidTr="00B93281">
        <w:tc>
          <w:tcPr>
            <w:tcW w:w="2263" w:type="dxa"/>
          </w:tcPr>
          <w:p w:rsidR="002E22F1" w:rsidRPr="00E86885" w:rsidRDefault="002E22F1" w:rsidP="00B93281">
            <w:pPr>
              <w:jc w:val="left"/>
              <w:rPr>
                <w:sz w:val="22"/>
              </w:rPr>
            </w:pPr>
          </w:p>
          <w:p w:rsidR="002E22F1" w:rsidRPr="00E86885" w:rsidRDefault="002E22F1" w:rsidP="00B93281">
            <w:pPr>
              <w:jc w:val="left"/>
              <w:rPr>
                <w:sz w:val="22"/>
              </w:rPr>
            </w:pPr>
          </w:p>
          <w:p w:rsidR="002E22F1" w:rsidRPr="00F9064B" w:rsidRDefault="002E22F1" w:rsidP="00B93281">
            <w:pPr>
              <w:jc w:val="left"/>
              <w:rPr>
                <w:b/>
                <w:sz w:val="20"/>
              </w:rPr>
            </w:pPr>
            <w:r w:rsidRPr="00F9064B">
              <w:rPr>
                <w:b/>
                <w:sz w:val="20"/>
              </w:rPr>
              <w:t>Principio</w:t>
            </w:r>
          </w:p>
        </w:tc>
        <w:tc>
          <w:tcPr>
            <w:tcW w:w="7237" w:type="dxa"/>
          </w:tcPr>
          <w:p w:rsidR="002E22F1" w:rsidRDefault="002E22F1" w:rsidP="00B93281">
            <w:pPr>
              <w:rPr>
                <w:b/>
                <w:sz w:val="22"/>
              </w:rPr>
            </w:pPr>
            <w:r w:rsidRPr="00F9064B">
              <w:rPr>
                <w:b/>
                <w:sz w:val="22"/>
              </w:rPr>
              <w:t>Art. 11</w:t>
            </w:r>
          </w:p>
          <w:p w:rsidR="002E22F1" w:rsidRPr="005A5012" w:rsidRDefault="002E22F1" w:rsidP="00B93281">
            <w:pPr>
              <w:rPr>
                <w:sz w:val="18"/>
                <w:szCs w:val="18"/>
              </w:rPr>
            </w:pPr>
          </w:p>
          <w:p w:rsidR="002E22F1" w:rsidRDefault="002E22F1" w:rsidP="00B93281">
            <w:pPr>
              <w:pStyle w:val="NormaleWeb"/>
              <w:shd w:val="clear" w:color="auto" w:fill="FFFFFF"/>
              <w:spacing w:before="0" w:beforeAutospacing="0" w:after="0" w:afterAutospacing="0"/>
              <w:ind w:right="187"/>
              <w:jc w:val="both"/>
              <w:rPr>
                <w:rFonts w:ascii="Arial" w:hAnsi="Arial" w:cs="Arial"/>
                <w:color w:val="000000"/>
                <w:sz w:val="22"/>
                <w:szCs w:val="22"/>
              </w:rPr>
            </w:pPr>
            <w:r w:rsidRPr="00F9064B">
              <w:rPr>
                <w:rFonts w:ascii="Arial" w:hAnsi="Arial" w:cs="Arial"/>
                <w:color w:val="000000"/>
                <w:position w:val="4"/>
                <w:sz w:val="22"/>
                <w:szCs w:val="22"/>
                <w:vertAlign w:val="superscript"/>
              </w:rPr>
              <w:t>1</w:t>
            </w:r>
            <w:r w:rsidRPr="00F9064B">
              <w:rPr>
                <w:rFonts w:ascii="Arial" w:hAnsi="Arial" w:cs="Arial"/>
                <w:color w:val="000000"/>
                <w:sz w:val="22"/>
                <w:szCs w:val="22"/>
              </w:rPr>
              <w:t>Le misure federali possono essere adottate unicamente per progetti conformi alla Convenzione di programma.</w:t>
            </w:r>
          </w:p>
          <w:p w:rsidR="002E22F1" w:rsidRPr="005A5012" w:rsidRDefault="002E22F1" w:rsidP="00B93281">
            <w:pPr>
              <w:pStyle w:val="NormaleWeb"/>
              <w:shd w:val="clear" w:color="auto" w:fill="FFFFFF"/>
              <w:spacing w:before="0" w:beforeAutospacing="0" w:after="0" w:afterAutospacing="0"/>
              <w:ind w:right="187"/>
              <w:jc w:val="both"/>
              <w:rPr>
                <w:rFonts w:ascii="Arial" w:hAnsi="Arial" w:cs="Arial"/>
                <w:color w:val="000000"/>
                <w:sz w:val="18"/>
                <w:szCs w:val="18"/>
              </w:rPr>
            </w:pPr>
          </w:p>
          <w:p w:rsidR="002E22F1" w:rsidRPr="00F9064B" w:rsidRDefault="002E22F1" w:rsidP="00B93281">
            <w:pPr>
              <w:pStyle w:val="NormaleWeb"/>
              <w:shd w:val="clear" w:color="auto" w:fill="FFFFFF"/>
              <w:spacing w:before="0" w:beforeAutospacing="0" w:after="0" w:afterAutospacing="0"/>
              <w:ind w:right="187"/>
              <w:jc w:val="both"/>
              <w:rPr>
                <w:rFonts w:ascii="Arial" w:hAnsi="Arial" w:cs="Arial"/>
                <w:color w:val="000000"/>
                <w:sz w:val="22"/>
                <w:szCs w:val="22"/>
              </w:rPr>
            </w:pPr>
            <w:r w:rsidRPr="00F9064B">
              <w:rPr>
                <w:rFonts w:ascii="Arial" w:hAnsi="Arial" w:cs="Arial"/>
                <w:color w:val="000000"/>
                <w:position w:val="4"/>
                <w:sz w:val="22"/>
                <w:szCs w:val="22"/>
                <w:vertAlign w:val="superscript"/>
              </w:rPr>
              <w:t>2</w:t>
            </w:r>
            <w:r w:rsidRPr="00F9064B">
              <w:rPr>
                <w:rFonts w:ascii="Arial" w:hAnsi="Arial" w:cs="Arial"/>
                <w:color w:val="000000"/>
                <w:sz w:val="22"/>
                <w:szCs w:val="22"/>
              </w:rPr>
              <w:t>Le misure cantonali possono essere adottate per progetti conformi al programma d’attuazione della politica economica regionale o alla Convenzione di programma e devono essere almeno equivalenti agli aiuti federali.</w:t>
            </w:r>
          </w:p>
        </w:tc>
      </w:tr>
      <w:tr w:rsidR="002E22F1" w:rsidRPr="00212363" w:rsidTr="00B93281">
        <w:tc>
          <w:tcPr>
            <w:tcW w:w="2263" w:type="dxa"/>
          </w:tcPr>
          <w:p w:rsidR="002E22F1" w:rsidRPr="00E86885" w:rsidRDefault="002E22F1" w:rsidP="00B93281">
            <w:pPr>
              <w:jc w:val="left"/>
              <w:rPr>
                <w:sz w:val="22"/>
              </w:rPr>
            </w:pPr>
          </w:p>
          <w:p w:rsidR="002E22F1" w:rsidRPr="00E86885" w:rsidRDefault="002E22F1" w:rsidP="00B93281">
            <w:pPr>
              <w:jc w:val="left"/>
              <w:rPr>
                <w:sz w:val="22"/>
              </w:rPr>
            </w:pPr>
          </w:p>
          <w:p w:rsidR="002E22F1" w:rsidRPr="00F9064B" w:rsidRDefault="002E22F1" w:rsidP="00B93281">
            <w:pPr>
              <w:jc w:val="left"/>
              <w:rPr>
                <w:b/>
                <w:sz w:val="20"/>
              </w:rPr>
            </w:pPr>
            <w:r w:rsidRPr="00F9064B">
              <w:rPr>
                <w:b/>
                <w:sz w:val="20"/>
              </w:rPr>
              <w:t>Sussidi agli Enti regionali per lo sviluppo</w:t>
            </w:r>
          </w:p>
        </w:tc>
        <w:tc>
          <w:tcPr>
            <w:tcW w:w="7237" w:type="dxa"/>
          </w:tcPr>
          <w:p w:rsidR="002E22F1" w:rsidRDefault="002E22F1" w:rsidP="00B93281">
            <w:pPr>
              <w:rPr>
                <w:b/>
                <w:sz w:val="22"/>
              </w:rPr>
            </w:pPr>
            <w:r w:rsidRPr="00F9064B">
              <w:rPr>
                <w:b/>
                <w:sz w:val="22"/>
              </w:rPr>
              <w:t>Art. 12</w:t>
            </w:r>
          </w:p>
          <w:p w:rsidR="002E22F1" w:rsidRPr="00F9064B" w:rsidRDefault="002E22F1" w:rsidP="00B93281">
            <w:pPr>
              <w:rPr>
                <w:b/>
                <w:sz w:val="22"/>
              </w:rPr>
            </w:pPr>
          </w:p>
          <w:p w:rsidR="002E22F1" w:rsidRDefault="002E22F1" w:rsidP="00B93281">
            <w:pPr>
              <w:rPr>
                <w:sz w:val="22"/>
              </w:rPr>
            </w:pPr>
            <w:r w:rsidRPr="00F9064B">
              <w:rPr>
                <w:sz w:val="22"/>
              </w:rPr>
              <w:t xml:space="preserve">Il Cantone concede, per il tramite di una convenzione di sussidiamento, agli ERS riconosciuti un sussidio per le spese dell’agenzia per lo sviluppo regionale relative allo svolgimento dei compiti attinenti alla presente legge. </w:t>
            </w:r>
          </w:p>
          <w:p w:rsidR="002E22F1" w:rsidRDefault="002E22F1" w:rsidP="00B93281">
            <w:pPr>
              <w:rPr>
                <w:sz w:val="22"/>
              </w:rPr>
            </w:pPr>
          </w:p>
          <w:p w:rsidR="002E22F1" w:rsidRPr="00F9064B" w:rsidRDefault="002E22F1" w:rsidP="00B93281">
            <w:pPr>
              <w:rPr>
                <w:b/>
                <w:sz w:val="22"/>
              </w:rPr>
            </w:pPr>
          </w:p>
        </w:tc>
      </w:tr>
      <w:tr w:rsidR="002E22F1" w:rsidRPr="00212363" w:rsidTr="00B93281">
        <w:tc>
          <w:tcPr>
            <w:tcW w:w="2263" w:type="dxa"/>
          </w:tcPr>
          <w:p w:rsidR="002E22F1" w:rsidRPr="00E86885" w:rsidRDefault="002E22F1" w:rsidP="00B93281">
            <w:pPr>
              <w:jc w:val="left"/>
              <w:rPr>
                <w:sz w:val="22"/>
              </w:rPr>
            </w:pPr>
          </w:p>
          <w:p w:rsidR="002E22F1" w:rsidRPr="00E86885" w:rsidRDefault="002E22F1" w:rsidP="00B93281">
            <w:pPr>
              <w:jc w:val="left"/>
              <w:rPr>
                <w:sz w:val="22"/>
              </w:rPr>
            </w:pPr>
          </w:p>
          <w:p w:rsidR="002E22F1" w:rsidRPr="00F9064B" w:rsidRDefault="002E22F1" w:rsidP="00B93281">
            <w:pPr>
              <w:jc w:val="left"/>
              <w:rPr>
                <w:b/>
                <w:sz w:val="20"/>
              </w:rPr>
            </w:pPr>
            <w:r w:rsidRPr="00F9064B">
              <w:rPr>
                <w:b/>
                <w:sz w:val="20"/>
              </w:rPr>
              <w:t>Sussidi alle piattaforme tematiche</w:t>
            </w:r>
          </w:p>
        </w:tc>
        <w:tc>
          <w:tcPr>
            <w:tcW w:w="7237" w:type="dxa"/>
          </w:tcPr>
          <w:p w:rsidR="002E22F1" w:rsidRDefault="002E22F1" w:rsidP="00B93281">
            <w:pPr>
              <w:rPr>
                <w:b/>
                <w:sz w:val="22"/>
              </w:rPr>
            </w:pPr>
            <w:r w:rsidRPr="00F9064B">
              <w:rPr>
                <w:b/>
                <w:sz w:val="22"/>
              </w:rPr>
              <w:t>Art. 13</w:t>
            </w:r>
          </w:p>
          <w:p w:rsidR="002E22F1" w:rsidRPr="005A5012" w:rsidRDefault="002E22F1" w:rsidP="00B93281">
            <w:pPr>
              <w:rPr>
                <w:sz w:val="22"/>
              </w:rPr>
            </w:pPr>
          </w:p>
          <w:p w:rsidR="002E22F1" w:rsidRDefault="002E22F1" w:rsidP="00B93281">
            <w:pPr>
              <w:rPr>
                <w:rFonts w:cs="Arial"/>
                <w:color w:val="000000"/>
                <w:sz w:val="22"/>
                <w:shd w:val="clear" w:color="auto" w:fill="FFFFFF"/>
              </w:rPr>
            </w:pPr>
            <w:r w:rsidRPr="00F9064B">
              <w:rPr>
                <w:sz w:val="22"/>
              </w:rPr>
              <w:t>Il Cantone può concedere alle piattaforme tematiche sussidi in base ad un contratto di prestazione o a un mandato specifico</w:t>
            </w:r>
            <w:r w:rsidRPr="00F9064B">
              <w:rPr>
                <w:rFonts w:cs="Arial"/>
                <w:color w:val="000000"/>
                <w:sz w:val="22"/>
                <w:shd w:val="clear" w:color="auto" w:fill="FFFFFF"/>
              </w:rPr>
              <w:t>.</w:t>
            </w:r>
          </w:p>
          <w:p w:rsidR="002E22F1" w:rsidRDefault="002E22F1" w:rsidP="00B93281">
            <w:pPr>
              <w:rPr>
                <w:rFonts w:cs="Arial"/>
                <w:color w:val="000000"/>
                <w:sz w:val="22"/>
                <w:shd w:val="clear" w:color="auto" w:fill="FFFFFF"/>
              </w:rPr>
            </w:pPr>
          </w:p>
          <w:p w:rsidR="002E22F1" w:rsidRPr="00F9064B" w:rsidRDefault="002E22F1" w:rsidP="00B93281">
            <w:pPr>
              <w:rPr>
                <w:b/>
                <w:sz w:val="22"/>
              </w:rPr>
            </w:pPr>
          </w:p>
        </w:tc>
      </w:tr>
      <w:tr w:rsidR="002E22F1" w:rsidRPr="00212363" w:rsidTr="00B93281">
        <w:tc>
          <w:tcPr>
            <w:tcW w:w="2263" w:type="dxa"/>
          </w:tcPr>
          <w:p w:rsidR="002E22F1" w:rsidRPr="00E86885" w:rsidRDefault="002E22F1" w:rsidP="00B93281">
            <w:pPr>
              <w:jc w:val="left"/>
              <w:rPr>
                <w:sz w:val="22"/>
              </w:rPr>
            </w:pPr>
          </w:p>
          <w:p w:rsidR="002E22F1" w:rsidRPr="00E86885" w:rsidRDefault="002E22F1" w:rsidP="00B93281">
            <w:pPr>
              <w:jc w:val="left"/>
              <w:rPr>
                <w:sz w:val="22"/>
              </w:rPr>
            </w:pPr>
          </w:p>
          <w:p w:rsidR="002E22F1" w:rsidRPr="00F9064B" w:rsidRDefault="002E22F1" w:rsidP="00B93281">
            <w:pPr>
              <w:jc w:val="left"/>
              <w:rPr>
                <w:b/>
                <w:sz w:val="20"/>
              </w:rPr>
            </w:pPr>
            <w:r w:rsidRPr="00F9064B">
              <w:rPr>
                <w:b/>
                <w:sz w:val="20"/>
              </w:rPr>
              <w:t>Sostegno a progetti</w:t>
            </w:r>
          </w:p>
        </w:tc>
        <w:tc>
          <w:tcPr>
            <w:tcW w:w="7237" w:type="dxa"/>
          </w:tcPr>
          <w:p w:rsidR="002E22F1" w:rsidRDefault="002E22F1" w:rsidP="00B93281">
            <w:pPr>
              <w:rPr>
                <w:b/>
                <w:sz w:val="22"/>
              </w:rPr>
            </w:pPr>
            <w:r w:rsidRPr="00F9064B">
              <w:rPr>
                <w:b/>
                <w:sz w:val="22"/>
              </w:rPr>
              <w:t>Art. 14</w:t>
            </w:r>
          </w:p>
          <w:p w:rsidR="002E22F1" w:rsidRPr="00F9064B" w:rsidRDefault="002E22F1" w:rsidP="00B93281">
            <w:pPr>
              <w:rPr>
                <w:b/>
                <w:sz w:val="22"/>
              </w:rPr>
            </w:pPr>
          </w:p>
          <w:p w:rsidR="002E22F1" w:rsidRPr="00F9064B" w:rsidRDefault="002E22F1" w:rsidP="00B93281">
            <w:pPr>
              <w:pStyle w:val="NormaleWeb"/>
              <w:shd w:val="clear" w:color="auto" w:fill="FFFFFF"/>
              <w:spacing w:before="0" w:beforeAutospacing="0" w:after="0" w:afterAutospacing="0"/>
              <w:ind w:right="187"/>
              <w:jc w:val="both"/>
              <w:rPr>
                <w:rFonts w:ascii="Arial" w:hAnsi="Arial" w:cs="Arial"/>
                <w:color w:val="000000"/>
                <w:sz w:val="22"/>
                <w:szCs w:val="22"/>
              </w:rPr>
            </w:pPr>
            <w:r w:rsidRPr="00F9064B">
              <w:rPr>
                <w:rFonts w:ascii="Arial" w:hAnsi="Arial" w:cs="Arial"/>
                <w:color w:val="000000"/>
                <w:position w:val="4"/>
                <w:sz w:val="22"/>
                <w:szCs w:val="22"/>
                <w:vertAlign w:val="superscript"/>
              </w:rPr>
              <w:t>1</w:t>
            </w:r>
            <w:r w:rsidRPr="00F9064B">
              <w:rPr>
                <w:rFonts w:ascii="Arial" w:hAnsi="Arial" w:cs="Arial"/>
                <w:color w:val="000000"/>
                <w:sz w:val="22"/>
                <w:szCs w:val="22"/>
              </w:rPr>
              <w:t>Le misure possono essere adottate per preparare, eseguire e valutare progetti o programmi che:</w:t>
            </w:r>
          </w:p>
          <w:p w:rsidR="002E22F1" w:rsidRPr="00F9064B" w:rsidRDefault="002E22F1" w:rsidP="00B93281">
            <w:pPr>
              <w:tabs>
                <w:tab w:val="left" w:pos="353"/>
              </w:tabs>
              <w:spacing w:before="60"/>
              <w:ind w:left="352" w:hanging="352"/>
              <w:rPr>
                <w:sz w:val="22"/>
              </w:rPr>
            </w:pPr>
            <w:r>
              <w:rPr>
                <w:sz w:val="22"/>
              </w:rPr>
              <w:t>a)</w:t>
            </w:r>
            <w:r>
              <w:rPr>
                <w:sz w:val="22"/>
              </w:rPr>
              <w:tab/>
            </w:r>
            <w:r w:rsidRPr="00F9064B">
              <w:rPr>
                <w:sz w:val="22"/>
              </w:rPr>
              <w:t>promuovono lo spirito e le attività imprenditoriali;</w:t>
            </w:r>
          </w:p>
          <w:p w:rsidR="002E22F1" w:rsidRPr="00F9064B" w:rsidRDefault="002E22F1" w:rsidP="00B93281">
            <w:pPr>
              <w:tabs>
                <w:tab w:val="left" w:pos="353"/>
              </w:tabs>
              <w:spacing w:before="60"/>
              <w:ind w:left="352" w:hanging="352"/>
              <w:rPr>
                <w:sz w:val="22"/>
              </w:rPr>
            </w:pPr>
            <w:r>
              <w:rPr>
                <w:sz w:val="22"/>
              </w:rPr>
              <w:t>b)</w:t>
            </w:r>
            <w:r>
              <w:rPr>
                <w:sz w:val="22"/>
              </w:rPr>
              <w:tab/>
            </w:r>
            <w:r w:rsidRPr="00F9064B">
              <w:rPr>
                <w:sz w:val="22"/>
              </w:rPr>
              <w:t>consolidano la capacità di innovazione;</w:t>
            </w:r>
          </w:p>
          <w:p w:rsidR="002E22F1" w:rsidRPr="00F9064B" w:rsidRDefault="002E22F1" w:rsidP="00B93281">
            <w:pPr>
              <w:tabs>
                <w:tab w:val="left" w:pos="353"/>
              </w:tabs>
              <w:spacing w:before="60"/>
              <w:ind w:left="352" w:hanging="352"/>
              <w:rPr>
                <w:sz w:val="22"/>
              </w:rPr>
            </w:pPr>
            <w:r>
              <w:rPr>
                <w:sz w:val="22"/>
              </w:rPr>
              <w:t>c)</w:t>
            </w:r>
            <w:r>
              <w:rPr>
                <w:sz w:val="22"/>
              </w:rPr>
              <w:tab/>
            </w:r>
            <w:r w:rsidRPr="00F9064B">
              <w:rPr>
                <w:sz w:val="22"/>
              </w:rPr>
              <w:t>sfruttano le potenzialità endogene e creano o migliorano sistemi per la produzione di valore aggiunto;</w:t>
            </w:r>
          </w:p>
          <w:p w:rsidR="002E22F1" w:rsidRPr="00F9064B" w:rsidRDefault="002E22F1" w:rsidP="00B93281">
            <w:pPr>
              <w:tabs>
                <w:tab w:val="left" w:pos="353"/>
              </w:tabs>
              <w:spacing w:before="60"/>
              <w:ind w:left="352" w:hanging="352"/>
              <w:rPr>
                <w:sz w:val="22"/>
              </w:rPr>
            </w:pPr>
            <w:r>
              <w:rPr>
                <w:sz w:val="22"/>
              </w:rPr>
              <w:t>d)</w:t>
            </w:r>
            <w:r>
              <w:rPr>
                <w:sz w:val="22"/>
              </w:rPr>
              <w:tab/>
            </w:r>
            <w:r w:rsidRPr="00F9064B">
              <w:rPr>
                <w:sz w:val="22"/>
              </w:rPr>
              <w:t>promuovono la collaborazione tra istituzioni pubbliche e privati, tra regioni funzionali e con agglomerati urbani;</w:t>
            </w:r>
          </w:p>
          <w:p w:rsidR="002E22F1" w:rsidRDefault="002E22F1" w:rsidP="00B93281">
            <w:pPr>
              <w:pStyle w:val="NormaleWeb"/>
              <w:shd w:val="clear" w:color="auto" w:fill="FFFFFF"/>
              <w:tabs>
                <w:tab w:val="left" w:pos="353"/>
              </w:tabs>
              <w:spacing w:before="60" w:beforeAutospacing="0" w:after="0" w:afterAutospacing="0"/>
              <w:ind w:left="352" w:right="187" w:hanging="352"/>
              <w:jc w:val="both"/>
              <w:rPr>
                <w:rFonts w:ascii="Arial" w:hAnsi="Arial" w:cs="Arial"/>
                <w:color w:val="000000"/>
                <w:sz w:val="22"/>
                <w:szCs w:val="22"/>
              </w:rPr>
            </w:pPr>
            <w:r>
              <w:rPr>
                <w:rFonts w:ascii="Arial" w:hAnsi="Arial" w:cs="Arial"/>
                <w:color w:val="000000"/>
                <w:sz w:val="22"/>
                <w:szCs w:val="22"/>
              </w:rPr>
              <w:t>e)</w:t>
            </w:r>
            <w:r>
              <w:rPr>
                <w:rFonts w:ascii="Arial" w:hAnsi="Arial" w:cs="Arial"/>
                <w:color w:val="000000"/>
                <w:sz w:val="22"/>
                <w:szCs w:val="22"/>
              </w:rPr>
              <w:tab/>
            </w:r>
            <w:r w:rsidRPr="00F9064B">
              <w:rPr>
                <w:rFonts w:ascii="Arial" w:hAnsi="Arial" w:cs="Arial"/>
                <w:color w:val="000000"/>
                <w:sz w:val="22"/>
                <w:szCs w:val="22"/>
              </w:rPr>
              <w:t xml:space="preserve">promuovono la cooperazione </w:t>
            </w:r>
            <w:proofErr w:type="spellStart"/>
            <w:r w:rsidRPr="00F9064B">
              <w:rPr>
                <w:rFonts w:ascii="Arial" w:hAnsi="Arial" w:cs="Arial"/>
                <w:color w:val="000000"/>
                <w:sz w:val="22"/>
                <w:szCs w:val="22"/>
              </w:rPr>
              <w:t>intercantonale</w:t>
            </w:r>
            <w:proofErr w:type="spellEnd"/>
            <w:r w:rsidRPr="00F9064B">
              <w:rPr>
                <w:rFonts w:ascii="Arial" w:hAnsi="Arial" w:cs="Arial"/>
                <w:color w:val="000000"/>
                <w:sz w:val="22"/>
                <w:szCs w:val="22"/>
              </w:rPr>
              <w:t xml:space="preserve"> e transfrontaliera.</w:t>
            </w:r>
          </w:p>
          <w:p w:rsidR="002E22F1" w:rsidRPr="00F9064B" w:rsidRDefault="002E22F1" w:rsidP="00B93281">
            <w:pPr>
              <w:pStyle w:val="NormaleWeb"/>
              <w:shd w:val="clear" w:color="auto" w:fill="FFFFFF"/>
              <w:spacing w:before="0" w:beforeAutospacing="0" w:after="0" w:afterAutospacing="0"/>
              <w:ind w:right="187"/>
              <w:jc w:val="both"/>
              <w:rPr>
                <w:rFonts w:ascii="Arial" w:hAnsi="Arial" w:cs="Arial"/>
                <w:color w:val="000000"/>
                <w:sz w:val="22"/>
                <w:szCs w:val="22"/>
              </w:rPr>
            </w:pPr>
          </w:p>
          <w:p w:rsidR="002E22F1" w:rsidRPr="00F9064B" w:rsidRDefault="002E22F1" w:rsidP="00B93281">
            <w:pPr>
              <w:pStyle w:val="NormaleWeb"/>
              <w:shd w:val="clear" w:color="auto" w:fill="FFFFFF"/>
              <w:spacing w:before="0" w:beforeAutospacing="0" w:after="0" w:afterAutospacing="0"/>
              <w:ind w:right="187"/>
              <w:jc w:val="both"/>
              <w:rPr>
                <w:rFonts w:ascii="Arial" w:hAnsi="Arial" w:cs="Arial"/>
                <w:color w:val="000000"/>
                <w:sz w:val="22"/>
                <w:szCs w:val="22"/>
              </w:rPr>
            </w:pPr>
            <w:r w:rsidRPr="00F9064B">
              <w:rPr>
                <w:rFonts w:ascii="Arial" w:hAnsi="Arial" w:cs="Arial"/>
                <w:color w:val="000000"/>
                <w:position w:val="4"/>
                <w:sz w:val="22"/>
                <w:szCs w:val="22"/>
                <w:vertAlign w:val="superscript"/>
              </w:rPr>
              <w:t>2</w:t>
            </w:r>
            <w:r w:rsidRPr="00F9064B">
              <w:rPr>
                <w:rFonts w:ascii="Arial" w:hAnsi="Arial" w:cs="Arial"/>
                <w:color w:val="000000"/>
                <w:sz w:val="22"/>
                <w:szCs w:val="22"/>
              </w:rPr>
              <w:t>Le misure previste dalla presente legge si applicano a tutto il territorio cantonale con le seguenti specifiche:</w:t>
            </w:r>
          </w:p>
          <w:p w:rsidR="002E22F1" w:rsidRPr="00F9064B" w:rsidRDefault="002E22F1" w:rsidP="00B93281">
            <w:pPr>
              <w:tabs>
                <w:tab w:val="left" w:pos="352"/>
              </w:tabs>
              <w:spacing w:before="60"/>
              <w:ind w:left="352" w:hanging="352"/>
              <w:rPr>
                <w:sz w:val="22"/>
              </w:rPr>
            </w:pPr>
            <w:r>
              <w:rPr>
                <w:sz w:val="22"/>
              </w:rPr>
              <w:t>a)</w:t>
            </w:r>
            <w:r>
              <w:rPr>
                <w:sz w:val="22"/>
              </w:rPr>
              <w:tab/>
            </w:r>
            <w:r w:rsidRPr="00F9064B">
              <w:rPr>
                <w:sz w:val="22"/>
              </w:rPr>
              <w:t>nei centri urbani (Bellinzona, Locarno, Lugano e Mendrisio-Chiasso) sono sostenuti unicamente progetti che hanno un chiaro e comprovabile impatto nelle aree periferiche delle rispettive regioni funzionali o in tutto il Cantone;</w:t>
            </w:r>
          </w:p>
          <w:p w:rsidR="002E22F1" w:rsidRDefault="002E22F1" w:rsidP="00B93281">
            <w:pPr>
              <w:tabs>
                <w:tab w:val="left" w:pos="352"/>
              </w:tabs>
              <w:spacing w:before="60"/>
              <w:ind w:left="352" w:hanging="352"/>
              <w:rPr>
                <w:sz w:val="22"/>
              </w:rPr>
            </w:pPr>
            <w:r>
              <w:rPr>
                <w:sz w:val="22"/>
              </w:rPr>
              <w:t>b)</w:t>
            </w:r>
            <w:r>
              <w:rPr>
                <w:sz w:val="22"/>
              </w:rPr>
              <w:tab/>
            </w:r>
            <w:r w:rsidRPr="00F9064B">
              <w:rPr>
                <w:sz w:val="22"/>
              </w:rPr>
              <w:t>le zone a basso potenziale di sviluppo beneficiano di un programma specifico.</w:t>
            </w:r>
          </w:p>
          <w:p w:rsidR="002E22F1" w:rsidRDefault="002E22F1" w:rsidP="00B93281">
            <w:pPr>
              <w:tabs>
                <w:tab w:val="left" w:pos="431"/>
              </w:tabs>
              <w:rPr>
                <w:sz w:val="22"/>
              </w:rPr>
            </w:pPr>
          </w:p>
          <w:p w:rsidR="002E22F1" w:rsidRPr="00F9064B" w:rsidRDefault="002E22F1" w:rsidP="00B93281">
            <w:pPr>
              <w:rPr>
                <w:sz w:val="22"/>
              </w:rPr>
            </w:pPr>
          </w:p>
        </w:tc>
      </w:tr>
      <w:tr w:rsidR="002E22F1" w:rsidRPr="00212363" w:rsidTr="00B93281">
        <w:tc>
          <w:tcPr>
            <w:tcW w:w="2263" w:type="dxa"/>
          </w:tcPr>
          <w:p w:rsidR="002E22F1" w:rsidRPr="00E86885" w:rsidRDefault="002E22F1" w:rsidP="00B93281">
            <w:pPr>
              <w:jc w:val="left"/>
              <w:rPr>
                <w:sz w:val="22"/>
              </w:rPr>
            </w:pPr>
          </w:p>
          <w:p w:rsidR="002E22F1" w:rsidRPr="00E86885" w:rsidRDefault="002E22F1" w:rsidP="00B93281">
            <w:pPr>
              <w:jc w:val="left"/>
              <w:rPr>
                <w:sz w:val="22"/>
              </w:rPr>
            </w:pPr>
          </w:p>
          <w:p w:rsidR="002E22F1" w:rsidRPr="00F9064B" w:rsidRDefault="002E22F1" w:rsidP="00B93281">
            <w:pPr>
              <w:jc w:val="left"/>
              <w:rPr>
                <w:b/>
                <w:sz w:val="20"/>
              </w:rPr>
            </w:pPr>
            <w:r w:rsidRPr="00F9064B">
              <w:rPr>
                <w:b/>
                <w:sz w:val="20"/>
              </w:rPr>
              <w:t>Sussidi federali e cantonali</w:t>
            </w:r>
          </w:p>
        </w:tc>
        <w:tc>
          <w:tcPr>
            <w:tcW w:w="7237" w:type="dxa"/>
          </w:tcPr>
          <w:p w:rsidR="002E22F1" w:rsidRDefault="002E22F1" w:rsidP="00B93281">
            <w:pPr>
              <w:rPr>
                <w:b/>
                <w:sz w:val="22"/>
              </w:rPr>
            </w:pPr>
            <w:r w:rsidRPr="00F9064B">
              <w:rPr>
                <w:b/>
                <w:sz w:val="22"/>
              </w:rPr>
              <w:t>Art. 15</w:t>
            </w:r>
          </w:p>
          <w:p w:rsidR="002E22F1" w:rsidRPr="005A5012" w:rsidRDefault="002E22F1" w:rsidP="00B93281">
            <w:pPr>
              <w:rPr>
                <w:sz w:val="22"/>
              </w:rPr>
            </w:pPr>
          </w:p>
          <w:p w:rsidR="002E22F1" w:rsidRPr="00F9064B" w:rsidRDefault="002E22F1" w:rsidP="00B93281">
            <w:pPr>
              <w:pStyle w:val="NormaleWeb"/>
              <w:shd w:val="clear" w:color="auto" w:fill="FFFFFF"/>
              <w:spacing w:before="0" w:beforeAutospacing="0" w:after="0" w:afterAutospacing="0"/>
              <w:ind w:right="187"/>
              <w:jc w:val="both"/>
              <w:rPr>
                <w:rFonts w:ascii="Arial" w:hAnsi="Arial" w:cs="Arial"/>
                <w:color w:val="000000"/>
                <w:sz w:val="22"/>
                <w:szCs w:val="22"/>
              </w:rPr>
            </w:pPr>
            <w:r w:rsidRPr="00F9064B">
              <w:rPr>
                <w:rFonts w:ascii="Arial" w:hAnsi="Arial"/>
                <w:sz w:val="22"/>
                <w:szCs w:val="22"/>
                <w:vertAlign w:val="superscript"/>
              </w:rPr>
              <w:t>1</w:t>
            </w:r>
            <w:r w:rsidRPr="00F9064B">
              <w:rPr>
                <w:rFonts w:ascii="Arial" w:hAnsi="Arial" w:cs="Arial"/>
                <w:color w:val="000000"/>
                <w:sz w:val="22"/>
                <w:szCs w:val="22"/>
              </w:rPr>
              <w:t>Il Consiglio di Stato può concedere, previo coordinamento con le altre politiche cantonali e federali ad impatto territoriale, i seguenti sussidi, definiti in modo percentuale sull’importo computabile oppure forfettari:</w:t>
            </w:r>
          </w:p>
          <w:p w:rsidR="002E22F1" w:rsidRPr="00F9064B" w:rsidRDefault="002E22F1" w:rsidP="00B93281">
            <w:pPr>
              <w:pStyle w:val="NormaleWeb"/>
              <w:shd w:val="clear" w:color="auto" w:fill="FFFFFF"/>
              <w:tabs>
                <w:tab w:val="left" w:pos="352"/>
              </w:tabs>
              <w:spacing w:before="60" w:beforeAutospacing="0" w:after="0" w:afterAutospacing="0"/>
              <w:ind w:left="352" w:right="187" w:hanging="347"/>
              <w:jc w:val="both"/>
              <w:rPr>
                <w:rFonts w:ascii="Arial" w:hAnsi="Arial" w:cs="Arial"/>
                <w:color w:val="000000"/>
                <w:sz w:val="22"/>
                <w:szCs w:val="22"/>
              </w:rPr>
            </w:pPr>
            <w:r>
              <w:rPr>
                <w:rFonts w:ascii="Arial" w:hAnsi="Arial" w:cs="Arial"/>
                <w:color w:val="000000"/>
                <w:sz w:val="22"/>
                <w:szCs w:val="22"/>
              </w:rPr>
              <w:t>a)</w:t>
            </w:r>
            <w:r>
              <w:rPr>
                <w:rFonts w:ascii="Arial" w:hAnsi="Arial" w:cs="Arial"/>
                <w:color w:val="000000"/>
                <w:sz w:val="22"/>
                <w:szCs w:val="22"/>
              </w:rPr>
              <w:tab/>
            </w:r>
            <w:r w:rsidRPr="00F9064B">
              <w:rPr>
                <w:rFonts w:ascii="Arial" w:hAnsi="Arial" w:cs="Arial"/>
                <w:color w:val="000000"/>
                <w:sz w:val="22"/>
                <w:szCs w:val="22"/>
              </w:rPr>
              <w:t>sussidi nella forma di mutui a tassi d’interesse agevolati o senza interesse;</w:t>
            </w:r>
          </w:p>
          <w:p w:rsidR="002E22F1" w:rsidRDefault="002E22F1" w:rsidP="00B93281">
            <w:pPr>
              <w:pStyle w:val="NormaleWeb"/>
              <w:shd w:val="clear" w:color="auto" w:fill="FFFFFF"/>
              <w:tabs>
                <w:tab w:val="left" w:pos="352"/>
              </w:tabs>
              <w:spacing w:before="60" w:beforeAutospacing="0" w:after="0" w:afterAutospacing="0"/>
              <w:ind w:right="187" w:firstLine="5"/>
              <w:jc w:val="both"/>
              <w:rPr>
                <w:rFonts w:ascii="Arial" w:hAnsi="Arial" w:cs="Arial"/>
                <w:color w:val="000000"/>
                <w:sz w:val="22"/>
                <w:szCs w:val="22"/>
              </w:rPr>
            </w:pPr>
            <w:r w:rsidRPr="00F9064B">
              <w:rPr>
                <w:rFonts w:ascii="Arial" w:hAnsi="Arial" w:cs="Arial"/>
                <w:color w:val="000000"/>
                <w:sz w:val="22"/>
                <w:szCs w:val="22"/>
              </w:rPr>
              <w:t>b)</w:t>
            </w:r>
            <w:r>
              <w:rPr>
                <w:rFonts w:ascii="Arial" w:hAnsi="Arial" w:cs="Arial"/>
                <w:color w:val="000000"/>
                <w:sz w:val="22"/>
                <w:szCs w:val="22"/>
              </w:rPr>
              <w:tab/>
            </w:r>
            <w:r w:rsidRPr="00F9064B">
              <w:rPr>
                <w:rFonts w:ascii="Arial" w:hAnsi="Arial" w:cs="Arial"/>
                <w:color w:val="000000"/>
                <w:sz w:val="22"/>
                <w:szCs w:val="22"/>
              </w:rPr>
              <w:t>sussidi a fondo perso.</w:t>
            </w:r>
          </w:p>
          <w:p w:rsidR="002E22F1" w:rsidRPr="00F9064B" w:rsidRDefault="002E22F1" w:rsidP="00B93281">
            <w:pPr>
              <w:pStyle w:val="NormaleWeb"/>
              <w:shd w:val="clear" w:color="auto" w:fill="FFFFFF"/>
              <w:spacing w:before="0" w:beforeAutospacing="0" w:after="0" w:afterAutospacing="0"/>
              <w:ind w:right="187"/>
              <w:jc w:val="both"/>
              <w:rPr>
                <w:rFonts w:ascii="Arial" w:hAnsi="Arial" w:cs="Arial"/>
                <w:color w:val="000000"/>
                <w:sz w:val="22"/>
                <w:szCs w:val="22"/>
              </w:rPr>
            </w:pPr>
          </w:p>
          <w:p w:rsidR="002E22F1" w:rsidRPr="00F9064B" w:rsidRDefault="002E22F1" w:rsidP="00B93281">
            <w:pPr>
              <w:pStyle w:val="NormaleWeb"/>
              <w:shd w:val="clear" w:color="auto" w:fill="FFFFFF"/>
              <w:spacing w:before="0" w:beforeAutospacing="0" w:after="0" w:afterAutospacing="0"/>
              <w:ind w:right="187"/>
              <w:jc w:val="both"/>
              <w:rPr>
                <w:rFonts w:ascii="Arial" w:hAnsi="Arial" w:cs="Arial"/>
                <w:color w:val="000000"/>
                <w:sz w:val="22"/>
                <w:szCs w:val="22"/>
              </w:rPr>
            </w:pPr>
            <w:r w:rsidRPr="00F9064B">
              <w:rPr>
                <w:rFonts w:ascii="Arial" w:hAnsi="Arial" w:cs="Arial"/>
                <w:color w:val="000000"/>
                <w:position w:val="4"/>
                <w:sz w:val="22"/>
                <w:szCs w:val="22"/>
                <w:vertAlign w:val="superscript"/>
              </w:rPr>
              <w:t>2</w:t>
            </w:r>
            <w:r w:rsidRPr="00F9064B">
              <w:rPr>
                <w:rFonts w:ascii="Arial" w:hAnsi="Arial" w:cs="Arial"/>
                <w:color w:val="000000"/>
                <w:sz w:val="22"/>
                <w:szCs w:val="22"/>
              </w:rPr>
              <w:t>Il sostegno ai progetti sottostà ai seguenti vincoli:</w:t>
            </w:r>
          </w:p>
          <w:p w:rsidR="002E22F1" w:rsidRPr="00F9064B" w:rsidRDefault="002E22F1" w:rsidP="00B93281">
            <w:pPr>
              <w:pStyle w:val="NormaleWeb"/>
              <w:shd w:val="clear" w:color="auto" w:fill="FFFFFF"/>
              <w:tabs>
                <w:tab w:val="left" w:pos="352"/>
              </w:tabs>
              <w:spacing w:before="60" w:beforeAutospacing="0" w:after="0" w:afterAutospacing="0"/>
              <w:ind w:left="352" w:right="187" w:hanging="352"/>
              <w:jc w:val="both"/>
              <w:rPr>
                <w:rFonts w:ascii="Arial" w:hAnsi="Arial" w:cs="Arial"/>
                <w:color w:val="000000"/>
                <w:sz w:val="22"/>
                <w:szCs w:val="22"/>
              </w:rPr>
            </w:pPr>
            <w:r>
              <w:rPr>
                <w:rFonts w:ascii="Arial" w:hAnsi="Arial" w:cs="Arial"/>
                <w:color w:val="000000"/>
                <w:sz w:val="22"/>
                <w:szCs w:val="22"/>
              </w:rPr>
              <w:t>a)</w:t>
            </w:r>
            <w:r>
              <w:rPr>
                <w:rFonts w:ascii="Arial" w:hAnsi="Arial" w:cs="Arial"/>
                <w:color w:val="000000"/>
                <w:sz w:val="22"/>
                <w:szCs w:val="22"/>
              </w:rPr>
              <w:tab/>
            </w:r>
            <w:r w:rsidRPr="00F9064B">
              <w:rPr>
                <w:rFonts w:ascii="Arial" w:hAnsi="Arial" w:cs="Arial"/>
                <w:color w:val="000000"/>
                <w:sz w:val="22"/>
                <w:szCs w:val="22"/>
              </w:rPr>
              <w:t>i promotori di un progetto assicurano l’apporto di mezzi propri pari ad almeno il 25% dell’investimento complessivo;</w:t>
            </w:r>
          </w:p>
          <w:p w:rsidR="002E22F1" w:rsidRPr="00F9064B" w:rsidRDefault="002E22F1" w:rsidP="00B93281">
            <w:pPr>
              <w:pStyle w:val="NormaleWeb"/>
              <w:shd w:val="clear" w:color="auto" w:fill="FFFFFF"/>
              <w:tabs>
                <w:tab w:val="left" w:pos="352"/>
              </w:tabs>
              <w:spacing w:before="60" w:beforeAutospacing="0" w:after="0" w:afterAutospacing="0"/>
              <w:ind w:left="352" w:right="187" w:hanging="352"/>
              <w:jc w:val="both"/>
              <w:rPr>
                <w:rFonts w:ascii="Arial" w:hAnsi="Arial" w:cs="Arial"/>
                <w:color w:val="000000"/>
                <w:sz w:val="22"/>
                <w:szCs w:val="22"/>
              </w:rPr>
            </w:pPr>
            <w:r>
              <w:rPr>
                <w:rFonts w:ascii="Arial" w:hAnsi="Arial" w:cs="Arial"/>
                <w:color w:val="000000"/>
                <w:sz w:val="22"/>
                <w:szCs w:val="22"/>
              </w:rPr>
              <w:t>b)</w:t>
            </w:r>
            <w:r>
              <w:rPr>
                <w:rFonts w:ascii="Arial" w:hAnsi="Arial" w:cs="Arial"/>
                <w:color w:val="000000"/>
                <w:sz w:val="22"/>
                <w:szCs w:val="22"/>
              </w:rPr>
              <w:tab/>
            </w:r>
            <w:r w:rsidRPr="00F9064B">
              <w:rPr>
                <w:rFonts w:ascii="Arial" w:hAnsi="Arial" w:cs="Arial"/>
                <w:color w:val="000000"/>
                <w:sz w:val="22"/>
                <w:szCs w:val="22"/>
              </w:rPr>
              <w:t>i mutui concessi ad un singolo progetto attraverso le leggi cantonali e federali non possono superare il 30% dell’importo computabile;</w:t>
            </w:r>
          </w:p>
          <w:p w:rsidR="002E22F1" w:rsidRPr="00F9064B" w:rsidRDefault="002E22F1" w:rsidP="00B93281">
            <w:pPr>
              <w:pStyle w:val="NormaleWeb"/>
              <w:shd w:val="clear" w:color="auto" w:fill="FFFFFF"/>
              <w:tabs>
                <w:tab w:val="left" w:pos="352"/>
              </w:tabs>
              <w:spacing w:before="60" w:beforeAutospacing="0" w:after="0" w:afterAutospacing="0"/>
              <w:ind w:left="352" w:right="187" w:hanging="352"/>
              <w:jc w:val="both"/>
              <w:rPr>
                <w:rFonts w:ascii="Arial" w:hAnsi="Arial" w:cs="Arial"/>
                <w:color w:val="000000"/>
                <w:sz w:val="22"/>
                <w:szCs w:val="22"/>
              </w:rPr>
            </w:pPr>
            <w:r>
              <w:rPr>
                <w:rFonts w:ascii="Arial" w:hAnsi="Arial" w:cs="Arial"/>
                <w:color w:val="000000"/>
                <w:sz w:val="22"/>
                <w:szCs w:val="22"/>
              </w:rPr>
              <w:t>c)</w:t>
            </w:r>
            <w:r>
              <w:rPr>
                <w:rFonts w:ascii="Arial" w:hAnsi="Arial" w:cs="Arial"/>
                <w:color w:val="000000"/>
                <w:sz w:val="22"/>
                <w:szCs w:val="22"/>
              </w:rPr>
              <w:tab/>
            </w:r>
            <w:proofErr w:type="spellStart"/>
            <w:r w:rsidR="00B93281">
              <w:rPr>
                <w:rFonts w:ascii="Arial" w:hAnsi="Arial" w:cs="Arial"/>
                <w:color w:val="000000"/>
                <w:sz w:val="22"/>
                <w:szCs w:val="22"/>
              </w:rPr>
              <w:t>i</w:t>
            </w:r>
            <w:r w:rsidR="00B93281" w:rsidRPr="007D5DB3">
              <w:rPr>
                <w:rFonts w:ascii="Arial" w:hAnsi="Arial" w:cs="Arial"/>
                <w:color w:val="000000" w:themeColor="text1"/>
                <w:sz w:val="22"/>
                <w:szCs w:val="22"/>
              </w:rPr>
              <w:t>I</w:t>
            </w:r>
            <w:proofErr w:type="spellEnd"/>
            <w:r w:rsidR="00B93281" w:rsidRPr="007D5DB3">
              <w:rPr>
                <w:rFonts w:ascii="Arial" w:hAnsi="Arial" w:cs="Arial"/>
                <w:color w:val="000000" w:themeColor="text1"/>
                <w:sz w:val="22"/>
                <w:szCs w:val="22"/>
              </w:rPr>
              <w:t xml:space="preserve"> cumulo dei sussidi concessi a un singolo progetto attraverso le leggi cantonali e federali non può̀ superare il 50% dell’importo computabile. Sono esclusi dal calcolo per il cumulo i fondi perequativi intercomunali, i fondi dell’aiuto patriziale, i finanziamenti </w:t>
            </w:r>
            <w:r w:rsidR="00B93281" w:rsidRPr="007D5DB3">
              <w:rPr>
                <w:rFonts w:ascii="Arial" w:hAnsi="Arial" w:cs="Arial"/>
                <w:color w:val="000000" w:themeColor="text1"/>
                <w:sz w:val="22"/>
                <w:szCs w:val="22"/>
              </w:rPr>
              <w:lastRenderedPageBreak/>
              <w:t>derivanti da procedure aggregative così come fondi cantonali, nei quali confluisce l’utile netto delle lotterie e delle scommesse sportive, destinati a scopi d’</w:t>
            </w:r>
            <w:proofErr w:type="spellStart"/>
            <w:r w:rsidR="00B93281" w:rsidRPr="007D5DB3">
              <w:rPr>
                <w:rFonts w:ascii="Arial" w:hAnsi="Arial" w:cs="Arial"/>
                <w:color w:val="000000" w:themeColor="text1"/>
                <w:sz w:val="22"/>
                <w:szCs w:val="22"/>
              </w:rPr>
              <w:t>utilita</w:t>
            </w:r>
            <w:proofErr w:type="spellEnd"/>
            <w:r w:rsidR="00B93281" w:rsidRPr="007D5DB3">
              <w:rPr>
                <w:rFonts w:ascii="Arial" w:hAnsi="Arial" w:cs="Arial"/>
                <w:color w:val="000000" w:themeColor="text1"/>
                <w:sz w:val="22"/>
                <w:szCs w:val="22"/>
              </w:rPr>
              <w:t>̀ pubblica, segnatamente in ambito culturale, sociale e sportivo.</w:t>
            </w:r>
            <w:r w:rsidR="00B93281" w:rsidRPr="007D5DB3">
              <w:rPr>
                <w:rFonts w:ascii="Arial" w:hAnsi="Arial" w:cs="Arial"/>
                <w:b/>
                <w:bCs/>
                <w:sz w:val="22"/>
                <w:szCs w:val="22"/>
              </w:rPr>
              <w:t xml:space="preserve"> </w:t>
            </w:r>
            <w:r w:rsidR="00B93281" w:rsidRPr="007D5DB3">
              <w:rPr>
                <w:rFonts w:ascii="Arial" w:hAnsi="Arial" w:cs="Arial"/>
                <w:b/>
                <w:bCs/>
                <w:color w:val="000000" w:themeColor="text1"/>
                <w:sz w:val="22"/>
                <w:szCs w:val="22"/>
              </w:rPr>
              <w:t>Per progetti ubicati nelle zone discoste o progetti di particolare valenza ambientale che non beneficiano dei citati fondi esclusi dal calcolo per il cumulo e che presentano ricadute perlopiù indirette è possibile stanziare sussidi a fondo perso aggiuntivi fino a un massimo d</w:t>
            </w:r>
            <w:r w:rsidR="00194073">
              <w:rPr>
                <w:rFonts w:ascii="Arial" w:hAnsi="Arial" w:cs="Arial"/>
                <w:b/>
                <w:bCs/>
                <w:color w:val="000000" w:themeColor="text1"/>
                <w:sz w:val="22"/>
                <w:szCs w:val="22"/>
              </w:rPr>
              <w:t>el 65% dell’importo computabile</w:t>
            </w:r>
            <w:r w:rsidRPr="00F9064B">
              <w:rPr>
                <w:rFonts w:ascii="Arial" w:hAnsi="Arial" w:cs="Arial"/>
                <w:color w:val="000000"/>
                <w:sz w:val="22"/>
                <w:szCs w:val="22"/>
              </w:rPr>
              <w:t>;</w:t>
            </w:r>
          </w:p>
          <w:p w:rsidR="002E22F1" w:rsidRDefault="002E22F1" w:rsidP="00B93281">
            <w:pPr>
              <w:pStyle w:val="NormaleWeb"/>
              <w:shd w:val="clear" w:color="auto" w:fill="FFFFFF"/>
              <w:tabs>
                <w:tab w:val="left" w:pos="352"/>
              </w:tabs>
              <w:spacing w:before="60" w:beforeAutospacing="0" w:after="0" w:afterAutospacing="0"/>
              <w:ind w:left="352" w:right="187" w:hanging="352"/>
              <w:jc w:val="both"/>
              <w:rPr>
                <w:rFonts w:ascii="Arial" w:hAnsi="Arial" w:cs="Arial"/>
                <w:color w:val="000000"/>
                <w:sz w:val="22"/>
                <w:szCs w:val="22"/>
              </w:rPr>
            </w:pPr>
            <w:r>
              <w:rPr>
                <w:rFonts w:ascii="Arial" w:hAnsi="Arial" w:cs="Arial"/>
                <w:color w:val="000000"/>
                <w:sz w:val="22"/>
                <w:szCs w:val="22"/>
              </w:rPr>
              <w:t>d)</w:t>
            </w:r>
            <w:r>
              <w:rPr>
                <w:rFonts w:ascii="Arial" w:hAnsi="Arial" w:cs="Arial"/>
                <w:color w:val="000000"/>
                <w:sz w:val="22"/>
                <w:szCs w:val="22"/>
              </w:rPr>
              <w:tab/>
            </w:r>
            <w:r w:rsidRPr="00F9064B">
              <w:rPr>
                <w:rFonts w:ascii="Arial" w:hAnsi="Arial" w:cs="Arial"/>
                <w:color w:val="000000"/>
                <w:sz w:val="22"/>
                <w:szCs w:val="22"/>
              </w:rPr>
              <w:t>fanno eccezione gli studi di base e di fattibilità, per i quali è possibile concedere sussidi fino al 90% dell’importo computabile.</w:t>
            </w:r>
          </w:p>
          <w:p w:rsidR="002E22F1" w:rsidRPr="00F9064B" w:rsidRDefault="002E22F1" w:rsidP="00B93281">
            <w:pPr>
              <w:pStyle w:val="NormaleWeb"/>
              <w:shd w:val="clear" w:color="auto" w:fill="FFFFFF"/>
              <w:spacing w:before="0" w:beforeAutospacing="0" w:after="0" w:afterAutospacing="0"/>
              <w:ind w:right="187"/>
              <w:jc w:val="both"/>
              <w:rPr>
                <w:rFonts w:ascii="Arial" w:hAnsi="Arial" w:cs="Arial"/>
                <w:color w:val="000000"/>
                <w:sz w:val="22"/>
                <w:szCs w:val="22"/>
              </w:rPr>
            </w:pPr>
          </w:p>
          <w:p w:rsidR="002E22F1" w:rsidRDefault="002E22F1" w:rsidP="00B93281">
            <w:pPr>
              <w:pStyle w:val="NormaleWeb"/>
              <w:shd w:val="clear" w:color="auto" w:fill="FFFFFF"/>
              <w:spacing w:before="0" w:beforeAutospacing="0" w:after="0" w:afterAutospacing="0"/>
              <w:ind w:right="187"/>
              <w:jc w:val="both"/>
              <w:rPr>
                <w:rFonts w:ascii="Arial" w:hAnsi="Arial" w:cs="Arial"/>
                <w:color w:val="000000"/>
                <w:sz w:val="22"/>
                <w:szCs w:val="22"/>
              </w:rPr>
            </w:pPr>
            <w:r w:rsidRPr="00F9064B">
              <w:rPr>
                <w:rFonts w:ascii="Arial" w:hAnsi="Arial" w:cs="Arial"/>
                <w:color w:val="000000"/>
                <w:position w:val="4"/>
                <w:sz w:val="22"/>
                <w:szCs w:val="22"/>
                <w:vertAlign w:val="superscript"/>
              </w:rPr>
              <w:t>3</w:t>
            </w:r>
            <w:r w:rsidRPr="00F9064B">
              <w:rPr>
                <w:rFonts w:ascii="Arial" w:hAnsi="Arial" w:cs="Arial"/>
                <w:color w:val="000000"/>
                <w:sz w:val="22"/>
                <w:szCs w:val="22"/>
              </w:rPr>
              <w:t>Il Consiglio di Stato può adottare misure, fino a copertura integrale dei costi, per il raggiungimento degli obiettivi stabiliti da specifici contratti, convenzioni o programmi.</w:t>
            </w:r>
          </w:p>
          <w:p w:rsidR="002E22F1" w:rsidRDefault="002E22F1" w:rsidP="00B93281">
            <w:pPr>
              <w:pStyle w:val="NormaleWeb"/>
              <w:shd w:val="clear" w:color="auto" w:fill="FFFFFF"/>
              <w:spacing w:before="0" w:beforeAutospacing="0" w:after="0" w:afterAutospacing="0"/>
              <w:ind w:right="187"/>
              <w:jc w:val="both"/>
              <w:rPr>
                <w:rFonts w:ascii="Arial" w:hAnsi="Arial" w:cs="Arial"/>
                <w:color w:val="000000"/>
                <w:sz w:val="22"/>
                <w:szCs w:val="22"/>
              </w:rPr>
            </w:pPr>
          </w:p>
          <w:p w:rsidR="002E22F1" w:rsidRPr="00F9064B" w:rsidRDefault="002E22F1" w:rsidP="00B93281">
            <w:pPr>
              <w:pStyle w:val="NormaleWeb"/>
              <w:shd w:val="clear" w:color="auto" w:fill="FFFFFF"/>
              <w:spacing w:before="0" w:beforeAutospacing="0" w:after="0" w:afterAutospacing="0"/>
              <w:ind w:right="187"/>
              <w:jc w:val="both"/>
              <w:rPr>
                <w:rFonts w:ascii="Arial" w:hAnsi="Arial" w:cs="Arial"/>
                <w:color w:val="000000"/>
                <w:sz w:val="22"/>
                <w:szCs w:val="22"/>
              </w:rPr>
            </w:pPr>
          </w:p>
        </w:tc>
      </w:tr>
      <w:tr w:rsidR="002E22F1" w:rsidRPr="00212363" w:rsidTr="00B93281">
        <w:tc>
          <w:tcPr>
            <w:tcW w:w="2263" w:type="dxa"/>
          </w:tcPr>
          <w:p w:rsidR="002E22F1" w:rsidRPr="00F9064B" w:rsidRDefault="002E22F1" w:rsidP="00B93281">
            <w:pPr>
              <w:jc w:val="left"/>
              <w:rPr>
                <w:b/>
                <w:sz w:val="20"/>
              </w:rPr>
            </w:pPr>
          </w:p>
        </w:tc>
        <w:tc>
          <w:tcPr>
            <w:tcW w:w="7237" w:type="dxa"/>
          </w:tcPr>
          <w:p w:rsidR="002E22F1" w:rsidRDefault="002E22F1" w:rsidP="00B93281">
            <w:pPr>
              <w:rPr>
                <w:b/>
                <w:sz w:val="22"/>
              </w:rPr>
            </w:pPr>
            <w:r w:rsidRPr="00F9064B">
              <w:rPr>
                <w:b/>
                <w:sz w:val="22"/>
              </w:rPr>
              <w:t>Art. 16 cpv. 1 e 3</w:t>
            </w:r>
          </w:p>
          <w:p w:rsidR="002E22F1" w:rsidRPr="005A5012" w:rsidRDefault="002E22F1" w:rsidP="00B93281">
            <w:pPr>
              <w:rPr>
                <w:sz w:val="22"/>
              </w:rPr>
            </w:pPr>
          </w:p>
          <w:p w:rsidR="002E22F1" w:rsidRDefault="002E22F1" w:rsidP="00B93281">
            <w:pPr>
              <w:pStyle w:val="NormaleWeb"/>
              <w:shd w:val="clear" w:color="auto" w:fill="FFFFFF"/>
              <w:spacing w:before="0" w:beforeAutospacing="0" w:after="0" w:afterAutospacing="0"/>
              <w:ind w:right="73"/>
              <w:jc w:val="both"/>
              <w:rPr>
                <w:rFonts w:ascii="Arial" w:hAnsi="Arial" w:cs="Arial"/>
                <w:color w:val="000000"/>
                <w:sz w:val="22"/>
                <w:szCs w:val="22"/>
              </w:rPr>
            </w:pPr>
            <w:r w:rsidRPr="00F9064B">
              <w:rPr>
                <w:rFonts w:ascii="Arial" w:hAnsi="Arial"/>
                <w:sz w:val="22"/>
                <w:szCs w:val="22"/>
                <w:vertAlign w:val="superscript"/>
              </w:rPr>
              <w:t>1</w:t>
            </w:r>
            <w:r w:rsidRPr="00F9064B">
              <w:rPr>
                <w:rFonts w:ascii="Arial" w:hAnsi="Arial" w:cs="Arial"/>
                <w:color w:val="000000"/>
                <w:sz w:val="22"/>
                <w:szCs w:val="22"/>
              </w:rPr>
              <w:t>Le misure sono finanziate mediante un credito quadro quadriennale, deciso dal Gran Consiglio, sulla base del programma d’attuazione della politica economica regionale e della Convenzione di programma.</w:t>
            </w:r>
          </w:p>
          <w:p w:rsidR="002E22F1" w:rsidRPr="00F9064B" w:rsidRDefault="002E22F1" w:rsidP="00B93281">
            <w:pPr>
              <w:pStyle w:val="NormaleWeb"/>
              <w:shd w:val="clear" w:color="auto" w:fill="FFFFFF"/>
              <w:spacing w:before="0" w:beforeAutospacing="0" w:after="0" w:afterAutospacing="0"/>
              <w:ind w:right="73"/>
              <w:jc w:val="both"/>
              <w:rPr>
                <w:rFonts w:ascii="Arial" w:hAnsi="Arial" w:cs="Arial"/>
                <w:color w:val="000000"/>
                <w:sz w:val="22"/>
                <w:szCs w:val="22"/>
              </w:rPr>
            </w:pPr>
          </w:p>
          <w:p w:rsidR="002E22F1" w:rsidRDefault="002E22F1" w:rsidP="00B93281">
            <w:pPr>
              <w:pStyle w:val="NormaleWeb"/>
              <w:shd w:val="clear" w:color="auto" w:fill="FFFFFF"/>
              <w:spacing w:before="0" w:beforeAutospacing="0" w:after="0" w:afterAutospacing="0"/>
              <w:ind w:right="187"/>
              <w:jc w:val="both"/>
              <w:rPr>
                <w:rFonts w:ascii="Arial" w:hAnsi="Arial" w:cs="Arial"/>
                <w:color w:val="000000"/>
                <w:sz w:val="22"/>
                <w:szCs w:val="22"/>
              </w:rPr>
            </w:pPr>
            <w:r w:rsidRPr="00F9064B">
              <w:rPr>
                <w:rFonts w:ascii="Arial" w:hAnsi="Arial" w:cs="Arial"/>
                <w:color w:val="000000"/>
                <w:position w:val="4"/>
                <w:sz w:val="22"/>
                <w:szCs w:val="22"/>
                <w:vertAlign w:val="superscript"/>
              </w:rPr>
              <w:t>3</w:t>
            </w:r>
            <w:r w:rsidRPr="00F9064B">
              <w:rPr>
                <w:rFonts w:ascii="Arial" w:hAnsi="Arial" w:cs="Arial"/>
                <w:color w:val="000000"/>
                <w:sz w:val="22"/>
                <w:szCs w:val="22"/>
              </w:rPr>
              <w:t>Il Consiglio di Stato informa annualmente il Gran Consiglio sul grado di raggiungimento degli obiettivi stabiliti nel programma d’attuazione della politica economica regionale e nella Convenzione di programma.</w:t>
            </w:r>
          </w:p>
          <w:p w:rsidR="002E22F1" w:rsidRDefault="002E22F1" w:rsidP="00B93281">
            <w:pPr>
              <w:pStyle w:val="NormaleWeb"/>
              <w:shd w:val="clear" w:color="auto" w:fill="FFFFFF"/>
              <w:spacing w:before="0" w:beforeAutospacing="0" w:after="0" w:afterAutospacing="0"/>
              <w:ind w:right="187"/>
              <w:jc w:val="both"/>
              <w:rPr>
                <w:rFonts w:ascii="Arial" w:hAnsi="Arial" w:cs="Arial"/>
                <w:color w:val="000000"/>
                <w:sz w:val="22"/>
                <w:szCs w:val="22"/>
              </w:rPr>
            </w:pPr>
          </w:p>
          <w:p w:rsidR="002E22F1" w:rsidRPr="00F9064B" w:rsidRDefault="002E22F1" w:rsidP="00B93281">
            <w:pPr>
              <w:pStyle w:val="NormaleWeb"/>
              <w:shd w:val="clear" w:color="auto" w:fill="FFFFFF"/>
              <w:spacing w:before="0" w:beforeAutospacing="0" w:after="0" w:afterAutospacing="0"/>
              <w:ind w:right="187"/>
              <w:jc w:val="both"/>
              <w:rPr>
                <w:b/>
                <w:sz w:val="22"/>
                <w:szCs w:val="22"/>
              </w:rPr>
            </w:pPr>
          </w:p>
        </w:tc>
      </w:tr>
      <w:tr w:rsidR="002E22F1" w:rsidRPr="00212363" w:rsidTr="00B93281">
        <w:tc>
          <w:tcPr>
            <w:tcW w:w="2263" w:type="dxa"/>
          </w:tcPr>
          <w:p w:rsidR="002E22F1" w:rsidRPr="00E86885" w:rsidRDefault="002E22F1" w:rsidP="00B93281">
            <w:pPr>
              <w:jc w:val="left"/>
              <w:rPr>
                <w:sz w:val="22"/>
              </w:rPr>
            </w:pPr>
          </w:p>
          <w:p w:rsidR="002E22F1" w:rsidRPr="00E86885" w:rsidRDefault="002E22F1" w:rsidP="00B93281">
            <w:pPr>
              <w:jc w:val="left"/>
              <w:rPr>
                <w:sz w:val="22"/>
              </w:rPr>
            </w:pPr>
          </w:p>
          <w:p w:rsidR="002E22F1" w:rsidRPr="00F9064B" w:rsidRDefault="002E22F1" w:rsidP="00B93281">
            <w:pPr>
              <w:jc w:val="left"/>
              <w:rPr>
                <w:b/>
                <w:sz w:val="20"/>
              </w:rPr>
            </w:pPr>
            <w:r w:rsidRPr="00F9064B">
              <w:rPr>
                <w:b/>
                <w:sz w:val="20"/>
              </w:rPr>
              <w:t>Autorità competente</w:t>
            </w:r>
          </w:p>
        </w:tc>
        <w:tc>
          <w:tcPr>
            <w:tcW w:w="7237" w:type="dxa"/>
          </w:tcPr>
          <w:p w:rsidR="002E22F1" w:rsidRDefault="002E22F1" w:rsidP="00B93281">
            <w:pPr>
              <w:rPr>
                <w:b/>
                <w:sz w:val="22"/>
              </w:rPr>
            </w:pPr>
            <w:r w:rsidRPr="00F9064B">
              <w:rPr>
                <w:b/>
                <w:sz w:val="22"/>
              </w:rPr>
              <w:t>Art. 17</w:t>
            </w:r>
          </w:p>
          <w:p w:rsidR="002E22F1" w:rsidRPr="005A5012" w:rsidRDefault="002E22F1" w:rsidP="00B93281">
            <w:pPr>
              <w:rPr>
                <w:sz w:val="22"/>
              </w:rPr>
            </w:pPr>
          </w:p>
          <w:p w:rsidR="002E22F1" w:rsidRDefault="002E22F1" w:rsidP="00B93281">
            <w:pPr>
              <w:pStyle w:val="NormaleWeb"/>
              <w:shd w:val="clear" w:color="auto" w:fill="FFFFFF"/>
              <w:spacing w:before="0" w:beforeAutospacing="0" w:after="0" w:afterAutospacing="0"/>
              <w:ind w:right="187"/>
              <w:jc w:val="both"/>
              <w:rPr>
                <w:rFonts w:ascii="Arial" w:hAnsi="Arial" w:cs="Arial"/>
                <w:color w:val="000000"/>
                <w:sz w:val="22"/>
                <w:szCs w:val="22"/>
              </w:rPr>
            </w:pPr>
            <w:r w:rsidRPr="00F9064B">
              <w:rPr>
                <w:rFonts w:ascii="Arial" w:hAnsi="Arial"/>
                <w:sz w:val="22"/>
                <w:szCs w:val="22"/>
                <w:vertAlign w:val="superscript"/>
              </w:rPr>
              <w:t>1</w:t>
            </w:r>
            <w:r w:rsidRPr="00F9064B">
              <w:rPr>
                <w:rFonts w:ascii="Arial" w:hAnsi="Arial" w:cs="Arial"/>
                <w:color w:val="000000"/>
                <w:sz w:val="22"/>
                <w:szCs w:val="22"/>
              </w:rPr>
              <w:t>Le misure vengono decise dal Consiglio di Stato che ne stabilisce la forma, le condizioni, gli oneri, l’ammortamento e le eventuali garanzie richieste al beneficiario.</w:t>
            </w:r>
          </w:p>
          <w:p w:rsidR="002E22F1" w:rsidRPr="00F9064B" w:rsidRDefault="002E22F1" w:rsidP="00B93281">
            <w:pPr>
              <w:pStyle w:val="NormaleWeb"/>
              <w:shd w:val="clear" w:color="auto" w:fill="FFFFFF"/>
              <w:spacing w:before="0" w:beforeAutospacing="0" w:after="0" w:afterAutospacing="0"/>
              <w:ind w:right="187"/>
              <w:jc w:val="both"/>
              <w:rPr>
                <w:rFonts w:ascii="Arial" w:hAnsi="Arial" w:cs="Arial"/>
                <w:color w:val="000000"/>
                <w:sz w:val="22"/>
                <w:szCs w:val="22"/>
              </w:rPr>
            </w:pPr>
          </w:p>
          <w:p w:rsidR="002E22F1" w:rsidRDefault="002E22F1" w:rsidP="00B93281">
            <w:pPr>
              <w:pStyle w:val="NormaleWeb"/>
              <w:shd w:val="clear" w:color="auto" w:fill="FFFFFF"/>
              <w:spacing w:before="0" w:beforeAutospacing="0" w:after="0" w:afterAutospacing="0"/>
              <w:ind w:right="187"/>
              <w:jc w:val="both"/>
              <w:rPr>
                <w:rFonts w:ascii="Arial" w:hAnsi="Arial" w:cs="Arial"/>
                <w:color w:val="000000"/>
                <w:sz w:val="22"/>
                <w:szCs w:val="22"/>
              </w:rPr>
            </w:pPr>
            <w:r w:rsidRPr="00F9064B">
              <w:rPr>
                <w:rFonts w:ascii="Arial" w:hAnsi="Arial" w:cs="Arial"/>
                <w:color w:val="000000"/>
                <w:position w:val="4"/>
                <w:sz w:val="22"/>
                <w:szCs w:val="22"/>
                <w:vertAlign w:val="superscript"/>
              </w:rPr>
              <w:t>2</w:t>
            </w:r>
            <w:r w:rsidRPr="00F9064B">
              <w:rPr>
                <w:rFonts w:ascii="Arial" w:hAnsi="Arial" w:cs="Arial"/>
                <w:color w:val="000000"/>
                <w:sz w:val="22"/>
                <w:szCs w:val="22"/>
              </w:rPr>
              <w:t>Il Gran Consiglio decide le misure per importi superiori a 1'000’000 di franchi.</w:t>
            </w:r>
          </w:p>
          <w:p w:rsidR="002E22F1" w:rsidRDefault="002E22F1" w:rsidP="00B93281">
            <w:pPr>
              <w:pStyle w:val="NormaleWeb"/>
              <w:shd w:val="clear" w:color="auto" w:fill="FFFFFF"/>
              <w:spacing w:before="0" w:beforeAutospacing="0" w:after="0" w:afterAutospacing="0"/>
              <w:ind w:right="187"/>
              <w:jc w:val="both"/>
              <w:rPr>
                <w:rFonts w:ascii="Arial" w:hAnsi="Arial" w:cs="Arial"/>
                <w:color w:val="000000"/>
                <w:sz w:val="22"/>
                <w:szCs w:val="22"/>
              </w:rPr>
            </w:pPr>
          </w:p>
          <w:p w:rsidR="002E22F1" w:rsidRPr="00F9064B" w:rsidRDefault="002E22F1" w:rsidP="00B93281">
            <w:pPr>
              <w:pStyle w:val="NormaleWeb"/>
              <w:shd w:val="clear" w:color="auto" w:fill="FFFFFF"/>
              <w:spacing w:before="0" w:beforeAutospacing="0" w:after="0" w:afterAutospacing="0"/>
              <w:ind w:right="187"/>
              <w:jc w:val="both"/>
              <w:rPr>
                <w:rFonts w:ascii="Arial" w:hAnsi="Arial" w:cs="Arial"/>
                <w:b/>
                <w:sz w:val="22"/>
                <w:szCs w:val="22"/>
              </w:rPr>
            </w:pPr>
          </w:p>
        </w:tc>
      </w:tr>
      <w:tr w:rsidR="002E22F1" w:rsidRPr="00212363" w:rsidTr="00B93281">
        <w:tc>
          <w:tcPr>
            <w:tcW w:w="2263" w:type="dxa"/>
          </w:tcPr>
          <w:p w:rsidR="002E22F1" w:rsidRPr="00F9064B" w:rsidRDefault="002E22F1" w:rsidP="00B93281">
            <w:pPr>
              <w:jc w:val="left"/>
              <w:rPr>
                <w:b/>
                <w:sz w:val="20"/>
              </w:rPr>
            </w:pPr>
          </w:p>
        </w:tc>
        <w:tc>
          <w:tcPr>
            <w:tcW w:w="7237" w:type="dxa"/>
          </w:tcPr>
          <w:p w:rsidR="002E22F1" w:rsidRDefault="002E22F1" w:rsidP="00B93281">
            <w:pPr>
              <w:rPr>
                <w:b/>
                <w:sz w:val="22"/>
              </w:rPr>
            </w:pPr>
            <w:r w:rsidRPr="00F9064B">
              <w:rPr>
                <w:b/>
                <w:sz w:val="22"/>
              </w:rPr>
              <w:t>Art. 18 cpv. 1 e 2</w:t>
            </w:r>
          </w:p>
          <w:p w:rsidR="002E22F1" w:rsidRPr="005A5012" w:rsidRDefault="002E22F1" w:rsidP="00B93281">
            <w:pPr>
              <w:rPr>
                <w:sz w:val="22"/>
              </w:rPr>
            </w:pPr>
          </w:p>
          <w:p w:rsidR="002E22F1" w:rsidRDefault="002E22F1" w:rsidP="00B93281">
            <w:pPr>
              <w:pStyle w:val="NormaleWeb"/>
              <w:shd w:val="clear" w:color="auto" w:fill="FFFFFF"/>
              <w:spacing w:before="0" w:beforeAutospacing="0" w:after="0" w:afterAutospacing="0"/>
              <w:ind w:right="187"/>
              <w:jc w:val="both"/>
              <w:rPr>
                <w:rFonts w:ascii="Arial" w:hAnsi="Arial" w:cs="Arial"/>
                <w:color w:val="000000"/>
                <w:sz w:val="22"/>
                <w:szCs w:val="22"/>
              </w:rPr>
            </w:pPr>
            <w:r w:rsidRPr="00F9064B">
              <w:rPr>
                <w:rFonts w:ascii="Arial" w:hAnsi="Arial"/>
                <w:sz w:val="22"/>
                <w:szCs w:val="22"/>
                <w:vertAlign w:val="superscript"/>
              </w:rPr>
              <w:t>1</w:t>
            </w:r>
            <w:r w:rsidRPr="00F9064B">
              <w:rPr>
                <w:rFonts w:ascii="Arial" w:hAnsi="Arial" w:cs="Arial"/>
                <w:color w:val="000000"/>
                <w:sz w:val="22"/>
                <w:szCs w:val="22"/>
              </w:rPr>
              <w:t>Se l’oggetto del sussidio è destinato ad altro uso o è stato alienato, con o senza lucro, il beneficiario deve notificarlo immediatamente all’autorità erogante. Il Consiglio di Stato può decretare la restituzione totale o parziale del sussidio dopo averne valutato il cambiamento di destinazione.</w:t>
            </w:r>
          </w:p>
          <w:p w:rsidR="002E22F1" w:rsidRPr="00F9064B" w:rsidRDefault="002E22F1" w:rsidP="00B93281">
            <w:pPr>
              <w:pStyle w:val="NormaleWeb"/>
              <w:shd w:val="clear" w:color="auto" w:fill="FFFFFF"/>
              <w:spacing w:before="0" w:beforeAutospacing="0" w:after="0" w:afterAutospacing="0"/>
              <w:ind w:right="187"/>
              <w:jc w:val="both"/>
              <w:rPr>
                <w:rFonts w:ascii="Arial" w:hAnsi="Arial" w:cs="Arial"/>
                <w:color w:val="000000"/>
                <w:sz w:val="22"/>
                <w:szCs w:val="22"/>
              </w:rPr>
            </w:pPr>
          </w:p>
          <w:p w:rsidR="002E22F1" w:rsidRPr="00F9064B" w:rsidRDefault="002E22F1" w:rsidP="00B93281">
            <w:pPr>
              <w:pStyle w:val="NormaleWeb"/>
              <w:shd w:val="clear" w:color="auto" w:fill="FFFFFF"/>
              <w:spacing w:before="0" w:beforeAutospacing="0" w:after="0" w:afterAutospacing="0"/>
              <w:ind w:right="187"/>
              <w:jc w:val="both"/>
              <w:rPr>
                <w:b/>
                <w:sz w:val="22"/>
                <w:szCs w:val="22"/>
              </w:rPr>
            </w:pPr>
            <w:r w:rsidRPr="00F9064B">
              <w:rPr>
                <w:rFonts w:ascii="Arial" w:hAnsi="Arial"/>
                <w:sz w:val="22"/>
                <w:szCs w:val="22"/>
                <w:vertAlign w:val="superscript"/>
              </w:rPr>
              <w:t>2</w:t>
            </w:r>
            <w:r w:rsidRPr="00F9064B">
              <w:rPr>
                <w:rFonts w:ascii="Arial" w:hAnsi="Arial" w:cs="Arial"/>
                <w:color w:val="000000"/>
                <w:sz w:val="22"/>
                <w:szCs w:val="22"/>
              </w:rPr>
              <w:t xml:space="preserve">L’obbligo di restituzione si estingue dopo un periodo di 25 anni al massimo dalla data della concessione del sussidio. </w:t>
            </w:r>
          </w:p>
        </w:tc>
      </w:tr>
    </w:tbl>
    <w:p w:rsidR="002E22F1" w:rsidRPr="00212363" w:rsidRDefault="002E22F1" w:rsidP="002E22F1">
      <w:pPr>
        <w:rPr>
          <w:rFonts w:cs="Arial"/>
          <w:bCs/>
          <w:szCs w:val="24"/>
        </w:rPr>
      </w:pPr>
    </w:p>
    <w:p w:rsidR="002E22F1" w:rsidRPr="00780A8E" w:rsidRDefault="002E22F1" w:rsidP="002E22F1">
      <w:pPr>
        <w:rPr>
          <w:szCs w:val="24"/>
        </w:rPr>
      </w:pPr>
    </w:p>
    <w:p w:rsidR="002E22F1" w:rsidRPr="00780A8E" w:rsidRDefault="002E22F1" w:rsidP="002E22F1">
      <w:pPr>
        <w:rPr>
          <w:b/>
          <w:szCs w:val="24"/>
        </w:rPr>
      </w:pPr>
      <w:r w:rsidRPr="00780A8E">
        <w:rPr>
          <w:b/>
          <w:szCs w:val="24"/>
        </w:rPr>
        <w:t>II</w:t>
      </w:r>
    </w:p>
    <w:p w:rsidR="002E22F1" w:rsidRDefault="002E22F1" w:rsidP="002E22F1">
      <w:pPr>
        <w:spacing w:before="120"/>
      </w:pPr>
      <w:r w:rsidRPr="006921F3">
        <w:t>Trascorsi i termini per l’esercizio del diritto di referendum, la presente modifica di legge è pubblicata nel Bollettino ufficiale delle leggi ed entra immediatamente in vigore.</w:t>
      </w:r>
    </w:p>
    <w:p w:rsidR="002E22F1" w:rsidRPr="006921F3" w:rsidRDefault="002E22F1" w:rsidP="002E22F1">
      <w:pPr>
        <w:spacing w:before="120"/>
      </w:pPr>
    </w:p>
    <w:p w:rsidR="002E22F1" w:rsidRPr="00212363" w:rsidRDefault="002E22F1" w:rsidP="002E22F1">
      <w:pPr>
        <w:pStyle w:val="NormaleWeb"/>
        <w:spacing w:before="0" w:beforeAutospacing="0" w:after="0" w:afterAutospacing="0"/>
        <w:jc w:val="both"/>
        <w:rPr>
          <w:rFonts w:cs="Arial"/>
        </w:rPr>
      </w:pPr>
      <w:r w:rsidRPr="00212363">
        <w:rPr>
          <w:rFonts w:cs="Arial"/>
        </w:rPr>
        <w:br w:type="page"/>
      </w:r>
    </w:p>
    <w:p w:rsidR="002E22F1" w:rsidRPr="00D956CB" w:rsidRDefault="002E22F1" w:rsidP="002E22F1">
      <w:pPr>
        <w:rPr>
          <w:rFonts w:cs="Arial"/>
          <w:szCs w:val="24"/>
        </w:rPr>
      </w:pPr>
      <w:r w:rsidRPr="00D956CB">
        <w:rPr>
          <w:rFonts w:cs="Arial"/>
          <w:szCs w:val="24"/>
        </w:rPr>
        <w:lastRenderedPageBreak/>
        <w:t xml:space="preserve">Disegno di </w:t>
      </w:r>
    </w:p>
    <w:p w:rsidR="002E22F1" w:rsidRDefault="002E22F1" w:rsidP="002E22F1">
      <w:pPr>
        <w:rPr>
          <w:rFonts w:cs="Arial"/>
          <w:szCs w:val="24"/>
        </w:rPr>
      </w:pPr>
    </w:p>
    <w:p w:rsidR="002E22F1" w:rsidRPr="00B93281" w:rsidRDefault="002E22F1" w:rsidP="00B93281">
      <w:pPr>
        <w:spacing w:before="120" w:after="120"/>
        <w:rPr>
          <w:b/>
        </w:rPr>
      </w:pPr>
      <w:bookmarkStart w:id="39" w:name="_Toc20472791"/>
      <w:r w:rsidRPr="00B93281">
        <w:rPr>
          <w:b/>
        </w:rPr>
        <w:t>LEGGE</w:t>
      </w:r>
    </w:p>
    <w:p w:rsidR="002E22F1" w:rsidRPr="00B93281" w:rsidRDefault="002E22F1" w:rsidP="00B93281">
      <w:pPr>
        <w:rPr>
          <w:rFonts w:cs="Arial"/>
          <w:b/>
        </w:rPr>
      </w:pPr>
      <w:r w:rsidRPr="00B93281">
        <w:rPr>
          <w:b/>
        </w:rPr>
        <w:t>sull’agricoltura del 3 dicembre 2002</w:t>
      </w:r>
      <w:bookmarkEnd w:id="39"/>
      <w:r w:rsidRPr="00B93281">
        <w:rPr>
          <w:b/>
        </w:rPr>
        <w:t>; modifica</w:t>
      </w:r>
    </w:p>
    <w:p w:rsidR="002E22F1" w:rsidRDefault="002E22F1" w:rsidP="002E22F1">
      <w:pPr>
        <w:rPr>
          <w:rFonts w:cs="Arial"/>
          <w:szCs w:val="24"/>
        </w:rPr>
      </w:pPr>
    </w:p>
    <w:p w:rsidR="00B93281" w:rsidRPr="007B4BFA" w:rsidRDefault="00B93281" w:rsidP="002E22F1">
      <w:pPr>
        <w:rPr>
          <w:rFonts w:cs="Arial"/>
          <w:szCs w:val="24"/>
        </w:rPr>
      </w:pPr>
    </w:p>
    <w:p w:rsidR="002E22F1" w:rsidRPr="008B31DC" w:rsidRDefault="002E22F1" w:rsidP="002E22F1">
      <w:pPr>
        <w:rPr>
          <w:rFonts w:cs="Arial"/>
          <w:szCs w:val="24"/>
        </w:rPr>
      </w:pPr>
      <w:r>
        <w:rPr>
          <w:rFonts w:cs="Arial"/>
          <w:szCs w:val="24"/>
        </w:rPr>
        <w:t>IL GRAN CONSIGLIO</w:t>
      </w:r>
      <w:r w:rsidRPr="008B31DC">
        <w:rPr>
          <w:rFonts w:cs="Arial"/>
          <w:szCs w:val="24"/>
        </w:rPr>
        <w:t xml:space="preserve"> </w:t>
      </w:r>
    </w:p>
    <w:p w:rsidR="002E22F1" w:rsidRPr="008B31DC" w:rsidRDefault="002E22F1" w:rsidP="002E22F1">
      <w:pPr>
        <w:rPr>
          <w:rFonts w:cs="Arial"/>
          <w:szCs w:val="24"/>
        </w:rPr>
      </w:pPr>
      <w:r>
        <w:rPr>
          <w:rFonts w:cs="Arial"/>
          <w:szCs w:val="24"/>
        </w:rPr>
        <w:t>DELLA REPUBBLICA E CANTONE TICINO</w:t>
      </w:r>
    </w:p>
    <w:p w:rsidR="002E22F1" w:rsidRPr="009509DF" w:rsidRDefault="002E22F1" w:rsidP="002E22F1">
      <w:pPr>
        <w:pStyle w:val="Art"/>
        <w:ind w:left="0"/>
        <w:rPr>
          <w:rFonts w:cs="Arial"/>
          <w:noProof w:val="0"/>
          <w:sz w:val="24"/>
          <w:szCs w:val="24"/>
        </w:rPr>
      </w:pPr>
    </w:p>
    <w:p w:rsidR="002E22F1" w:rsidRPr="009509DF" w:rsidRDefault="002E22F1" w:rsidP="002E22F1">
      <w:pPr>
        <w:pStyle w:val="NormaleWeb"/>
        <w:tabs>
          <w:tab w:val="left" w:pos="3686"/>
          <w:tab w:val="left" w:pos="4820"/>
        </w:tabs>
        <w:spacing w:before="0" w:beforeAutospacing="0" w:after="0" w:afterAutospacing="0"/>
        <w:rPr>
          <w:rFonts w:ascii="Arial" w:hAnsi="Arial" w:cs="Arial"/>
        </w:rPr>
      </w:pPr>
      <w:r w:rsidRPr="009509DF">
        <w:rPr>
          <w:rFonts w:ascii="Arial" w:hAnsi="Arial" w:cs="Arial"/>
        </w:rPr>
        <w:t xml:space="preserve">visto il messaggio </w:t>
      </w:r>
      <w:r>
        <w:rPr>
          <w:rFonts w:ascii="Arial" w:hAnsi="Arial" w:cs="Arial"/>
        </w:rPr>
        <w:t>16 ottobre 2019 n. 7725</w:t>
      </w:r>
      <w:r w:rsidRPr="009509DF">
        <w:rPr>
          <w:rFonts w:ascii="Arial" w:hAnsi="Arial" w:cs="Arial"/>
        </w:rPr>
        <w:t xml:space="preserve"> del Consiglio di Stato,</w:t>
      </w:r>
    </w:p>
    <w:p w:rsidR="002E22F1" w:rsidRPr="009509DF" w:rsidRDefault="002E22F1" w:rsidP="002E22F1">
      <w:pPr>
        <w:tabs>
          <w:tab w:val="left" w:pos="851"/>
        </w:tabs>
        <w:rPr>
          <w:rFonts w:cs="Arial"/>
          <w:szCs w:val="24"/>
        </w:rPr>
      </w:pPr>
    </w:p>
    <w:p w:rsidR="002E22F1" w:rsidRPr="009509DF" w:rsidRDefault="002E22F1" w:rsidP="002E22F1">
      <w:pPr>
        <w:tabs>
          <w:tab w:val="left" w:pos="851"/>
        </w:tabs>
        <w:rPr>
          <w:rFonts w:cs="Arial"/>
          <w:szCs w:val="24"/>
        </w:rPr>
      </w:pPr>
    </w:p>
    <w:p w:rsidR="002E22F1" w:rsidRPr="00F9064B" w:rsidRDefault="002E22F1" w:rsidP="002E22F1">
      <w:pPr>
        <w:pStyle w:val="NormaleWeb"/>
        <w:spacing w:before="0" w:beforeAutospacing="0" w:after="0" w:afterAutospacing="0"/>
        <w:rPr>
          <w:rFonts w:ascii="Arial" w:hAnsi="Arial" w:cs="Arial"/>
          <w:b/>
          <w:bCs/>
        </w:rPr>
      </w:pPr>
      <w:r w:rsidRPr="00F9064B">
        <w:rPr>
          <w:rFonts w:ascii="Arial" w:hAnsi="Arial" w:cs="Arial"/>
          <w:b/>
          <w:bCs/>
        </w:rPr>
        <w:t>d e c r e t a :</w:t>
      </w:r>
    </w:p>
    <w:p w:rsidR="002E22F1" w:rsidRPr="00212363" w:rsidRDefault="002E22F1" w:rsidP="002E22F1">
      <w:pPr>
        <w:tabs>
          <w:tab w:val="left" w:pos="851"/>
        </w:tabs>
        <w:rPr>
          <w:rFonts w:cs="Arial"/>
          <w:szCs w:val="24"/>
        </w:rPr>
      </w:pPr>
    </w:p>
    <w:p w:rsidR="002E22F1" w:rsidRPr="00EC2934" w:rsidRDefault="002E22F1" w:rsidP="002E22F1">
      <w:pPr>
        <w:tabs>
          <w:tab w:val="left" w:pos="851"/>
        </w:tabs>
        <w:rPr>
          <w:rFonts w:cs="Arial"/>
          <w:szCs w:val="24"/>
        </w:rPr>
      </w:pPr>
    </w:p>
    <w:p w:rsidR="002E22F1" w:rsidRPr="00F9064B" w:rsidRDefault="002E22F1" w:rsidP="002E22F1">
      <w:pPr>
        <w:tabs>
          <w:tab w:val="left" w:pos="426"/>
        </w:tabs>
        <w:rPr>
          <w:rFonts w:cs="Arial"/>
          <w:b/>
          <w:szCs w:val="24"/>
        </w:rPr>
      </w:pPr>
      <w:r w:rsidRPr="00F9064B">
        <w:rPr>
          <w:rFonts w:cs="Arial"/>
          <w:b/>
          <w:szCs w:val="24"/>
        </w:rPr>
        <w:t>I</w:t>
      </w:r>
    </w:p>
    <w:p w:rsidR="002E22F1" w:rsidRDefault="002E22F1" w:rsidP="002E22F1">
      <w:pPr>
        <w:tabs>
          <w:tab w:val="left" w:pos="426"/>
        </w:tabs>
        <w:spacing w:before="120"/>
        <w:rPr>
          <w:rFonts w:cs="Arial"/>
          <w:szCs w:val="24"/>
        </w:rPr>
      </w:pPr>
      <w:r w:rsidRPr="004551D7">
        <w:rPr>
          <w:rFonts w:cs="Arial"/>
          <w:szCs w:val="24"/>
        </w:rPr>
        <w:t xml:space="preserve">La legge </w:t>
      </w:r>
      <w:r>
        <w:rPr>
          <w:rFonts w:cs="Arial"/>
          <w:szCs w:val="24"/>
        </w:rPr>
        <w:t xml:space="preserve">sull’agricoltura del 3 dicembre 2002 </w:t>
      </w:r>
      <w:r w:rsidRPr="004551D7">
        <w:rPr>
          <w:rFonts w:cs="Arial"/>
          <w:szCs w:val="24"/>
        </w:rPr>
        <w:t>è così modificata</w:t>
      </w:r>
      <w:r>
        <w:rPr>
          <w:rFonts w:cs="Arial"/>
          <w:szCs w:val="24"/>
        </w:rPr>
        <w:t>:</w:t>
      </w:r>
    </w:p>
    <w:p w:rsidR="002E22F1" w:rsidRDefault="002E22F1" w:rsidP="002E22F1">
      <w:pPr>
        <w:tabs>
          <w:tab w:val="left" w:pos="426"/>
        </w:tabs>
        <w:rPr>
          <w:rFonts w:cs="Arial"/>
          <w:szCs w:val="24"/>
        </w:rPr>
      </w:pPr>
    </w:p>
    <w:tbl>
      <w:tblPr>
        <w:tblW w:w="0" w:type="auto"/>
        <w:tblLayout w:type="fixed"/>
        <w:tblCellMar>
          <w:left w:w="70" w:type="dxa"/>
          <w:right w:w="70" w:type="dxa"/>
        </w:tblCellMar>
        <w:tblLook w:val="0000" w:firstRow="0" w:lastRow="0" w:firstColumn="0" w:lastColumn="0" w:noHBand="0" w:noVBand="0"/>
      </w:tblPr>
      <w:tblGrid>
        <w:gridCol w:w="2263"/>
        <w:gridCol w:w="7237"/>
      </w:tblGrid>
      <w:tr w:rsidR="002E22F1" w:rsidRPr="00667417" w:rsidTr="00B93281">
        <w:tc>
          <w:tcPr>
            <w:tcW w:w="2263" w:type="dxa"/>
          </w:tcPr>
          <w:p w:rsidR="002E22F1" w:rsidRPr="00DA5320" w:rsidRDefault="002E22F1" w:rsidP="00B93281">
            <w:pPr>
              <w:ind w:left="-75"/>
              <w:jc w:val="left"/>
              <w:rPr>
                <w:sz w:val="22"/>
              </w:rPr>
            </w:pPr>
          </w:p>
          <w:p w:rsidR="002E22F1" w:rsidRPr="00DA5320" w:rsidRDefault="002E22F1" w:rsidP="00B93281">
            <w:pPr>
              <w:ind w:left="-75"/>
              <w:jc w:val="left"/>
              <w:rPr>
                <w:sz w:val="22"/>
              </w:rPr>
            </w:pPr>
          </w:p>
          <w:p w:rsidR="002E22F1" w:rsidRPr="00212048" w:rsidRDefault="002E22F1" w:rsidP="00B93281">
            <w:pPr>
              <w:ind w:left="-75"/>
              <w:jc w:val="left"/>
              <w:rPr>
                <w:b/>
              </w:rPr>
            </w:pPr>
            <w:r>
              <w:rPr>
                <w:b/>
                <w:sz w:val="20"/>
              </w:rPr>
              <w:t>Messa in rete e valorizzazione della produzione locale</w:t>
            </w:r>
          </w:p>
        </w:tc>
        <w:tc>
          <w:tcPr>
            <w:tcW w:w="7237" w:type="dxa"/>
          </w:tcPr>
          <w:p w:rsidR="002E22F1" w:rsidRDefault="002E22F1" w:rsidP="00B93281">
            <w:pPr>
              <w:rPr>
                <w:b/>
                <w:sz w:val="22"/>
              </w:rPr>
            </w:pPr>
            <w:r w:rsidRPr="00F9064B">
              <w:rPr>
                <w:b/>
                <w:sz w:val="22"/>
              </w:rPr>
              <w:t>Art. 14a (nuovo)</w:t>
            </w:r>
          </w:p>
          <w:p w:rsidR="002E22F1" w:rsidRPr="00DA5320" w:rsidRDefault="002E22F1" w:rsidP="00B93281">
            <w:pPr>
              <w:rPr>
                <w:sz w:val="22"/>
              </w:rPr>
            </w:pPr>
          </w:p>
          <w:p w:rsidR="002E22F1" w:rsidRDefault="002E22F1" w:rsidP="00B93281">
            <w:pPr>
              <w:rPr>
                <w:sz w:val="22"/>
              </w:rPr>
            </w:pPr>
            <w:r w:rsidRPr="00F9064B">
              <w:rPr>
                <w:sz w:val="22"/>
                <w:vertAlign w:val="superscript"/>
              </w:rPr>
              <w:t>1</w:t>
            </w:r>
            <w:r w:rsidRPr="00F9064B">
              <w:rPr>
                <w:sz w:val="22"/>
              </w:rPr>
              <w:t>Il Cantone può sostenere, anche finanziariamente, organizzazioni interdisciplinari, che rappresentano segnatamente la produzione agricola, la trasformazione, la distribuzione, la ristorazione e il turismo, il cui scopo è valorizzare la produzione agricola locale e il consumo dei relativi prodotti agroalimentari.</w:t>
            </w:r>
          </w:p>
          <w:p w:rsidR="002E22F1" w:rsidRPr="00F9064B" w:rsidRDefault="002E22F1" w:rsidP="00B93281">
            <w:pPr>
              <w:rPr>
                <w:sz w:val="22"/>
              </w:rPr>
            </w:pPr>
          </w:p>
          <w:p w:rsidR="002E22F1" w:rsidRDefault="002E22F1" w:rsidP="00B93281">
            <w:pPr>
              <w:rPr>
                <w:rFonts w:cs="Arial"/>
                <w:color w:val="000000"/>
                <w:sz w:val="22"/>
              </w:rPr>
            </w:pPr>
            <w:r w:rsidRPr="00F9064B">
              <w:rPr>
                <w:rFonts w:cs="Arial"/>
                <w:color w:val="000000"/>
                <w:sz w:val="22"/>
                <w:vertAlign w:val="superscript"/>
              </w:rPr>
              <w:t>2</w:t>
            </w:r>
            <w:r w:rsidRPr="00F9064B">
              <w:rPr>
                <w:rFonts w:cs="Arial"/>
                <w:color w:val="000000"/>
                <w:sz w:val="22"/>
              </w:rPr>
              <w:t>Per potere beneficiare del sostegno del Cantone le organizzazioni devono essere riconosciute dal Consiglio di Stato in base a criteri di rappresentatività. Il riconoscimento è sottoposto a regolare riesame.</w:t>
            </w:r>
          </w:p>
          <w:p w:rsidR="002E22F1" w:rsidRPr="00F9064B" w:rsidRDefault="002E22F1" w:rsidP="00B93281">
            <w:pPr>
              <w:rPr>
                <w:sz w:val="22"/>
              </w:rPr>
            </w:pPr>
          </w:p>
          <w:p w:rsidR="002E22F1" w:rsidRPr="00F9064B" w:rsidRDefault="002E22F1" w:rsidP="00B93281">
            <w:pPr>
              <w:rPr>
                <w:sz w:val="22"/>
              </w:rPr>
            </w:pPr>
            <w:r w:rsidRPr="00F9064B">
              <w:rPr>
                <w:sz w:val="22"/>
                <w:vertAlign w:val="superscript"/>
              </w:rPr>
              <w:t>3</w:t>
            </w:r>
            <w:r w:rsidRPr="00F9064B">
              <w:rPr>
                <w:sz w:val="22"/>
              </w:rPr>
              <w:t>Le organizzazioni beneficiarie sono tenute a presentare al Consiglio di Stato il rapporto di attività e il rendiconto finanziario.</w:t>
            </w:r>
          </w:p>
          <w:p w:rsidR="002E22F1" w:rsidRPr="00F9064B" w:rsidRDefault="002E22F1" w:rsidP="00B93281">
            <w:pPr>
              <w:pStyle w:val="NormaleWeb"/>
              <w:shd w:val="clear" w:color="auto" w:fill="FFFFFF"/>
              <w:spacing w:before="0" w:beforeAutospacing="0" w:after="0" w:afterAutospacing="0"/>
              <w:ind w:right="187"/>
              <w:jc w:val="both"/>
              <w:rPr>
                <w:b/>
                <w:sz w:val="22"/>
                <w:szCs w:val="22"/>
              </w:rPr>
            </w:pPr>
          </w:p>
        </w:tc>
      </w:tr>
    </w:tbl>
    <w:p w:rsidR="002E22F1" w:rsidRDefault="002E22F1" w:rsidP="002E22F1">
      <w:pPr>
        <w:tabs>
          <w:tab w:val="left" w:pos="426"/>
        </w:tabs>
        <w:rPr>
          <w:rFonts w:cs="Arial"/>
          <w:szCs w:val="24"/>
        </w:rPr>
      </w:pPr>
    </w:p>
    <w:p w:rsidR="002E22F1" w:rsidRDefault="002E22F1" w:rsidP="002E22F1">
      <w:pPr>
        <w:tabs>
          <w:tab w:val="left" w:pos="426"/>
        </w:tabs>
        <w:rPr>
          <w:rFonts w:cs="Arial"/>
          <w:szCs w:val="24"/>
        </w:rPr>
      </w:pPr>
    </w:p>
    <w:p w:rsidR="002E22F1" w:rsidRPr="00F9064B" w:rsidRDefault="002E22F1" w:rsidP="002E22F1">
      <w:pPr>
        <w:tabs>
          <w:tab w:val="left" w:pos="426"/>
        </w:tabs>
        <w:rPr>
          <w:rFonts w:cs="Arial"/>
          <w:b/>
          <w:szCs w:val="24"/>
        </w:rPr>
      </w:pPr>
      <w:r w:rsidRPr="00F9064B">
        <w:rPr>
          <w:rFonts w:cs="Arial"/>
          <w:b/>
          <w:szCs w:val="24"/>
        </w:rPr>
        <w:t>II</w:t>
      </w:r>
    </w:p>
    <w:p w:rsidR="002E22F1" w:rsidRPr="00D956CB" w:rsidRDefault="002E22F1" w:rsidP="002E22F1">
      <w:pPr>
        <w:tabs>
          <w:tab w:val="left" w:pos="426"/>
        </w:tabs>
        <w:spacing w:before="120"/>
        <w:rPr>
          <w:rFonts w:cs="Arial"/>
          <w:szCs w:val="24"/>
        </w:rPr>
      </w:pPr>
      <w:r>
        <w:rPr>
          <w:rFonts w:cs="Arial"/>
          <w:szCs w:val="24"/>
        </w:rPr>
        <w:t>Tr</w:t>
      </w:r>
      <w:r w:rsidRPr="00BC13AB">
        <w:rPr>
          <w:rFonts w:cs="Arial"/>
          <w:szCs w:val="24"/>
        </w:rPr>
        <w:t xml:space="preserve">ascorsi i termini per l’esercizio del diritto di referendum, la presente </w:t>
      </w:r>
      <w:r>
        <w:rPr>
          <w:rFonts w:cs="Arial"/>
          <w:szCs w:val="24"/>
        </w:rPr>
        <w:t xml:space="preserve">modifica di </w:t>
      </w:r>
      <w:r w:rsidRPr="00BC13AB">
        <w:rPr>
          <w:rFonts w:cs="Arial"/>
          <w:szCs w:val="24"/>
        </w:rPr>
        <w:t>legge è pubblicata nel Bollettino ufficiale delle leggi</w:t>
      </w:r>
      <w:r>
        <w:rPr>
          <w:rFonts w:cs="Arial"/>
          <w:szCs w:val="24"/>
        </w:rPr>
        <w:t xml:space="preserve"> ed entra immeditatamente in vigore</w:t>
      </w:r>
      <w:r w:rsidRPr="00BC13AB">
        <w:rPr>
          <w:rFonts w:cs="Arial"/>
          <w:szCs w:val="24"/>
        </w:rPr>
        <w:t>.</w:t>
      </w:r>
    </w:p>
    <w:p w:rsidR="002E22F1" w:rsidRPr="00D956CB" w:rsidRDefault="002E22F1" w:rsidP="002E22F1">
      <w:pPr>
        <w:tabs>
          <w:tab w:val="left" w:pos="426"/>
          <w:tab w:val="left" w:pos="7655"/>
        </w:tabs>
        <w:rPr>
          <w:rFonts w:cs="Arial"/>
          <w:szCs w:val="24"/>
        </w:rPr>
      </w:pPr>
    </w:p>
    <w:p w:rsidR="002E22F1" w:rsidRDefault="002E22F1" w:rsidP="002E22F1">
      <w:pPr>
        <w:jc w:val="left"/>
        <w:rPr>
          <w:rFonts w:cs="Arial"/>
          <w:szCs w:val="24"/>
        </w:rPr>
      </w:pPr>
      <w:r>
        <w:rPr>
          <w:rFonts w:cs="Arial"/>
        </w:rPr>
        <w:br w:type="page"/>
      </w:r>
    </w:p>
    <w:p w:rsidR="002E22F1" w:rsidRDefault="002E22F1" w:rsidP="002E22F1">
      <w:pPr>
        <w:rPr>
          <w:rFonts w:cs="Arial"/>
          <w:szCs w:val="24"/>
        </w:rPr>
      </w:pPr>
      <w:r w:rsidRPr="008905EA">
        <w:rPr>
          <w:rFonts w:cs="Arial"/>
          <w:szCs w:val="24"/>
        </w:rPr>
        <w:lastRenderedPageBreak/>
        <w:t>Disegno di</w:t>
      </w:r>
    </w:p>
    <w:p w:rsidR="002E22F1" w:rsidRPr="008905EA" w:rsidRDefault="002E22F1" w:rsidP="002E22F1">
      <w:pPr>
        <w:rPr>
          <w:rFonts w:cs="Arial"/>
          <w:szCs w:val="24"/>
        </w:rPr>
      </w:pPr>
    </w:p>
    <w:p w:rsidR="002E22F1" w:rsidRPr="00B93281" w:rsidRDefault="002E22F1" w:rsidP="00B93281">
      <w:pPr>
        <w:spacing w:before="120" w:after="120"/>
        <w:rPr>
          <w:b/>
        </w:rPr>
      </w:pPr>
      <w:bookmarkStart w:id="40" w:name="_Toc20472792"/>
      <w:r w:rsidRPr="00B93281">
        <w:rPr>
          <w:b/>
        </w:rPr>
        <w:t>DECRETO LEGISLATIVO</w:t>
      </w:r>
      <w:bookmarkEnd w:id="40"/>
    </w:p>
    <w:p w:rsidR="002E22F1" w:rsidRPr="007B4BFA" w:rsidRDefault="002E22F1" w:rsidP="002E22F1">
      <w:pPr>
        <w:spacing w:before="120"/>
        <w:rPr>
          <w:b/>
        </w:rPr>
      </w:pPr>
      <w:r w:rsidRPr="007B4BFA">
        <w:rPr>
          <w:b/>
        </w:rPr>
        <w:t>concernente lo stanziamento di un credito quadro di 2’000'000 di franchi per il periodo 2020-2023 destinato al finanziamento delle misure contemplate dall’art. 14a della legge sull’agricoltura del 3 dicembre 2002</w:t>
      </w:r>
    </w:p>
    <w:p w:rsidR="002E22F1" w:rsidRDefault="002E22F1" w:rsidP="002E22F1">
      <w:pPr>
        <w:rPr>
          <w:rFonts w:cs="Arial"/>
          <w:szCs w:val="24"/>
        </w:rPr>
      </w:pPr>
    </w:p>
    <w:p w:rsidR="002E22F1" w:rsidRPr="008905EA" w:rsidRDefault="002E22F1" w:rsidP="002E22F1">
      <w:pPr>
        <w:rPr>
          <w:rFonts w:cs="Arial"/>
          <w:szCs w:val="24"/>
        </w:rPr>
      </w:pPr>
      <w:r>
        <w:rPr>
          <w:rFonts w:cs="Arial"/>
          <w:szCs w:val="24"/>
        </w:rPr>
        <w:t>IL GRAN CONSIGLIO</w:t>
      </w:r>
    </w:p>
    <w:p w:rsidR="002E22F1" w:rsidRPr="008905EA" w:rsidRDefault="002E22F1" w:rsidP="002E22F1">
      <w:pPr>
        <w:rPr>
          <w:rFonts w:cs="Arial"/>
          <w:szCs w:val="24"/>
        </w:rPr>
      </w:pPr>
      <w:r>
        <w:rPr>
          <w:rFonts w:cs="Arial"/>
          <w:szCs w:val="24"/>
        </w:rPr>
        <w:t>DELLA REPUBBLICA E CANTONE TICINO</w:t>
      </w:r>
    </w:p>
    <w:p w:rsidR="002E22F1" w:rsidRPr="009509DF" w:rsidRDefault="002E22F1" w:rsidP="002E22F1">
      <w:pPr>
        <w:pStyle w:val="Art"/>
        <w:ind w:left="0"/>
        <w:rPr>
          <w:rFonts w:cs="Arial"/>
          <w:noProof w:val="0"/>
          <w:sz w:val="24"/>
          <w:szCs w:val="24"/>
        </w:rPr>
      </w:pPr>
    </w:p>
    <w:p w:rsidR="002E22F1" w:rsidRPr="009509DF" w:rsidRDefault="002E22F1" w:rsidP="002E22F1">
      <w:pPr>
        <w:pStyle w:val="NormaleWeb"/>
        <w:tabs>
          <w:tab w:val="left" w:pos="3686"/>
          <w:tab w:val="left" w:pos="4820"/>
        </w:tabs>
        <w:spacing w:before="0" w:beforeAutospacing="0" w:after="0" w:afterAutospacing="0"/>
        <w:rPr>
          <w:rFonts w:ascii="Arial" w:hAnsi="Arial" w:cs="Arial"/>
        </w:rPr>
      </w:pPr>
      <w:r w:rsidRPr="009509DF">
        <w:rPr>
          <w:rFonts w:ascii="Arial" w:hAnsi="Arial" w:cs="Arial"/>
        </w:rPr>
        <w:t xml:space="preserve">visto il messaggio </w:t>
      </w:r>
      <w:r>
        <w:rPr>
          <w:rFonts w:ascii="Arial" w:hAnsi="Arial" w:cs="Arial"/>
        </w:rPr>
        <w:t>16 ottobre 2019 n. 7725</w:t>
      </w:r>
      <w:r w:rsidRPr="009509DF">
        <w:rPr>
          <w:rFonts w:ascii="Arial" w:hAnsi="Arial" w:cs="Arial"/>
        </w:rPr>
        <w:t xml:space="preserve"> del Consiglio di Stato,</w:t>
      </w:r>
    </w:p>
    <w:p w:rsidR="002E22F1" w:rsidRPr="009509DF" w:rsidRDefault="002E22F1" w:rsidP="002E22F1">
      <w:pPr>
        <w:tabs>
          <w:tab w:val="left" w:pos="851"/>
        </w:tabs>
        <w:rPr>
          <w:rFonts w:cs="Arial"/>
          <w:szCs w:val="24"/>
        </w:rPr>
      </w:pPr>
    </w:p>
    <w:p w:rsidR="002E22F1" w:rsidRPr="009509DF" w:rsidRDefault="002E22F1" w:rsidP="002E22F1">
      <w:pPr>
        <w:tabs>
          <w:tab w:val="left" w:pos="851"/>
        </w:tabs>
        <w:rPr>
          <w:rFonts w:cs="Arial"/>
          <w:szCs w:val="24"/>
        </w:rPr>
      </w:pPr>
    </w:p>
    <w:p w:rsidR="002E22F1" w:rsidRPr="00F9064B" w:rsidRDefault="002E22F1" w:rsidP="002E22F1">
      <w:pPr>
        <w:pStyle w:val="NormaleWeb"/>
        <w:spacing w:before="0" w:beforeAutospacing="0" w:after="0" w:afterAutospacing="0"/>
        <w:rPr>
          <w:rFonts w:ascii="Arial" w:hAnsi="Arial" w:cs="Arial"/>
          <w:b/>
          <w:bCs/>
        </w:rPr>
      </w:pPr>
      <w:r w:rsidRPr="00F9064B">
        <w:rPr>
          <w:rFonts w:ascii="Arial" w:hAnsi="Arial" w:cs="Arial"/>
          <w:b/>
          <w:bCs/>
        </w:rPr>
        <w:t>d e c r e t a :</w:t>
      </w:r>
    </w:p>
    <w:p w:rsidR="002E22F1" w:rsidRPr="00212363" w:rsidRDefault="002E22F1" w:rsidP="002E22F1">
      <w:pPr>
        <w:tabs>
          <w:tab w:val="left" w:pos="851"/>
        </w:tabs>
        <w:rPr>
          <w:rFonts w:cs="Arial"/>
          <w:szCs w:val="24"/>
        </w:rPr>
      </w:pPr>
    </w:p>
    <w:p w:rsidR="002E22F1" w:rsidRPr="00EC2934" w:rsidRDefault="002E22F1" w:rsidP="002E22F1">
      <w:pPr>
        <w:tabs>
          <w:tab w:val="left" w:pos="851"/>
        </w:tabs>
        <w:rPr>
          <w:rFonts w:cs="Arial"/>
          <w:szCs w:val="24"/>
        </w:rPr>
      </w:pPr>
    </w:p>
    <w:p w:rsidR="002E22F1" w:rsidRPr="006255D4" w:rsidRDefault="002E22F1" w:rsidP="002E22F1">
      <w:pPr>
        <w:spacing w:after="120"/>
        <w:rPr>
          <w:rFonts w:cs="Arial"/>
          <w:b/>
          <w:szCs w:val="24"/>
          <w:u w:val="single"/>
        </w:rPr>
      </w:pPr>
      <w:r w:rsidRPr="006255D4">
        <w:rPr>
          <w:rFonts w:cs="Arial"/>
          <w:b/>
          <w:szCs w:val="24"/>
          <w:u w:val="single"/>
        </w:rPr>
        <w:t xml:space="preserve">Articolo 1 </w:t>
      </w:r>
    </w:p>
    <w:p w:rsidR="002E22F1" w:rsidRPr="008905EA" w:rsidRDefault="002E22F1" w:rsidP="002E22F1">
      <w:pPr>
        <w:rPr>
          <w:rFonts w:cs="Arial"/>
          <w:szCs w:val="24"/>
        </w:rPr>
      </w:pPr>
      <w:r w:rsidRPr="008905EA">
        <w:rPr>
          <w:rFonts w:cs="Arial"/>
          <w:szCs w:val="24"/>
        </w:rPr>
        <w:t>È stanziato un credito quad</w:t>
      </w:r>
      <w:r w:rsidRPr="00121711">
        <w:rPr>
          <w:rFonts w:cs="Arial"/>
          <w:szCs w:val="24"/>
        </w:rPr>
        <w:t>ro di 2’000'000</w:t>
      </w:r>
      <w:r>
        <w:rPr>
          <w:rFonts w:cs="Arial"/>
          <w:szCs w:val="24"/>
        </w:rPr>
        <w:t xml:space="preserve"> di franchi</w:t>
      </w:r>
      <w:r w:rsidRPr="00121711">
        <w:rPr>
          <w:rFonts w:cs="Arial"/>
          <w:szCs w:val="24"/>
        </w:rPr>
        <w:t xml:space="preserve"> per il periodo 2020-2023, destinato al finanziamento delle misure contemplate</w:t>
      </w:r>
      <w:r w:rsidRPr="00121711">
        <w:rPr>
          <w:szCs w:val="24"/>
        </w:rPr>
        <w:t xml:space="preserve"> </w:t>
      </w:r>
      <w:r w:rsidRPr="00121711">
        <w:rPr>
          <w:rFonts w:cs="Arial"/>
          <w:szCs w:val="24"/>
        </w:rPr>
        <w:t xml:space="preserve">dall’art. 14a </w:t>
      </w:r>
      <w:r>
        <w:rPr>
          <w:rFonts w:cs="Arial"/>
          <w:szCs w:val="24"/>
        </w:rPr>
        <w:t>della l</w:t>
      </w:r>
      <w:r w:rsidRPr="00121711">
        <w:rPr>
          <w:rFonts w:cs="Arial"/>
          <w:szCs w:val="24"/>
        </w:rPr>
        <w:t>egge su</w:t>
      </w:r>
      <w:r w:rsidRPr="00415678">
        <w:rPr>
          <w:rFonts w:cs="Arial"/>
          <w:szCs w:val="24"/>
        </w:rPr>
        <w:t>ll’agricoltura del 3 dicembre 2002</w:t>
      </w:r>
      <w:r w:rsidRPr="008905EA">
        <w:rPr>
          <w:rFonts w:cs="Arial"/>
          <w:szCs w:val="24"/>
        </w:rPr>
        <w:t>.</w:t>
      </w:r>
    </w:p>
    <w:p w:rsidR="002E22F1" w:rsidRDefault="002E22F1" w:rsidP="002E22F1">
      <w:pPr>
        <w:rPr>
          <w:rFonts w:cs="Arial"/>
          <w:szCs w:val="24"/>
        </w:rPr>
      </w:pPr>
    </w:p>
    <w:p w:rsidR="002E22F1" w:rsidRDefault="002E22F1" w:rsidP="002E22F1">
      <w:pPr>
        <w:rPr>
          <w:rFonts w:cs="Arial"/>
          <w:szCs w:val="24"/>
        </w:rPr>
      </w:pPr>
    </w:p>
    <w:p w:rsidR="002E22F1" w:rsidRPr="006255D4" w:rsidRDefault="002E22F1" w:rsidP="002E22F1">
      <w:pPr>
        <w:spacing w:after="120"/>
        <w:rPr>
          <w:rFonts w:cs="Arial"/>
          <w:b/>
          <w:szCs w:val="24"/>
          <w:u w:val="single"/>
        </w:rPr>
      </w:pPr>
      <w:r w:rsidRPr="006255D4">
        <w:rPr>
          <w:rFonts w:cs="Arial"/>
          <w:b/>
          <w:szCs w:val="24"/>
          <w:u w:val="single"/>
        </w:rPr>
        <w:t>Art</w:t>
      </w:r>
      <w:r>
        <w:rPr>
          <w:rFonts w:cs="Arial"/>
          <w:b/>
          <w:szCs w:val="24"/>
          <w:u w:val="single"/>
        </w:rPr>
        <w:t>icolo</w:t>
      </w:r>
      <w:r w:rsidRPr="006255D4">
        <w:rPr>
          <w:rFonts w:cs="Arial"/>
          <w:b/>
          <w:szCs w:val="24"/>
          <w:u w:val="single"/>
        </w:rPr>
        <w:t xml:space="preserve"> 2</w:t>
      </w:r>
    </w:p>
    <w:p w:rsidR="002E22F1" w:rsidRPr="00121711" w:rsidRDefault="002E22F1" w:rsidP="002E22F1">
      <w:pPr>
        <w:rPr>
          <w:rFonts w:cs="Arial"/>
          <w:szCs w:val="24"/>
        </w:rPr>
      </w:pPr>
      <w:r w:rsidRPr="00121711">
        <w:rPr>
          <w:rFonts w:cs="Arial"/>
          <w:szCs w:val="24"/>
        </w:rPr>
        <w:t>Il credito di cui all’art. 1 è destinato alla concessione di aiuti cantonali per progetti volti a:</w:t>
      </w:r>
    </w:p>
    <w:p w:rsidR="002E22F1" w:rsidRPr="00121711" w:rsidRDefault="002E22F1" w:rsidP="002E22F1">
      <w:pPr>
        <w:pStyle w:val="Paragrafoelenco"/>
        <w:numPr>
          <w:ilvl w:val="0"/>
          <w:numId w:val="15"/>
        </w:numPr>
        <w:spacing w:before="80"/>
        <w:ind w:left="357" w:hanging="357"/>
        <w:rPr>
          <w:rFonts w:cs="Arial"/>
          <w:szCs w:val="24"/>
        </w:rPr>
      </w:pPr>
      <w:r w:rsidRPr="00121711">
        <w:rPr>
          <w:rFonts w:cs="Arial"/>
          <w:szCs w:val="24"/>
        </w:rPr>
        <w:t>rendere l’offerta dei prodotti e servizi agroalimentari tipici accessibile ai diversi consumatori in Ticino e al di fuori;</w:t>
      </w:r>
    </w:p>
    <w:p w:rsidR="002E22F1" w:rsidRPr="00121711" w:rsidRDefault="002E22F1" w:rsidP="002E22F1">
      <w:pPr>
        <w:pStyle w:val="Paragrafoelenco"/>
        <w:numPr>
          <w:ilvl w:val="0"/>
          <w:numId w:val="15"/>
        </w:numPr>
        <w:spacing w:before="80"/>
        <w:ind w:left="357" w:hanging="357"/>
        <w:rPr>
          <w:rFonts w:cs="Arial"/>
          <w:szCs w:val="24"/>
        </w:rPr>
      </w:pPr>
      <w:r w:rsidRPr="00121711">
        <w:rPr>
          <w:rFonts w:cs="Arial"/>
          <w:szCs w:val="24"/>
        </w:rPr>
        <w:t>fungere da interfaccia tra i settori, con un’attenzione particolare alla produzione primaria e alla ristorazione;</w:t>
      </w:r>
    </w:p>
    <w:p w:rsidR="002E22F1" w:rsidRPr="00121711" w:rsidRDefault="002E22F1" w:rsidP="002E22F1">
      <w:pPr>
        <w:pStyle w:val="Paragrafoelenco"/>
        <w:numPr>
          <w:ilvl w:val="0"/>
          <w:numId w:val="15"/>
        </w:numPr>
        <w:spacing w:before="80"/>
        <w:ind w:left="357" w:hanging="357"/>
        <w:rPr>
          <w:rFonts w:cs="Arial"/>
          <w:szCs w:val="24"/>
        </w:rPr>
      </w:pPr>
      <w:r w:rsidRPr="00121711">
        <w:rPr>
          <w:rFonts w:cs="Arial"/>
          <w:szCs w:val="24"/>
        </w:rPr>
        <w:t>sviluppare e promuovere la Rete agroalimentare del Territorio (</w:t>
      </w:r>
      <w:proofErr w:type="spellStart"/>
      <w:r w:rsidRPr="00121711">
        <w:rPr>
          <w:rFonts w:cs="Arial"/>
          <w:szCs w:val="24"/>
        </w:rPr>
        <w:t>RdT</w:t>
      </w:r>
      <w:proofErr w:type="spellEnd"/>
      <w:r w:rsidRPr="00121711">
        <w:rPr>
          <w:rFonts w:cs="Arial"/>
          <w:szCs w:val="24"/>
        </w:rPr>
        <w:t>);</w:t>
      </w:r>
    </w:p>
    <w:p w:rsidR="002E22F1" w:rsidRPr="00121711" w:rsidRDefault="002E22F1" w:rsidP="002E22F1">
      <w:pPr>
        <w:pStyle w:val="Paragrafoelenco"/>
        <w:numPr>
          <w:ilvl w:val="0"/>
          <w:numId w:val="15"/>
        </w:numPr>
        <w:spacing w:before="80"/>
        <w:ind w:left="357" w:hanging="357"/>
        <w:rPr>
          <w:rFonts w:cs="Arial"/>
          <w:szCs w:val="24"/>
        </w:rPr>
      </w:pPr>
      <w:r w:rsidRPr="00121711">
        <w:rPr>
          <w:rFonts w:cs="Arial"/>
          <w:szCs w:val="24"/>
        </w:rPr>
        <w:t>promuovere i marchi già esistenti nella filiera agroalimentare;</w:t>
      </w:r>
    </w:p>
    <w:p w:rsidR="002E22F1" w:rsidRPr="00121711" w:rsidRDefault="002E22F1" w:rsidP="002E22F1">
      <w:pPr>
        <w:pStyle w:val="Paragrafoelenco"/>
        <w:numPr>
          <w:ilvl w:val="0"/>
          <w:numId w:val="15"/>
        </w:numPr>
        <w:spacing w:before="80"/>
        <w:ind w:left="357" w:hanging="357"/>
        <w:rPr>
          <w:rFonts w:cs="Arial"/>
          <w:szCs w:val="24"/>
        </w:rPr>
      </w:pPr>
      <w:r w:rsidRPr="00121711">
        <w:rPr>
          <w:rFonts w:cs="Arial"/>
          <w:szCs w:val="24"/>
        </w:rPr>
        <w:t>collaborare e coordinarsi con il settore turistico per integrare l’offerta del prodotto agroalimentare in quella turistica.</w:t>
      </w:r>
    </w:p>
    <w:p w:rsidR="002E22F1" w:rsidRDefault="002E22F1" w:rsidP="002E22F1">
      <w:pPr>
        <w:rPr>
          <w:rFonts w:cs="Arial"/>
          <w:szCs w:val="24"/>
        </w:rPr>
      </w:pPr>
    </w:p>
    <w:p w:rsidR="002E22F1" w:rsidRPr="008905EA" w:rsidRDefault="002E22F1" w:rsidP="002E22F1">
      <w:pPr>
        <w:rPr>
          <w:rFonts w:cs="Arial"/>
          <w:szCs w:val="24"/>
        </w:rPr>
      </w:pPr>
    </w:p>
    <w:p w:rsidR="002E22F1" w:rsidRPr="006255D4" w:rsidRDefault="002E22F1" w:rsidP="002E22F1">
      <w:pPr>
        <w:spacing w:after="120"/>
        <w:rPr>
          <w:rFonts w:cs="Arial"/>
          <w:b/>
          <w:szCs w:val="24"/>
          <w:u w:val="single"/>
        </w:rPr>
      </w:pPr>
      <w:r w:rsidRPr="006255D4">
        <w:rPr>
          <w:rFonts w:cs="Arial"/>
          <w:b/>
          <w:szCs w:val="24"/>
          <w:u w:val="single"/>
        </w:rPr>
        <w:t>Articolo 3</w:t>
      </w:r>
    </w:p>
    <w:p w:rsidR="002E22F1" w:rsidRDefault="002E22F1" w:rsidP="002E22F1">
      <w:pPr>
        <w:rPr>
          <w:rFonts w:cs="Arial"/>
          <w:szCs w:val="24"/>
        </w:rPr>
      </w:pPr>
      <w:r>
        <w:rPr>
          <w:rFonts w:cs="Arial"/>
          <w:szCs w:val="24"/>
        </w:rPr>
        <w:t xml:space="preserve">Il Consiglio di Stato è competente per la </w:t>
      </w:r>
      <w:r w:rsidRPr="008905EA">
        <w:rPr>
          <w:rFonts w:cs="Arial"/>
          <w:szCs w:val="24"/>
        </w:rPr>
        <w:t>ripartizione del credito quadro in singoli crediti d’impegno.</w:t>
      </w:r>
    </w:p>
    <w:p w:rsidR="002E22F1" w:rsidRDefault="002E22F1" w:rsidP="002E22F1">
      <w:pPr>
        <w:rPr>
          <w:rFonts w:cs="Arial"/>
          <w:szCs w:val="24"/>
        </w:rPr>
      </w:pPr>
    </w:p>
    <w:p w:rsidR="002E22F1" w:rsidRDefault="002E22F1" w:rsidP="002E22F1">
      <w:pPr>
        <w:rPr>
          <w:rFonts w:cs="Arial"/>
          <w:szCs w:val="24"/>
        </w:rPr>
      </w:pPr>
    </w:p>
    <w:p w:rsidR="002E22F1" w:rsidRPr="006255D4" w:rsidRDefault="002E22F1" w:rsidP="002E22F1">
      <w:pPr>
        <w:spacing w:after="120"/>
        <w:rPr>
          <w:rFonts w:cs="Arial"/>
          <w:b/>
          <w:szCs w:val="24"/>
          <w:u w:val="single"/>
        </w:rPr>
      </w:pPr>
      <w:r w:rsidRPr="006255D4">
        <w:rPr>
          <w:rFonts w:cs="Arial"/>
          <w:b/>
          <w:szCs w:val="24"/>
          <w:u w:val="single"/>
        </w:rPr>
        <w:t>Articolo 4</w:t>
      </w:r>
    </w:p>
    <w:p w:rsidR="002E22F1" w:rsidRDefault="002E22F1" w:rsidP="002E22F1">
      <w:pPr>
        <w:rPr>
          <w:rFonts w:cs="Arial"/>
          <w:szCs w:val="24"/>
        </w:rPr>
      </w:pPr>
      <w:r w:rsidRPr="008D2BA1">
        <w:rPr>
          <w:rFonts w:cs="Arial"/>
          <w:szCs w:val="24"/>
        </w:rPr>
        <w:t>Il credito è iscritto al conto degli investimenti del Dipartimento delle finanze e dell’economia, Divisione dell’economia, Sezione dell’agricoltura.</w:t>
      </w:r>
    </w:p>
    <w:p w:rsidR="002E22F1" w:rsidRDefault="002E22F1" w:rsidP="002E22F1">
      <w:pPr>
        <w:rPr>
          <w:rFonts w:cs="Arial"/>
          <w:szCs w:val="24"/>
        </w:rPr>
      </w:pPr>
    </w:p>
    <w:p w:rsidR="002E22F1" w:rsidRDefault="002E22F1" w:rsidP="002E22F1">
      <w:pPr>
        <w:rPr>
          <w:rFonts w:cs="Arial"/>
          <w:szCs w:val="24"/>
        </w:rPr>
      </w:pPr>
    </w:p>
    <w:p w:rsidR="002E22F1" w:rsidRPr="006255D4" w:rsidRDefault="002E22F1" w:rsidP="002E22F1">
      <w:pPr>
        <w:spacing w:after="120"/>
        <w:rPr>
          <w:rFonts w:cs="Arial"/>
          <w:b/>
          <w:szCs w:val="24"/>
          <w:u w:val="single"/>
        </w:rPr>
      </w:pPr>
      <w:r w:rsidRPr="006255D4">
        <w:rPr>
          <w:rFonts w:cs="Arial"/>
          <w:b/>
          <w:szCs w:val="24"/>
          <w:u w:val="single"/>
        </w:rPr>
        <w:t>Articolo 5</w:t>
      </w:r>
    </w:p>
    <w:p w:rsidR="002E22F1" w:rsidRDefault="002E22F1" w:rsidP="002E22F1">
      <w:pPr>
        <w:rPr>
          <w:rFonts w:ascii="Helvetica" w:hAnsi="Helvetica" w:cs="Helvetica"/>
          <w:szCs w:val="24"/>
        </w:rPr>
      </w:pPr>
      <w:r>
        <w:rPr>
          <w:rFonts w:cs="Arial"/>
          <w:szCs w:val="24"/>
        </w:rPr>
        <w:t xml:space="preserve">Il Consiglio di Stato </w:t>
      </w:r>
      <w:r w:rsidRPr="00C26AD1">
        <w:rPr>
          <w:rFonts w:cs="Arial"/>
          <w:szCs w:val="24"/>
        </w:rPr>
        <w:t>è autorizzat</w:t>
      </w:r>
      <w:r>
        <w:rPr>
          <w:rFonts w:cs="Arial"/>
          <w:szCs w:val="24"/>
        </w:rPr>
        <w:t>o</w:t>
      </w:r>
      <w:r w:rsidRPr="00C26AD1">
        <w:rPr>
          <w:rFonts w:cs="Arial"/>
          <w:szCs w:val="24"/>
        </w:rPr>
        <w:t xml:space="preserve"> a </w:t>
      </w:r>
      <w:r>
        <w:rPr>
          <w:rFonts w:cs="Arial"/>
          <w:szCs w:val="24"/>
        </w:rPr>
        <w:t>concludere le convenzioni di sussidiamento</w:t>
      </w:r>
      <w:r w:rsidRPr="00C26AD1">
        <w:rPr>
          <w:rFonts w:cs="Arial"/>
          <w:szCs w:val="24"/>
        </w:rPr>
        <w:t xml:space="preserve"> con </w:t>
      </w:r>
      <w:r>
        <w:rPr>
          <w:rFonts w:cs="Arial"/>
          <w:szCs w:val="24"/>
        </w:rPr>
        <w:t>i rispettivi beneficiari, nelle quali saranno regolate le modalità di finanziamento</w:t>
      </w:r>
      <w:r w:rsidRPr="00C26AD1">
        <w:rPr>
          <w:rFonts w:ascii="Helvetica" w:hAnsi="Helvetica" w:cs="Helvetica"/>
          <w:szCs w:val="24"/>
        </w:rPr>
        <w:t>.</w:t>
      </w:r>
    </w:p>
    <w:p w:rsidR="002E22F1" w:rsidRDefault="002E22F1" w:rsidP="002E22F1">
      <w:pPr>
        <w:jc w:val="left"/>
        <w:rPr>
          <w:rFonts w:cs="Arial"/>
          <w:szCs w:val="24"/>
        </w:rPr>
      </w:pPr>
      <w:r>
        <w:rPr>
          <w:rFonts w:cs="Arial"/>
          <w:szCs w:val="24"/>
        </w:rPr>
        <w:br w:type="page"/>
      </w:r>
    </w:p>
    <w:p w:rsidR="002E22F1" w:rsidRPr="006255D4" w:rsidRDefault="002E22F1" w:rsidP="002E22F1">
      <w:pPr>
        <w:spacing w:after="120"/>
        <w:rPr>
          <w:rFonts w:cs="Arial"/>
          <w:b/>
          <w:szCs w:val="24"/>
          <w:u w:val="single"/>
        </w:rPr>
      </w:pPr>
      <w:r w:rsidRPr="006255D4">
        <w:rPr>
          <w:rFonts w:cs="Arial"/>
          <w:b/>
          <w:szCs w:val="24"/>
          <w:u w:val="single"/>
        </w:rPr>
        <w:lastRenderedPageBreak/>
        <w:t>Articolo 6</w:t>
      </w:r>
    </w:p>
    <w:p w:rsidR="002E22F1" w:rsidRDefault="002E22F1" w:rsidP="002E22F1">
      <w:pPr>
        <w:rPr>
          <w:rFonts w:cs="Arial"/>
          <w:szCs w:val="24"/>
        </w:rPr>
      </w:pPr>
      <w:r w:rsidRPr="009B712B">
        <w:rPr>
          <w:rFonts w:cs="Arial"/>
          <w:szCs w:val="24"/>
          <w:vertAlign w:val="superscript"/>
        </w:rPr>
        <w:t>1</w:t>
      </w:r>
      <w:r w:rsidRPr="000C620E">
        <w:rPr>
          <w:rFonts w:cs="Arial"/>
          <w:szCs w:val="24"/>
        </w:rPr>
        <w:t xml:space="preserve">I beneficiari </w:t>
      </w:r>
      <w:r>
        <w:rPr>
          <w:rFonts w:cs="Arial"/>
          <w:szCs w:val="24"/>
        </w:rPr>
        <w:t xml:space="preserve">sono </w:t>
      </w:r>
      <w:r w:rsidRPr="000C620E">
        <w:rPr>
          <w:rFonts w:cs="Arial"/>
          <w:szCs w:val="24"/>
        </w:rPr>
        <w:t>tenut</w:t>
      </w:r>
      <w:r>
        <w:rPr>
          <w:rFonts w:cs="Arial"/>
          <w:szCs w:val="24"/>
        </w:rPr>
        <w:t>i</w:t>
      </w:r>
      <w:r w:rsidRPr="000C620E">
        <w:rPr>
          <w:rFonts w:cs="Arial"/>
          <w:szCs w:val="24"/>
        </w:rPr>
        <w:t xml:space="preserve"> ad informare tempestivamente l</w:t>
      </w:r>
      <w:r>
        <w:rPr>
          <w:rFonts w:cs="Arial"/>
          <w:szCs w:val="24"/>
        </w:rPr>
        <w:t xml:space="preserve">a Sezione dell’agricoltura </w:t>
      </w:r>
      <w:r w:rsidRPr="000C620E">
        <w:rPr>
          <w:rFonts w:cs="Arial"/>
          <w:szCs w:val="24"/>
        </w:rPr>
        <w:t>su qualsiasi cambiamento legato a</w:t>
      </w:r>
      <w:r>
        <w:rPr>
          <w:rFonts w:cs="Arial"/>
          <w:szCs w:val="24"/>
        </w:rPr>
        <w:t xml:space="preserve">lle attività previste. </w:t>
      </w:r>
      <w:r w:rsidRPr="000C620E">
        <w:rPr>
          <w:rFonts w:cs="Arial"/>
          <w:szCs w:val="24"/>
        </w:rPr>
        <w:t>La mancata notifica delle modifiche potrà comportare una riduzione del sussidio concesso.</w:t>
      </w:r>
    </w:p>
    <w:p w:rsidR="002E22F1" w:rsidRDefault="002E22F1" w:rsidP="002E22F1">
      <w:pPr>
        <w:rPr>
          <w:rFonts w:cs="Arial"/>
          <w:szCs w:val="24"/>
        </w:rPr>
      </w:pPr>
    </w:p>
    <w:p w:rsidR="002E22F1" w:rsidRDefault="002E22F1" w:rsidP="002E22F1">
      <w:pPr>
        <w:rPr>
          <w:rFonts w:cs="Arial"/>
          <w:szCs w:val="24"/>
        </w:rPr>
      </w:pPr>
      <w:r w:rsidRPr="009B712B">
        <w:rPr>
          <w:rFonts w:cs="Arial"/>
          <w:szCs w:val="24"/>
          <w:vertAlign w:val="superscript"/>
        </w:rPr>
        <w:t>2</w:t>
      </w:r>
      <w:r w:rsidRPr="00C26AD1">
        <w:rPr>
          <w:rFonts w:cs="Arial"/>
          <w:szCs w:val="24"/>
        </w:rPr>
        <w:t>A giudizio dell</w:t>
      </w:r>
      <w:r>
        <w:rPr>
          <w:rFonts w:cs="Arial"/>
          <w:szCs w:val="24"/>
        </w:rPr>
        <w:t xml:space="preserve">a Sezione possono </w:t>
      </w:r>
      <w:r w:rsidRPr="00C26AD1">
        <w:rPr>
          <w:rFonts w:cs="Arial"/>
          <w:szCs w:val="24"/>
        </w:rPr>
        <w:t>essere versati degli</w:t>
      </w:r>
      <w:r>
        <w:rPr>
          <w:rFonts w:cs="Arial"/>
          <w:szCs w:val="24"/>
        </w:rPr>
        <w:t xml:space="preserve"> </w:t>
      </w:r>
      <w:r w:rsidRPr="00C26AD1">
        <w:rPr>
          <w:rFonts w:cs="Arial"/>
          <w:szCs w:val="24"/>
        </w:rPr>
        <w:t>acconti sul sussidio concesso.</w:t>
      </w:r>
    </w:p>
    <w:p w:rsidR="002E22F1" w:rsidRPr="00C26AD1" w:rsidRDefault="002E22F1" w:rsidP="002E22F1">
      <w:pPr>
        <w:rPr>
          <w:rFonts w:cs="Arial"/>
          <w:szCs w:val="24"/>
        </w:rPr>
      </w:pPr>
    </w:p>
    <w:p w:rsidR="002E22F1" w:rsidRDefault="002E22F1" w:rsidP="002E22F1">
      <w:pPr>
        <w:rPr>
          <w:rFonts w:cs="Arial"/>
          <w:szCs w:val="24"/>
        </w:rPr>
      </w:pPr>
      <w:r w:rsidRPr="009B712B">
        <w:rPr>
          <w:rFonts w:cs="Arial"/>
          <w:szCs w:val="24"/>
          <w:vertAlign w:val="superscript"/>
        </w:rPr>
        <w:t>3</w:t>
      </w:r>
      <w:r w:rsidRPr="00C26AD1">
        <w:rPr>
          <w:rFonts w:cs="Arial"/>
          <w:szCs w:val="24"/>
        </w:rPr>
        <w:t>Per ogni ulteriore dettaglio valgon</w:t>
      </w:r>
      <w:r>
        <w:rPr>
          <w:rFonts w:cs="Arial"/>
          <w:szCs w:val="24"/>
        </w:rPr>
        <w:t>o le disposizioni contenute nella convenzione di sussidiamento stipulata</w:t>
      </w:r>
      <w:r w:rsidRPr="00C26AD1">
        <w:rPr>
          <w:rFonts w:cs="Arial"/>
          <w:szCs w:val="24"/>
        </w:rPr>
        <w:t xml:space="preserve"> fra le parti.</w:t>
      </w:r>
    </w:p>
    <w:p w:rsidR="002E22F1" w:rsidRDefault="002E22F1" w:rsidP="002E22F1">
      <w:pPr>
        <w:rPr>
          <w:rFonts w:cs="Arial"/>
          <w:szCs w:val="24"/>
        </w:rPr>
      </w:pPr>
    </w:p>
    <w:p w:rsidR="002E22F1" w:rsidRPr="008905EA" w:rsidRDefault="002E22F1" w:rsidP="002E22F1">
      <w:pPr>
        <w:rPr>
          <w:rFonts w:cs="Arial"/>
          <w:szCs w:val="24"/>
        </w:rPr>
      </w:pPr>
    </w:p>
    <w:p w:rsidR="002E22F1" w:rsidRPr="006255D4" w:rsidRDefault="002E22F1" w:rsidP="002E22F1">
      <w:pPr>
        <w:spacing w:after="120"/>
        <w:rPr>
          <w:rFonts w:cs="Arial"/>
          <w:b/>
          <w:szCs w:val="24"/>
          <w:u w:val="single"/>
        </w:rPr>
      </w:pPr>
      <w:r w:rsidRPr="006255D4">
        <w:rPr>
          <w:rFonts w:cs="Arial"/>
          <w:b/>
          <w:szCs w:val="24"/>
          <w:u w:val="single"/>
        </w:rPr>
        <w:t>Articolo 7</w:t>
      </w:r>
    </w:p>
    <w:p w:rsidR="002E22F1" w:rsidRDefault="002E22F1" w:rsidP="002E22F1">
      <w:pPr>
        <w:rPr>
          <w:rFonts w:cs="Arial"/>
          <w:szCs w:val="24"/>
        </w:rPr>
      </w:pPr>
      <w:r w:rsidRPr="008905EA">
        <w:rPr>
          <w:rFonts w:cs="Arial"/>
          <w:szCs w:val="24"/>
        </w:rPr>
        <w:t xml:space="preserve">Trascorsi i termini per l’esercizio del diritto di referendum, il presente decreto è pubblicato nel Bollettino ufficiale delle leggi ed entra </w:t>
      </w:r>
      <w:r>
        <w:rPr>
          <w:rFonts w:cs="Arial"/>
          <w:szCs w:val="24"/>
        </w:rPr>
        <w:t>i</w:t>
      </w:r>
      <w:r w:rsidRPr="008905EA">
        <w:rPr>
          <w:rFonts w:cs="Arial"/>
          <w:szCs w:val="24"/>
        </w:rPr>
        <w:t>n vigore</w:t>
      </w:r>
      <w:r>
        <w:rPr>
          <w:rFonts w:cs="Arial"/>
          <w:szCs w:val="24"/>
        </w:rPr>
        <w:t xml:space="preserve"> contemporaneamente all’</w:t>
      </w:r>
      <w:r w:rsidRPr="00415678">
        <w:rPr>
          <w:rFonts w:cs="Arial"/>
          <w:szCs w:val="24"/>
        </w:rPr>
        <w:t xml:space="preserve">art. 14a </w:t>
      </w:r>
      <w:r>
        <w:rPr>
          <w:rFonts w:cs="Arial"/>
          <w:szCs w:val="24"/>
        </w:rPr>
        <w:t>della L</w:t>
      </w:r>
      <w:r w:rsidRPr="00415678">
        <w:rPr>
          <w:rFonts w:cs="Arial"/>
          <w:szCs w:val="24"/>
        </w:rPr>
        <w:t>egge sull’agricoltura del 3 dicembre 2002</w:t>
      </w:r>
      <w:r>
        <w:rPr>
          <w:rFonts w:cs="Arial"/>
          <w:szCs w:val="24"/>
        </w:rPr>
        <w:t>.</w:t>
      </w:r>
    </w:p>
    <w:p w:rsidR="002E22F1" w:rsidRPr="00B33DD4" w:rsidRDefault="002E22F1" w:rsidP="002E22F1">
      <w:pPr>
        <w:pStyle w:val="NormaleWeb"/>
        <w:spacing w:before="0" w:beforeAutospacing="0" w:after="0" w:afterAutospacing="0"/>
        <w:jc w:val="both"/>
        <w:rPr>
          <w:rFonts w:ascii="Arial" w:hAnsi="Arial" w:cs="Arial"/>
        </w:rPr>
      </w:pPr>
    </w:p>
    <w:p w:rsidR="006E4AE2" w:rsidRPr="00B860C2" w:rsidRDefault="006E4AE2" w:rsidP="00B860C2"/>
    <w:sectPr w:rsidR="006E4AE2" w:rsidRPr="00B860C2" w:rsidSect="002E22F1">
      <w:footerReference w:type="default" r:id="rId26"/>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27D" w:rsidRDefault="005C427D" w:rsidP="008E77C6">
      <w:r>
        <w:separator/>
      </w:r>
    </w:p>
  </w:endnote>
  <w:endnote w:type="continuationSeparator" w:id="0">
    <w:p w:rsidR="005C427D" w:rsidRDefault="005C427D"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B93281" w:rsidRPr="008E77C6" w:rsidRDefault="00B93281">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D84277" w:rsidRPr="00D84277">
          <w:rPr>
            <w:noProof/>
            <w:sz w:val="20"/>
            <w:szCs w:val="20"/>
            <w:lang w:val="it-IT"/>
          </w:rPr>
          <w:t>1</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27D" w:rsidRDefault="005C427D" w:rsidP="008E77C6">
      <w:r>
        <w:separator/>
      </w:r>
    </w:p>
  </w:footnote>
  <w:footnote w:type="continuationSeparator" w:id="0">
    <w:p w:rsidR="005C427D" w:rsidRDefault="005C427D" w:rsidP="008E77C6">
      <w:r>
        <w:continuationSeparator/>
      </w:r>
    </w:p>
  </w:footnote>
  <w:footnote w:id="1">
    <w:p w:rsidR="00B93281" w:rsidRPr="00955F4A" w:rsidRDefault="00B93281" w:rsidP="001954C9">
      <w:pPr>
        <w:pStyle w:val="Testonotaapidipagina"/>
        <w:jc w:val="both"/>
        <w:rPr>
          <w:sz w:val="18"/>
          <w:szCs w:val="18"/>
        </w:rPr>
      </w:pPr>
      <w:r w:rsidRPr="00955F4A">
        <w:rPr>
          <w:rStyle w:val="Rimandonotaapidipagina"/>
          <w:sz w:val="18"/>
          <w:szCs w:val="18"/>
        </w:rPr>
        <w:footnoteRef/>
      </w:r>
      <w:r w:rsidRPr="00955F4A">
        <w:rPr>
          <w:sz w:val="18"/>
          <w:szCs w:val="18"/>
        </w:rPr>
        <w:t xml:space="preserve"> Nel corso del 2019 il Consiglio di Stato ha anche concesso all’ERS Bellinzonese e Valli (ERS-BV) e all’ERS del Locarnese e </w:t>
      </w:r>
      <w:proofErr w:type="spellStart"/>
      <w:r w:rsidRPr="00955F4A">
        <w:rPr>
          <w:sz w:val="18"/>
          <w:szCs w:val="18"/>
        </w:rPr>
        <w:t>Vallemaggia</w:t>
      </w:r>
      <w:proofErr w:type="spellEnd"/>
      <w:r w:rsidRPr="00955F4A">
        <w:rPr>
          <w:sz w:val="18"/>
          <w:szCs w:val="18"/>
        </w:rPr>
        <w:t xml:space="preserve"> (ERS-LVM) un contributo supplementare per sostenere diversi progetti nelle regioni periferiche considerati prioritari dagli ERS (contributo supplementare complessivo agli ERS di </w:t>
      </w:r>
      <w:proofErr w:type="spellStart"/>
      <w:r w:rsidRPr="00955F4A">
        <w:rPr>
          <w:sz w:val="18"/>
          <w:szCs w:val="18"/>
        </w:rPr>
        <w:t>fr</w:t>
      </w:r>
      <w:proofErr w:type="spellEnd"/>
      <w:r w:rsidRPr="00955F4A">
        <w:rPr>
          <w:sz w:val="18"/>
          <w:szCs w:val="18"/>
        </w:rPr>
        <w:t>. 847'000.-).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2CA4290"/>
    <w:lvl w:ilvl="0">
      <w:start w:val="1"/>
      <w:numFmt w:val="bullet"/>
      <w:pStyle w:val="Puntoelenco"/>
      <w:lvlText w:val=""/>
      <w:lvlJc w:val="left"/>
      <w:pPr>
        <w:tabs>
          <w:tab w:val="num" w:pos="360"/>
        </w:tabs>
        <w:ind w:left="360" w:hanging="360"/>
      </w:pPr>
      <w:rPr>
        <w:rFonts w:ascii="Symbol" w:hAnsi="Symbol" w:hint="default"/>
      </w:rPr>
    </w:lvl>
  </w:abstractNum>
  <w:abstractNum w:abstractNumId="1">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2">
    <w:nsid w:val="0E6B4B69"/>
    <w:multiLevelType w:val="hybridMultilevel"/>
    <w:tmpl w:val="82987062"/>
    <w:lvl w:ilvl="0" w:tplc="75E09E46">
      <w:start w:val="1"/>
      <w:numFmt w:val="lowerLetter"/>
      <w:lvlText w:val="%1)"/>
      <w:lvlJc w:val="left"/>
      <w:pPr>
        <w:ind w:left="744" w:hanging="384"/>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3">
    <w:nsid w:val="15A916B4"/>
    <w:multiLevelType w:val="hybridMultilevel"/>
    <w:tmpl w:val="71241184"/>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
    <w:nsid w:val="1A68461E"/>
    <w:multiLevelType w:val="hybridMultilevel"/>
    <w:tmpl w:val="92928A20"/>
    <w:lvl w:ilvl="0" w:tplc="11705F90">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5">
    <w:nsid w:val="1F2453EC"/>
    <w:multiLevelType w:val="hybridMultilevel"/>
    <w:tmpl w:val="BBE02A84"/>
    <w:lvl w:ilvl="0" w:tplc="8988A65E">
      <w:start w:val="1"/>
      <w:numFmt w:val="bullet"/>
      <w:lvlText w:val="-"/>
      <w:lvlJc w:val="left"/>
      <w:pPr>
        <w:ind w:left="720" w:hanging="360"/>
      </w:pPr>
      <w:rPr>
        <w:rFonts w:ascii="Arial" w:hAnsi="Arial" w:hint="default"/>
      </w:rPr>
    </w:lvl>
    <w:lvl w:ilvl="1" w:tplc="8988A65E">
      <w:start w:val="1"/>
      <w:numFmt w:val="bullet"/>
      <w:lvlText w:val="-"/>
      <w:lvlJc w:val="left"/>
      <w:pPr>
        <w:ind w:left="1440" w:hanging="360"/>
      </w:pPr>
      <w:rPr>
        <w:rFonts w:ascii="Arial" w:hAnsi="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6">
    <w:nsid w:val="23A66100"/>
    <w:multiLevelType w:val="hybridMultilevel"/>
    <w:tmpl w:val="F28A3858"/>
    <w:lvl w:ilvl="0" w:tplc="08100017">
      <w:start w:val="1"/>
      <w:numFmt w:val="lowerLetter"/>
      <w:lvlText w:val="%1)"/>
      <w:lvlJc w:val="left"/>
      <w:pPr>
        <w:ind w:left="360" w:hanging="360"/>
      </w:pPr>
    </w:lvl>
    <w:lvl w:ilvl="1" w:tplc="08100019" w:tentative="1">
      <w:start w:val="1"/>
      <w:numFmt w:val="lowerLetter"/>
      <w:lvlText w:val="%2."/>
      <w:lvlJc w:val="left"/>
      <w:pPr>
        <w:ind w:left="1080" w:hanging="360"/>
      </w:pPr>
    </w:lvl>
    <w:lvl w:ilvl="2" w:tplc="0810001B" w:tentative="1">
      <w:start w:val="1"/>
      <w:numFmt w:val="lowerRoman"/>
      <w:lvlText w:val="%3."/>
      <w:lvlJc w:val="right"/>
      <w:pPr>
        <w:ind w:left="1800" w:hanging="180"/>
      </w:pPr>
    </w:lvl>
    <w:lvl w:ilvl="3" w:tplc="0810000F" w:tentative="1">
      <w:start w:val="1"/>
      <w:numFmt w:val="decimal"/>
      <w:lvlText w:val="%4."/>
      <w:lvlJc w:val="left"/>
      <w:pPr>
        <w:ind w:left="2520" w:hanging="360"/>
      </w:pPr>
    </w:lvl>
    <w:lvl w:ilvl="4" w:tplc="08100019" w:tentative="1">
      <w:start w:val="1"/>
      <w:numFmt w:val="lowerLetter"/>
      <w:lvlText w:val="%5."/>
      <w:lvlJc w:val="left"/>
      <w:pPr>
        <w:ind w:left="3240" w:hanging="360"/>
      </w:pPr>
    </w:lvl>
    <w:lvl w:ilvl="5" w:tplc="0810001B" w:tentative="1">
      <w:start w:val="1"/>
      <w:numFmt w:val="lowerRoman"/>
      <w:lvlText w:val="%6."/>
      <w:lvlJc w:val="right"/>
      <w:pPr>
        <w:ind w:left="3960" w:hanging="180"/>
      </w:pPr>
    </w:lvl>
    <w:lvl w:ilvl="6" w:tplc="0810000F" w:tentative="1">
      <w:start w:val="1"/>
      <w:numFmt w:val="decimal"/>
      <w:lvlText w:val="%7."/>
      <w:lvlJc w:val="left"/>
      <w:pPr>
        <w:ind w:left="4680" w:hanging="360"/>
      </w:pPr>
    </w:lvl>
    <w:lvl w:ilvl="7" w:tplc="08100019" w:tentative="1">
      <w:start w:val="1"/>
      <w:numFmt w:val="lowerLetter"/>
      <w:lvlText w:val="%8."/>
      <w:lvlJc w:val="left"/>
      <w:pPr>
        <w:ind w:left="5400" w:hanging="360"/>
      </w:pPr>
    </w:lvl>
    <w:lvl w:ilvl="8" w:tplc="0810001B" w:tentative="1">
      <w:start w:val="1"/>
      <w:numFmt w:val="lowerRoman"/>
      <w:lvlText w:val="%9."/>
      <w:lvlJc w:val="right"/>
      <w:pPr>
        <w:ind w:left="6120" w:hanging="180"/>
      </w:pPr>
    </w:lvl>
  </w:abstractNum>
  <w:abstractNum w:abstractNumId="7">
    <w:nsid w:val="29AC62DA"/>
    <w:multiLevelType w:val="hybridMultilevel"/>
    <w:tmpl w:val="116E0058"/>
    <w:lvl w:ilvl="0" w:tplc="73D05B56">
      <w:start w:val="1"/>
      <w:numFmt w:val="bullet"/>
      <w:lvlText w:val="-"/>
      <w:lvlJc w:val="left"/>
      <w:pPr>
        <w:tabs>
          <w:tab w:val="num" w:pos="720"/>
        </w:tabs>
        <w:ind w:left="720" w:hanging="360"/>
      </w:pPr>
      <w:rPr>
        <w:rFonts w:ascii="Arial" w:hAnsi="Aria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39D445CA"/>
    <w:multiLevelType w:val="hybridMultilevel"/>
    <w:tmpl w:val="0D48DC2C"/>
    <w:lvl w:ilvl="0" w:tplc="96D632BA">
      <w:start w:val="1"/>
      <w:numFmt w:val="lowerLetter"/>
      <w:lvlText w:val="%1)"/>
      <w:lvlJc w:val="left"/>
      <w:pPr>
        <w:tabs>
          <w:tab w:val="num" w:pos="705"/>
        </w:tabs>
        <w:ind w:left="705" w:hanging="705"/>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9">
    <w:nsid w:val="3D116B7B"/>
    <w:multiLevelType w:val="hybridMultilevel"/>
    <w:tmpl w:val="3B1AC190"/>
    <w:lvl w:ilvl="0" w:tplc="7F1CBCD6">
      <w:start w:val="1"/>
      <w:numFmt w:val="bullet"/>
      <w:lvlText w:val="-"/>
      <w:lvlJc w:val="left"/>
      <w:pPr>
        <w:ind w:left="720" w:hanging="360"/>
      </w:pPr>
      <w:rPr>
        <w:rFonts w:ascii="Arial" w:hAnsi="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0">
    <w:nsid w:val="44901A79"/>
    <w:multiLevelType w:val="hybridMultilevel"/>
    <w:tmpl w:val="9F786C86"/>
    <w:lvl w:ilvl="0" w:tplc="3996A1A0">
      <w:numFmt w:val="bullet"/>
      <w:lvlText w:val="-"/>
      <w:lvlJc w:val="left"/>
      <w:pPr>
        <w:ind w:left="720" w:hanging="360"/>
      </w:pPr>
      <w:rPr>
        <w:rFonts w:ascii="Arial" w:eastAsia="Times New Roman" w:hAnsi="Arial" w:cs="Arial" w:hint="default"/>
      </w:rPr>
    </w:lvl>
    <w:lvl w:ilvl="1" w:tplc="AAA05160">
      <w:numFmt w:val="bullet"/>
      <w:lvlText w:val="−"/>
      <w:lvlJc w:val="left"/>
      <w:pPr>
        <w:ind w:left="1440" w:hanging="360"/>
      </w:pPr>
      <w:rPr>
        <w:rFonts w:ascii="Arial" w:eastAsia="Times New Roman" w:hAnsi="Arial" w:cs="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1">
    <w:nsid w:val="4AFB406B"/>
    <w:multiLevelType w:val="hybridMultilevel"/>
    <w:tmpl w:val="DD1E8C16"/>
    <w:lvl w:ilvl="0" w:tplc="8CF663D8">
      <w:start w:val="7725"/>
      <w:numFmt w:val="bullet"/>
      <w:lvlText w:val="•"/>
      <w:lvlJc w:val="left"/>
      <w:pPr>
        <w:ind w:left="720" w:hanging="360"/>
      </w:pPr>
      <w:rPr>
        <w:rFonts w:ascii="Arial" w:eastAsiaTheme="minorHAnsi"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2">
    <w:nsid w:val="554E66A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5077DBB"/>
    <w:multiLevelType w:val="hybridMultilevel"/>
    <w:tmpl w:val="A2F2BC44"/>
    <w:lvl w:ilvl="0" w:tplc="7F1CBCD6">
      <w:start w:val="1"/>
      <w:numFmt w:val="bullet"/>
      <w:lvlText w:val="-"/>
      <w:lvlJc w:val="left"/>
      <w:pPr>
        <w:ind w:left="720" w:hanging="360"/>
      </w:pPr>
      <w:rPr>
        <w:rFonts w:ascii="Arial" w:hAnsi="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4">
    <w:nsid w:val="6A1F66EE"/>
    <w:multiLevelType w:val="hybridMultilevel"/>
    <w:tmpl w:val="2556DA38"/>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5">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72A623D6"/>
    <w:multiLevelType w:val="hybridMultilevel"/>
    <w:tmpl w:val="660A06E4"/>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7">
    <w:nsid w:val="72B71F18"/>
    <w:multiLevelType w:val="hybridMultilevel"/>
    <w:tmpl w:val="43DA786A"/>
    <w:lvl w:ilvl="0" w:tplc="96D632BA">
      <w:start w:val="1"/>
      <w:numFmt w:val="lowerLetter"/>
      <w:lvlText w:val="%1)"/>
      <w:lvlJc w:val="left"/>
      <w:pPr>
        <w:tabs>
          <w:tab w:val="num" w:pos="705"/>
        </w:tabs>
        <w:ind w:left="705" w:hanging="705"/>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8">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15"/>
  </w:num>
  <w:num w:numId="2">
    <w:abstractNumId w:val="15"/>
  </w:num>
  <w:num w:numId="3">
    <w:abstractNumId w:val="18"/>
  </w:num>
  <w:num w:numId="4">
    <w:abstractNumId w:val="1"/>
  </w:num>
  <w:num w:numId="5">
    <w:abstractNumId w:val="10"/>
  </w:num>
  <w:num w:numId="6">
    <w:abstractNumId w:val="0"/>
  </w:num>
  <w:num w:numId="7">
    <w:abstractNumId w:val="16"/>
  </w:num>
  <w:num w:numId="8">
    <w:abstractNumId w:val="3"/>
  </w:num>
  <w:num w:numId="9">
    <w:abstractNumId w:val="14"/>
  </w:num>
  <w:num w:numId="10">
    <w:abstractNumId w:val="12"/>
  </w:num>
  <w:num w:numId="11">
    <w:abstractNumId w:val="5"/>
  </w:num>
  <w:num w:numId="12">
    <w:abstractNumId w:val="4"/>
  </w:num>
  <w:num w:numId="13">
    <w:abstractNumId w:val="11"/>
  </w:num>
  <w:num w:numId="14">
    <w:abstractNumId w:val="13"/>
  </w:num>
  <w:num w:numId="15">
    <w:abstractNumId w:val="6"/>
  </w:num>
  <w:num w:numId="16">
    <w:abstractNumId w:val="2"/>
  </w:num>
  <w:num w:numId="17">
    <w:abstractNumId w:val="9"/>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76E70"/>
    <w:rsid w:val="000B3FB1"/>
    <w:rsid w:val="001574D7"/>
    <w:rsid w:val="00194073"/>
    <w:rsid w:val="001954C9"/>
    <w:rsid w:val="00260C8C"/>
    <w:rsid w:val="002677DC"/>
    <w:rsid w:val="002B6200"/>
    <w:rsid w:val="002E22F1"/>
    <w:rsid w:val="002E5E40"/>
    <w:rsid w:val="0052425A"/>
    <w:rsid w:val="00586A8D"/>
    <w:rsid w:val="005C427D"/>
    <w:rsid w:val="00642776"/>
    <w:rsid w:val="006C17AA"/>
    <w:rsid w:val="006D7A3B"/>
    <w:rsid w:val="006E4AE2"/>
    <w:rsid w:val="007352D3"/>
    <w:rsid w:val="007B5462"/>
    <w:rsid w:val="007D5DB3"/>
    <w:rsid w:val="008034BD"/>
    <w:rsid w:val="00876352"/>
    <w:rsid w:val="008B2655"/>
    <w:rsid w:val="008B4137"/>
    <w:rsid w:val="008C767A"/>
    <w:rsid w:val="008E77C6"/>
    <w:rsid w:val="00955F4A"/>
    <w:rsid w:val="009770BB"/>
    <w:rsid w:val="009E008D"/>
    <w:rsid w:val="00A5465F"/>
    <w:rsid w:val="00A77678"/>
    <w:rsid w:val="00B860C2"/>
    <w:rsid w:val="00B93281"/>
    <w:rsid w:val="00BC4C95"/>
    <w:rsid w:val="00BD5944"/>
    <w:rsid w:val="00CF6858"/>
    <w:rsid w:val="00D377B5"/>
    <w:rsid w:val="00D84277"/>
    <w:rsid w:val="00D93B31"/>
    <w:rsid w:val="00E505DB"/>
    <w:rsid w:val="00E765A9"/>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nhideWhenUsed/>
    <w:rsid w:val="008E77C6"/>
    <w:pPr>
      <w:tabs>
        <w:tab w:val="center" w:pos="4819"/>
        <w:tab w:val="right" w:pos="9638"/>
      </w:tabs>
    </w:pPr>
  </w:style>
  <w:style w:type="character" w:customStyle="1" w:styleId="IntestazioneCarattere">
    <w:name w:val="Intestazione Carattere"/>
    <w:basedOn w:val="Carpredefinitoparagrafo"/>
    <w:link w:val="Intestazione"/>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1574D7"/>
    <w:rPr>
      <w:rFonts w:ascii="Arial" w:eastAsia="Times New Roman" w:hAnsi="Arial" w:cs="Times New Roman"/>
      <w:sz w:val="24"/>
      <w:szCs w:val="20"/>
      <w:lang w:val="it-IT" w:eastAsia="it-IT"/>
    </w:rPr>
  </w:style>
  <w:style w:type="paragraph" w:customStyle="1" w:styleId="Default">
    <w:name w:val="Default"/>
    <w:rsid w:val="006E4AE2"/>
    <w:pPr>
      <w:autoSpaceDE w:val="0"/>
      <w:autoSpaceDN w:val="0"/>
      <w:adjustRightInd w:val="0"/>
      <w:jc w:val="left"/>
    </w:pPr>
    <w:rPr>
      <w:rFonts w:ascii="Arial" w:eastAsia="Times New Roman" w:hAnsi="Arial" w:cs="Arial"/>
      <w:color w:val="000000"/>
      <w:sz w:val="24"/>
      <w:szCs w:val="24"/>
      <w:lang w:eastAsia="it-CH"/>
    </w:rPr>
  </w:style>
  <w:style w:type="paragraph" w:styleId="Puntoelenco">
    <w:name w:val="List Bullet"/>
    <w:basedOn w:val="Normale"/>
    <w:uiPriority w:val="99"/>
    <w:unhideWhenUsed/>
    <w:rsid w:val="006E4AE2"/>
    <w:pPr>
      <w:widowControl w:val="0"/>
      <w:numPr>
        <w:numId w:val="6"/>
      </w:numPr>
      <w:contextualSpacing/>
    </w:pPr>
    <w:rPr>
      <w:rFonts w:eastAsia="Arial" w:cs="Arial"/>
      <w:color w:val="000000"/>
      <w:szCs w:val="24"/>
      <w:lang w:eastAsia="it-CH"/>
    </w:rPr>
  </w:style>
  <w:style w:type="paragraph" w:styleId="Testofumetto">
    <w:name w:val="Balloon Text"/>
    <w:basedOn w:val="Normale"/>
    <w:link w:val="TestofumettoCarattere"/>
    <w:uiPriority w:val="99"/>
    <w:semiHidden/>
    <w:unhideWhenUsed/>
    <w:rsid w:val="00B860C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860C2"/>
    <w:rPr>
      <w:rFonts w:ascii="Tahoma" w:hAnsi="Tahoma" w:cs="Tahoma"/>
      <w:sz w:val="16"/>
      <w:szCs w:val="16"/>
    </w:rPr>
  </w:style>
  <w:style w:type="character" w:styleId="Rimandonotaapidipagina">
    <w:name w:val="footnote reference"/>
    <w:semiHidden/>
    <w:rsid w:val="001954C9"/>
    <w:rPr>
      <w:position w:val="6"/>
      <w:sz w:val="16"/>
    </w:rPr>
  </w:style>
  <w:style w:type="paragraph" w:styleId="Testonotaapidipagina">
    <w:name w:val="footnote text"/>
    <w:basedOn w:val="Normale"/>
    <w:link w:val="TestonotaapidipaginaCarattere"/>
    <w:semiHidden/>
    <w:rsid w:val="001954C9"/>
    <w:pPr>
      <w:jc w:val="left"/>
    </w:pPr>
    <w:rPr>
      <w:rFonts w:ascii="Helvetica" w:eastAsia="Times New Roman" w:hAnsi="Helvetica" w:cs="Times New Roman"/>
      <w:sz w:val="20"/>
      <w:szCs w:val="24"/>
      <w:lang w:eastAsia="it-IT"/>
    </w:rPr>
  </w:style>
  <w:style w:type="character" w:customStyle="1" w:styleId="TestonotaapidipaginaCarattere">
    <w:name w:val="Testo nota a piè di pagina Carattere"/>
    <w:basedOn w:val="Carpredefinitoparagrafo"/>
    <w:link w:val="Testonotaapidipagina"/>
    <w:semiHidden/>
    <w:rsid w:val="001954C9"/>
    <w:rPr>
      <w:rFonts w:ascii="Helvetica" w:eastAsia="Times New Roman" w:hAnsi="Helvetica" w:cs="Times New Roman"/>
      <w:sz w:val="20"/>
      <w:szCs w:val="24"/>
      <w:lang w:eastAsia="it-IT"/>
    </w:rPr>
  </w:style>
  <w:style w:type="paragraph" w:styleId="NormaleWeb">
    <w:name w:val="Normal (Web)"/>
    <w:basedOn w:val="Normale"/>
    <w:rsid w:val="001954C9"/>
    <w:pPr>
      <w:spacing w:before="100" w:beforeAutospacing="1" w:after="100" w:afterAutospacing="1"/>
      <w:jc w:val="left"/>
    </w:pPr>
    <w:rPr>
      <w:rFonts w:ascii="Times New Roman" w:eastAsia="Times New Roman" w:hAnsi="Times New Roman" w:cs="Times New Roman"/>
      <w:szCs w:val="24"/>
      <w:lang w:eastAsia="it-CH"/>
    </w:rPr>
  </w:style>
  <w:style w:type="character" w:styleId="Collegamentoipertestuale">
    <w:name w:val="Hyperlink"/>
    <w:uiPriority w:val="99"/>
    <w:rsid w:val="001954C9"/>
    <w:rPr>
      <w:color w:val="0000FF"/>
      <w:u w:val="single"/>
    </w:rPr>
  </w:style>
  <w:style w:type="character" w:customStyle="1" w:styleId="apple-converted-space">
    <w:name w:val="apple-converted-space"/>
    <w:basedOn w:val="Carpredefinitoparagrafo"/>
    <w:rsid w:val="001954C9"/>
  </w:style>
  <w:style w:type="paragraph" w:customStyle="1" w:styleId="Art">
    <w:name w:val="Art"/>
    <w:rsid w:val="002E22F1"/>
    <w:pPr>
      <w:tabs>
        <w:tab w:val="left" w:pos="1701"/>
      </w:tabs>
      <w:overflowPunct w:val="0"/>
      <w:autoSpaceDE w:val="0"/>
      <w:autoSpaceDN w:val="0"/>
      <w:adjustRightInd w:val="0"/>
      <w:ind w:left="720" w:right="187"/>
    </w:pPr>
    <w:rPr>
      <w:rFonts w:ascii="Arial" w:eastAsia="Times New Roman" w:hAnsi="Arial" w:cs="Times New Roman"/>
      <w:noProof/>
      <w:sz w:val="20"/>
      <w:szCs w:val="20"/>
      <w:lang w:val="it-IT" w:eastAsia="it-IT"/>
    </w:rPr>
  </w:style>
  <w:style w:type="paragraph" w:customStyle="1" w:styleId="gCCdS">
    <w:name w:val="gC_CdS"/>
    <w:basedOn w:val="Art"/>
    <w:next w:val="Art"/>
    <w:rsid w:val="00B93281"/>
    <w:pPr>
      <w:jc w:val="center"/>
    </w:pPr>
    <w:rPr>
      <w:cap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nhideWhenUsed/>
    <w:rsid w:val="008E77C6"/>
    <w:pPr>
      <w:tabs>
        <w:tab w:val="center" w:pos="4819"/>
        <w:tab w:val="right" w:pos="9638"/>
      </w:tabs>
    </w:pPr>
  </w:style>
  <w:style w:type="character" w:customStyle="1" w:styleId="IntestazioneCarattere">
    <w:name w:val="Intestazione Carattere"/>
    <w:basedOn w:val="Carpredefinitoparagrafo"/>
    <w:link w:val="Intestazione"/>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1574D7"/>
    <w:rPr>
      <w:rFonts w:ascii="Arial" w:eastAsia="Times New Roman" w:hAnsi="Arial" w:cs="Times New Roman"/>
      <w:sz w:val="24"/>
      <w:szCs w:val="20"/>
      <w:lang w:val="it-IT" w:eastAsia="it-IT"/>
    </w:rPr>
  </w:style>
  <w:style w:type="paragraph" w:customStyle="1" w:styleId="Default">
    <w:name w:val="Default"/>
    <w:rsid w:val="006E4AE2"/>
    <w:pPr>
      <w:autoSpaceDE w:val="0"/>
      <w:autoSpaceDN w:val="0"/>
      <w:adjustRightInd w:val="0"/>
      <w:jc w:val="left"/>
    </w:pPr>
    <w:rPr>
      <w:rFonts w:ascii="Arial" w:eastAsia="Times New Roman" w:hAnsi="Arial" w:cs="Arial"/>
      <w:color w:val="000000"/>
      <w:sz w:val="24"/>
      <w:szCs w:val="24"/>
      <w:lang w:eastAsia="it-CH"/>
    </w:rPr>
  </w:style>
  <w:style w:type="paragraph" w:styleId="Puntoelenco">
    <w:name w:val="List Bullet"/>
    <w:basedOn w:val="Normale"/>
    <w:uiPriority w:val="99"/>
    <w:unhideWhenUsed/>
    <w:rsid w:val="006E4AE2"/>
    <w:pPr>
      <w:widowControl w:val="0"/>
      <w:numPr>
        <w:numId w:val="6"/>
      </w:numPr>
      <w:contextualSpacing/>
    </w:pPr>
    <w:rPr>
      <w:rFonts w:eastAsia="Arial" w:cs="Arial"/>
      <w:color w:val="000000"/>
      <w:szCs w:val="24"/>
      <w:lang w:eastAsia="it-CH"/>
    </w:rPr>
  </w:style>
  <w:style w:type="paragraph" w:styleId="Testofumetto">
    <w:name w:val="Balloon Text"/>
    <w:basedOn w:val="Normale"/>
    <w:link w:val="TestofumettoCarattere"/>
    <w:uiPriority w:val="99"/>
    <w:semiHidden/>
    <w:unhideWhenUsed/>
    <w:rsid w:val="00B860C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860C2"/>
    <w:rPr>
      <w:rFonts w:ascii="Tahoma" w:hAnsi="Tahoma" w:cs="Tahoma"/>
      <w:sz w:val="16"/>
      <w:szCs w:val="16"/>
    </w:rPr>
  </w:style>
  <w:style w:type="character" w:styleId="Rimandonotaapidipagina">
    <w:name w:val="footnote reference"/>
    <w:semiHidden/>
    <w:rsid w:val="001954C9"/>
    <w:rPr>
      <w:position w:val="6"/>
      <w:sz w:val="16"/>
    </w:rPr>
  </w:style>
  <w:style w:type="paragraph" w:styleId="Testonotaapidipagina">
    <w:name w:val="footnote text"/>
    <w:basedOn w:val="Normale"/>
    <w:link w:val="TestonotaapidipaginaCarattere"/>
    <w:semiHidden/>
    <w:rsid w:val="001954C9"/>
    <w:pPr>
      <w:jc w:val="left"/>
    </w:pPr>
    <w:rPr>
      <w:rFonts w:ascii="Helvetica" w:eastAsia="Times New Roman" w:hAnsi="Helvetica" w:cs="Times New Roman"/>
      <w:sz w:val="20"/>
      <w:szCs w:val="24"/>
      <w:lang w:eastAsia="it-IT"/>
    </w:rPr>
  </w:style>
  <w:style w:type="character" w:customStyle="1" w:styleId="TestonotaapidipaginaCarattere">
    <w:name w:val="Testo nota a piè di pagina Carattere"/>
    <w:basedOn w:val="Carpredefinitoparagrafo"/>
    <w:link w:val="Testonotaapidipagina"/>
    <w:semiHidden/>
    <w:rsid w:val="001954C9"/>
    <w:rPr>
      <w:rFonts w:ascii="Helvetica" w:eastAsia="Times New Roman" w:hAnsi="Helvetica" w:cs="Times New Roman"/>
      <w:sz w:val="20"/>
      <w:szCs w:val="24"/>
      <w:lang w:eastAsia="it-IT"/>
    </w:rPr>
  </w:style>
  <w:style w:type="paragraph" w:styleId="NormaleWeb">
    <w:name w:val="Normal (Web)"/>
    <w:basedOn w:val="Normale"/>
    <w:rsid w:val="001954C9"/>
    <w:pPr>
      <w:spacing w:before="100" w:beforeAutospacing="1" w:after="100" w:afterAutospacing="1"/>
      <w:jc w:val="left"/>
    </w:pPr>
    <w:rPr>
      <w:rFonts w:ascii="Times New Roman" w:eastAsia="Times New Roman" w:hAnsi="Times New Roman" w:cs="Times New Roman"/>
      <w:szCs w:val="24"/>
      <w:lang w:eastAsia="it-CH"/>
    </w:rPr>
  </w:style>
  <w:style w:type="character" w:styleId="Collegamentoipertestuale">
    <w:name w:val="Hyperlink"/>
    <w:uiPriority w:val="99"/>
    <w:rsid w:val="001954C9"/>
    <w:rPr>
      <w:color w:val="0000FF"/>
      <w:u w:val="single"/>
    </w:rPr>
  </w:style>
  <w:style w:type="character" w:customStyle="1" w:styleId="apple-converted-space">
    <w:name w:val="apple-converted-space"/>
    <w:basedOn w:val="Carpredefinitoparagrafo"/>
    <w:rsid w:val="001954C9"/>
  </w:style>
  <w:style w:type="paragraph" w:customStyle="1" w:styleId="Art">
    <w:name w:val="Art"/>
    <w:rsid w:val="002E22F1"/>
    <w:pPr>
      <w:tabs>
        <w:tab w:val="left" w:pos="1701"/>
      </w:tabs>
      <w:overflowPunct w:val="0"/>
      <w:autoSpaceDE w:val="0"/>
      <w:autoSpaceDN w:val="0"/>
      <w:adjustRightInd w:val="0"/>
      <w:ind w:left="720" w:right="187"/>
    </w:pPr>
    <w:rPr>
      <w:rFonts w:ascii="Arial" w:eastAsia="Times New Roman" w:hAnsi="Arial" w:cs="Times New Roman"/>
      <w:noProof/>
      <w:sz w:val="20"/>
      <w:szCs w:val="20"/>
      <w:lang w:val="it-IT" w:eastAsia="it-IT"/>
    </w:rPr>
  </w:style>
  <w:style w:type="paragraph" w:customStyle="1" w:styleId="gCCdS">
    <w:name w:val="gC_CdS"/>
    <w:basedOn w:val="Art"/>
    <w:next w:val="Art"/>
    <w:rsid w:val="00B93281"/>
    <w:pPr>
      <w:jc w:val="center"/>
    </w:pPr>
    <w:rPr>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4.ti.ch/poteri/gc/messaggi-e-atti/ricerca/risultati/dettaglio/?user_gcparlamento_pi8%5Battid%5D=97636&amp;user_gcparlamento_pi8%5bricerca%5d=innovazione" TargetMode="External"/><Relationship Id="rId18" Type="http://schemas.openxmlformats.org/officeDocument/2006/relationships/hyperlink" Target="https://www4.ti.ch/poteri/gc/messaggi-e-atti/ricerca/risultati/dettaglio/?user_gcparlamento_pi8%5Battid%5D=96913&amp;user_gcparlamento_pi8%5bricerca%5d=turismo"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regiosuisse.ch/it/documents/programma-zone-basso-potenziale" TargetMode="External"/><Relationship Id="rId7" Type="http://schemas.openxmlformats.org/officeDocument/2006/relationships/footnotes" Target="footnotes.xml"/><Relationship Id="rId12" Type="http://schemas.openxmlformats.org/officeDocument/2006/relationships/hyperlink" Target="https://www4.ti.ch/poteri/gc/messaggi-e-atti/ricerca/risultati/dettaglio/?user_gcparlamento_pi8%5Battid%5D=86591&amp;user_gcparlamento_pi8%5bricerca%5d=innovazione" TargetMode="External"/><Relationship Id="rId17" Type="http://schemas.openxmlformats.org/officeDocument/2006/relationships/hyperlink" Target="https://www4.ti.ch/poteri/gc/messaggi-e-atti/ricerca/risultati/dettaglio/?user_gcparlamento_pi8%5Battid%5D=86573&amp;user_gcparlamento_pi8%5bricerca%5d=turismo" TargetMode="External"/><Relationship Id="rId25"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hyperlink" Target="https://www4.ti.ch/poteri/gc/messaggi-e-atti/ricerca/risultati/dettaglio/?user_gcparlamento_pi8%5Battid%5D=86430&amp;user_gcparlamento_pi8%5bricerca%5d=turismo" TargetMode="External"/><Relationship Id="rId20" Type="http://schemas.openxmlformats.org/officeDocument/2006/relationships/hyperlink" Target="https://www.ticino.ch/it/hospitality/opportunita/formazione.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i.ch/portale-impresa" TargetMode="External"/><Relationship Id="rId24"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hyperlink" Target="https://www.agire.ch/2019/07/17/il-ticino-inoltra-la-sua-candidatura-a-switzerland-innovation/" TargetMode="External"/><Relationship Id="rId23" Type="http://schemas.openxmlformats.org/officeDocument/2006/relationships/image" Target="media/image4.png"/><Relationship Id="rId28"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hyperlink" Target="https://www.ticino.ch/it/ticket.html"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s://www4.ti.ch/poteri/gc/messaggi-e-atti/ricerca/risultati/dettaglio/?user_gcparlamento_pi8%5Battid%5D=97539&amp;user_gcparlamento_pi8%5bricerca%5d=officine" TargetMode="External"/><Relationship Id="rId22" Type="http://schemas.openxmlformats.org/officeDocument/2006/relationships/image" Target="media/image3.png"/><Relationship Id="rId27"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A0CA2-3D52-4BF8-984E-31229ABDD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26</Pages>
  <Words>8610</Words>
  <Characters>49083</Characters>
  <Application>Microsoft Office Word</Application>
  <DocSecurity>0</DocSecurity>
  <Lines>409</Lines>
  <Paragraphs>115</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57578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7</cp:revision>
  <cp:lastPrinted>2019-11-27T11:27:00Z</cp:lastPrinted>
  <dcterms:created xsi:type="dcterms:W3CDTF">2019-11-27T08:53:00Z</dcterms:created>
  <dcterms:modified xsi:type="dcterms:W3CDTF">2019-11-27T11:52:00Z</dcterms:modified>
</cp:coreProperties>
</file>