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323B6C" w:rsidP="00B860C2">
      <w:pPr>
        <w:rPr>
          <w:rFonts w:cs="Arial"/>
          <w:sz w:val="20"/>
          <w:szCs w:val="20"/>
        </w:rPr>
      </w:pPr>
      <w:r>
        <w:rPr>
          <w:rFonts w:ascii="Gill Sans MT" w:hAnsi="Gill Sans MT"/>
          <w:b/>
          <w:sz w:val="52"/>
          <w:szCs w:val="52"/>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CA342A" w:rsidRPr="00EC6772" w:rsidRDefault="00CA342A" w:rsidP="00CA342A">
      <w:pPr>
        <w:tabs>
          <w:tab w:val="left" w:pos="2098"/>
          <w:tab w:val="left" w:pos="4933"/>
        </w:tabs>
        <w:rPr>
          <w:szCs w:val="24"/>
        </w:rPr>
      </w:pPr>
      <w:bookmarkStart w:id="1" w:name="_Toc532286235"/>
      <w:r w:rsidRPr="007C119B">
        <w:rPr>
          <w:b/>
          <w:sz w:val="32"/>
          <w:szCs w:val="32"/>
        </w:rPr>
        <w:t>7</w:t>
      </w:r>
      <w:r>
        <w:rPr>
          <w:b/>
          <w:sz w:val="32"/>
          <w:szCs w:val="32"/>
        </w:rPr>
        <w:t>688</w:t>
      </w:r>
      <w:r w:rsidR="00673903">
        <w:rPr>
          <w:b/>
          <w:sz w:val="32"/>
          <w:szCs w:val="32"/>
        </w:rPr>
        <w:t xml:space="preserve"> R</w:t>
      </w:r>
      <w:r w:rsidRPr="00CA17CB">
        <w:rPr>
          <w:sz w:val="28"/>
        </w:rPr>
        <w:tab/>
      </w:r>
      <w:r>
        <w:rPr>
          <w:sz w:val="28"/>
        </w:rPr>
        <w:t>26</w:t>
      </w:r>
      <w:r>
        <w:rPr>
          <w:sz w:val="28"/>
          <w:szCs w:val="28"/>
        </w:rPr>
        <w:t xml:space="preserve"> novembre </w:t>
      </w:r>
      <w:r w:rsidRPr="00AE043E">
        <w:rPr>
          <w:sz w:val="28"/>
          <w:szCs w:val="28"/>
        </w:rPr>
        <w:t>201</w:t>
      </w:r>
      <w:r>
        <w:rPr>
          <w:sz w:val="28"/>
          <w:szCs w:val="28"/>
        </w:rPr>
        <w:t>9</w:t>
      </w:r>
      <w:r w:rsidRPr="00CA17CB">
        <w:rPr>
          <w:sz w:val="28"/>
        </w:rPr>
        <w:tab/>
      </w:r>
      <w:r>
        <w:rPr>
          <w:sz w:val="28"/>
        </w:rPr>
        <w:t xml:space="preserve">TERRITORIO </w:t>
      </w:r>
    </w:p>
    <w:p w:rsidR="00CA342A" w:rsidRDefault="00CA342A" w:rsidP="00CA342A"/>
    <w:p w:rsidR="00CA342A" w:rsidRDefault="00CA342A" w:rsidP="00CA342A"/>
    <w:p w:rsidR="00CA342A" w:rsidRDefault="00CA342A" w:rsidP="00CA342A"/>
    <w:p w:rsidR="00673903" w:rsidRDefault="00CA342A" w:rsidP="00CA342A">
      <w:pPr>
        <w:tabs>
          <w:tab w:val="left" w:pos="4820"/>
        </w:tabs>
        <w:rPr>
          <w:b/>
          <w:sz w:val="28"/>
          <w:szCs w:val="28"/>
        </w:rPr>
      </w:pPr>
      <w:r>
        <w:rPr>
          <w:b/>
          <w:sz w:val="28"/>
          <w:szCs w:val="28"/>
        </w:rPr>
        <w:t>della</w:t>
      </w:r>
      <w:r w:rsidR="00673903">
        <w:rPr>
          <w:b/>
          <w:sz w:val="28"/>
          <w:szCs w:val="28"/>
        </w:rPr>
        <w:t xml:space="preserve"> Commissione gestione e finanze</w:t>
      </w:r>
    </w:p>
    <w:p w:rsidR="00CA342A" w:rsidRDefault="00673903" w:rsidP="00CA342A">
      <w:pPr>
        <w:tabs>
          <w:tab w:val="left" w:pos="4820"/>
        </w:tabs>
        <w:rPr>
          <w:b/>
          <w:sz w:val="28"/>
          <w:szCs w:val="28"/>
        </w:rPr>
      </w:pPr>
      <w:r>
        <w:rPr>
          <w:b/>
          <w:sz w:val="28"/>
          <w:szCs w:val="28"/>
        </w:rPr>
        <w:t xml:space="preserve">sul </w:t>
      </w:r>
      <w:r w:rsidR="00CA342A">
        <w:rPr>
          <w:b/>
          <w:sz w:val="28"/>
          <w:szCs w:val="28"/>
        </w:rPr>
        <w:t xml:space="preserve">messaggio 10 luglio 2019 </w:t>
      </w:r>
      <w:r>
        <w:rPr>
          <w:b/>
          <w:sz w:val="28"/>
          <w:szCs w:val="28"/>
        </w:rPr>
        <w:t>concernente</w:t>
      </w:r>
      <w:r w:rsidR="00CA342A">
        <w:rPr>
          <w:b/>
          <w:sz w:val="28"/>
          <w:szCs w:val="28"/>
        </w:rPr>
        <w:t xml:space="preserve"> l’</w:t>
      </w:r>
      <w:r>
        <w:rPr>
          <w:b/>
          <w:sz w:val="28"/>
          <w:szCs w:val="28"/>
        </w:rPr>
        <w:t>a</w:t>
      </w:r>
      <w:r w:rsidR="00CA342A">
        <w:rPr>
          <w:b/>
          <w:sz w:val="28"/>
          <w:szCs w:val="28"/>
        </w:rPr>
        <w:t>pprovazione dei conti e della relazione annuale 2018 dell'Azienda cantonale dei rifiuti</w:t>
      </w:r>
    </w:p>
    <w:p w:rsidR="00CA342A" w:rsidRDefault="00CA342A" w:rsidP="00CA342A"/>
    <w:p w:rsidR="00673903" w:rsidRDefault="00673903" w:rsidP="00CA342A"/>
    <w:p w:rsidR="00CA342A" w:rsidRDefault="00CA342A" w:rsidP="00CA342A">
      <w:pPr>
        <w:pStyle w:val="Standarduser"/>
        <w:rPr>
          <w:szCs w:val="24"/>
        </w:rPr>
      </w:pPr>
    </w:p>
    <w:p w:rsidR="00CA342A" w:rsidRPr="00673903" w:rsidRDefault="00CA342A" w:rsidP="00673903">
      <w:pPr>
        <w:pStyle w:val="Titolo1"/>
      </w:pPr>
      <w:bookmarkStart w:id="2" w:name="_Toc410577174"/>
      <w:r w:rsidRPr="00673903">
        <w:t>PREMESSA</w:t>
      </w:r>
    </w:p>
    <w:p w:rsidR="00CA342A" w:rsidRPr="00FE2F76" w:rsidRDefault="00CA342A" w:rsidP="00CA342A">
      <w:pPr>
        <w:rPr>
          <w:rFonts w:cs="Arial"/>
          <w:szCs w:val="24"/>
        </w:rPr>
      </w:pPr>
      <w:r w:rsidRPr="00FE2F76">
        <w:rPr>
          <w:rFonts w:cs="Arial"/>
          <w:szCs w:val="24"/>
        </w:rPr>
        <w:t>L’Azienda cantonale dei rifiuti (ACR), nell’anno contabile 2018, ha chiuso i conti con un utile di CHF 2.5 mio, determinato da un totale dei costi pari a CHF 39.4 mio a fronte di ricavi per un totale di CHF 41.9 mio. Il conto degli investimenti presenta un saldo netto 2018 (investimento lordo - sussidi - ammortamenti/ scioglimento accantonamenti) di CHF -10.4 mio.</w:t>
      </w:r>
    </w:p>
    <w:p w:rsidR="00CA342A" w:rsidRDefault="00CA342A" w:rsidP="00CA342A">
      <w:pPr>
        <w:rPr>
          <w:rFonts w:ascii="Times New Roman" w:hAnsi="Times New Roman"/>
          <w:szCs w:val="24"/>
        </w:rPr>
      </w:pPr>
    </w:p>
    <w:p w:rsidR="00CA342A" w:rsidRPr="006C1E30" w:rsidRDefault="00CA342A" w:rsidP="00CA342A">
      <w:pPr>
        <w:pStyle w:val="Standarduser"/>
        <w:rPr>
          <w:color w:val="000000" w:themeColor="text1"/>
        </w:rPr>
      </w:pPr>
      <w:r w:rsidRPr="006C1E30">
        <w:rPr>
          <w:color w:val="000000" w:themeColor="text1"/>
          <w:szCs w:val="24"/>
        </w:rPr>
        <w:t xml:space="preserve">Dal profilo finanziario si evidenzia il </w:t>
      </w:r>
      <w:r w:rsidRPr="006C1E30">
        <w:rPr>
          <w:rFonts w:eastAsia="Times New Roman"/>
          <w:color w:val="000000" w:themeColor="text1"/>
          <w:szCs w:val="21"/>
          <w:lang w:eastAsia="it-CH"/>
        </w:rPr>
        <w:t xml:space="preserve">versamento da parte di ACR del contributo cantonale annuo, votato dal Parlamento nell’ambito dell’approvazione del P2016, </w:t>
      </w:r>
      <w:r w:rsidRPr="006C1E30">
        <w:rPr>
          <w:color w:val="000000" w:themeColor="text1"/>
          <w:szCs w:val="24"/>
        </w:rPr>
        <w:t xml:space="preserve">destinato alla gestione territoriale dello Stato, in particolare per la pianificazione cantonale dello smaltimento dei rifiuti </w:t>
      </w:r>
      <w:r w:rsidRPr="006C1E30">
        <w:rPr>
          <w:rFonts w:eastAsia="Times New Roman"/>
          <w:color w:val="000000" w:themeColor="text1"/>
          <w:szCs w:val="21"/>
          <w:lang w:eastAsia="it-CH"/>
        </w:rPr>
        <w:t>(CHF 2.0 mio).</w:t>
      </w:r>
    </w:p>
    <w:p w:rsidR="00CA342A" w:rsidRPr="00FE2F76" w:rsidRDefault="00CA342A" w:rsidP="00CA342A">
      <w:pPr>
        <w:pStyle w:val="Standarduser"/>
        <w:rPr>
          <w:rFonts w:eastAsia="Times New Roman"/>
          <w:szCs w:val="21"/>
          <w:lang w:eastAsia="it-CH"/>
        </w:rPr>
      </w:pPr>
    </w:p>
    <w:p w:rsidR="00CA342A" w:rsidRPr="00651D52" w:rsidRDefault="00CA342A" w:rsidP="00CA342A">
      <w:pPr>
        <w:pStyle w:val="Standarduser"/>
        <w:rPr>
          <w:color w:val="000000" w:themeColor="text1"/>
          <w:szCs w:val="24"/>
        </w:rPr>
      </w:pPr>
      <w:r w:rsidRPr="00651D52">
        <w:rPr>
          <w:color w:val="000000" w:themeColor="text1"/>
          <w:szCs w:val="24"/>
        </w:rPr>
        <w:t xml:space="preserve">La tariffa relativa allo smaltimento rifiuti urbani consegnati dai Comuni, è rimasta anche per il 2018 fissata a </w:t>
      </w:r>
      <w:proofErr w:type="spellStart"/>
      <w:r w:rsidRPr="00651D52">
        <w:rPr>
          <w:color w:val="000000" w:themeColor="text1"/>
          <w:szCs w:val="24"/>
        </w:rPr>
        <w:t>Fr</w:t>
      </w:r>
      <w:proofErr w:type="spellEnd"/>
      <w:r w:rsidRPr="00651D52">
        <w:rPr>
          <w:color w:val="000000" w:themeColor="text1"/>
          <w:szCs w:val="24"/>
        </w:rPr>
        <w:t xml:space="preserve">. 170.00 la tonnellata.  </w:t>
      </w:r>
    </w:p>
    <w:p w:rsidR="00CA342A" w:rsidRDefault="00CA342A" w:rsidP="00CA342A">
      <w:pPr>
        <w:pStyle w:val="Standarduser"/>
      </w:pPr>
    </w:p>
    <w:p w:rsidR="00673903" w:rsidRDefault="00673903" w:rsidP="00CA342A">
      <w:pPr>
        <w:pStyle w:val="Standarduser"/>
      </w:pPr>
    </w:p>
    <w:p w:rsidR="00CA342A" w:rsidRDefault="00CA342A" w:rsidP="00CA342A">
      <w:pPr>
        <w:pStyle w:val="Standarduser"/>
      </w:pPr>
    </w:p>
    <w:p w:rsidR="00CA342A" w:rsidRDefault="00CA342A" w:rsidP="00673903">
      <w:pPr>
        <w:pStyle w:val="Titolo1"/>
      </w:pPr>
      <w:r>
        <w:t>IL RAPPORTO DI REVISIONE DEL CONTROLLO CANTONALE DELLE FINANZE</w:t>
      </w:r>
      <w:bookmarkEnd w:id="2"/>
      <w:r>
        <w:t xml:space="preserve"> (CCF)</w:t>
      </w:r>
    </w:p>
    <w:p w:rsidR="00CA342A" w:rsidRPr="00FE2F76" w:rsidRDefault="00CA342A" w:rsidP="00CA342A">
      <w:pPr>
        <w:rPr>
          <w:rFonts w:cs="Arial"/>
          <w:szCs w:val="24"/>
        </w:rPr>
      </w:pPr>
      <w:r w:rsidRPr="00FE2F76">
        <w:rPr>
          <w:rFonts w:cs="Arial"/>
          <w:szCs w:val="24"/>
        </w:rPr>
        <w:t xml:space="preserve">In conformità alla risoluzione governativa n. 5040 del 16 novembre 2004, che designa il Controllo cantonale delle finanze (CCF) quale organo di revisione dell’ACR, i conti consuntivi 2018 sono stati sottoposti per revisione al CCF.  Il rapporto del CCF, presentato in data 29 maggio 2019, raccomanda l'approvazione del conto annuale 2018 dell'ACR che chiude con un avanzo di esercizio di </w:t>
      </w:r>
      <w:proofErr w:type="spellStart"/>
      <w:r w:rsidRPr="00FE2F76">
        <w:rPr>
          <w:rFonts w:cs="Arial"/>
          <w:szCs w:val="24"/>
        </w:rPr>
        <w:t>fr</w:t>
      </w:r>
      <w:proofErr w:type="spellEnd"/>
      <w:r w:rsidRPr="00FE2F76">
        <w:rPr>
          <w:rFonts w:cs="Arial"/>
          <w:szCs w:val="24"/>
        </w:rPr>
        <w:t xml:space="preserve">. 2'473'967.72. Di questo importo </w:t>
      </w:r>
      <w:proofErr w:type="spellStart"/>
      <w:r w:rsidRPr="00FE2F76">
        <w:rPr>
          <w:rFonts w:cs="Arial"/>
          <w:szCs w:val="24"/>
        </w:rPr>
        <w:t>fr</w:t>
      </w:r>
      <w:proofErr w:type="spellEnd"/>
      <w:r w:rsidRPr="00FE2F76">
        <w:rPr>
          <w:rFonts w:cs="Arial"/>
          <w:szCs w:val="24"/>
        </w:rPr>
        <w:t>. 370'000.- saranno attribuiti al Fondo per la manutenzione dell’Impianto Cantonale di Termovalorizzazione dei Rifiuti (ICTR).</w:t>
      </w:r>
    </w:p>
    <w:p w:rsidR="00CA342A" w:rsidRPr="00FE2F76" w:rsidRDefault="00CA342A" w:rsidP="00CA342A">
      <w:pPr>
        <w:rPr>
          <w:rFonts w:cs="Arial"/>
        </w:rPr>
      </w:pPr>
    </w:p>
    <w:p w:rsidR="00B70B1A" w:rsidRDefault="00B70B1A">
      <w:pPr>
        <w:rPr>
          <w:b/>
          <w:lang w:val="it-IT" w:eastAsia="it-IT"/>
        </w:rPr>
      </w:pPr>
      <w:r>
        <w:br w:type="page"/>
      </w:r>
    </w:p>
    <w:p w:rsidR="00CA342A" w:rsidRPr="004D5502" w:rsidRDefault="00CA342A" w:rsidP="00673903">
      <w:pPr>
        <w:pStyle w:val="Titolo2"/>
      </w:pPr>
      <w:r w:rsidRPr="004D5502">
        <w:lastRenderedPageBreak/>
        <w:t>Bilancio al 31 dicembre 2018</w:t>
      </w:r>
    </w:p>
    <w:p w:rsidR="00CA342A" w:rsidRPr="00FE2F76" w:rsidRDefault="00CA342A" w:rsidP="00CA342A">
      <w:pPr>
        <w:pStyle w:val="Standarduser"/>
      </w:pPr>
    </w:p>
    <w:tbl>
      <w:tblPr>
        <w:tblW w:w="9554" w:type="dxa"/>
        <w:tblInd w:w="-10" w:type="dxa"/>
        <w:tblLayout w:type="fixed"/>
        <w:tblCellMar>
          <w:left w:w="10" w:type="dxa"/>
          <w:right w:w="10" w:type="dxa"/>
        </w:tblCellMar>
        <w:tblLook w:val="0000" w:firstRow="0" w:lastRow="0" w:firstColumn="0" w:lastColumn="0" w:noHBand="0" w:noVBand="0"/>
      </w:tblPr>
      <w:tblGrid>
        <w:gridCol w:w="3178"/>
        <w:gridCol w:w="2133"/>
        <w:gridCol w:w="2268"/>
        <w:gridCol w:w="1975"/>
      </w:tblGrid>
      <w:tr w:rsidR="00CA342A" w:rsidRPr="008D6942" w:rsidTr="00040D26">
        <w:trPr>
          <w:trHeight w:val="306"/>
        </w:trPr>
        <w:tc>
          <w:tcPr>
            <w:tcW w:w="3178" w:type="dxa"/>
            <w:tcBorders>
              <w:top w:val="single" w:sz="4" w:space="0" w:color="000000"/>
              <w:left w:val="single" w:sz="4" w:space="0" w:color="000000"/>
              <w:right w:val="single" w:sz="8" w:space="0" w:color="000000"/>
            </w:tcBorders>
            <w:shd w:val="clear" w:color="auto" w:fill="B3B3B3"/>
            <w:tcMar>
              <w:top w:w="0" w:type="dxa"/>
              <w:left w:w="70" w:type="dxa"/>
              <w:bottom w:w="0" w:type="dxa"/>
              <w:right w:w="70" w:type="dxa"/>
            </w:tcMar>
            <w:vAlign w:val="center"/>
          </w:tcPr>
          <w:p w:rsidR="00CA342A" w:rsidRPr="004D5502" w:rsidRDefault="00CA342A" w:rsidP="00040D26">
            <w:pPr>
              <w:pStyle w:val="Standarduser"/>
              <w:rPr>
                <w:rFonts w:eastAsia="Times New Roman"/>
                <w:b/>
                <w:bCs/>
                <w:color w:val="000000" w:themeColor="text1"/>
                <w:sz w:val="22"/>
                <w:lang w:eastAsia="it-CH"/>
              </w:rPr>
            </w:pPr>
            <w:r w:rsidRPr="004D5502">
              <w:rPr>
                <w:rFonts w:eastAsia="Times New Roman"/>
                <w:b/>
                <w:bCs/>
                <w:color w:val="000000" w:themeColor="text1"/>
                <w:sz w:val="22"/>
                <w:lang w:eastAsia="it-CH"/>
              </w:rPr>
              <w:t>(in CHF)</w:t>
            </w:r>
          </w:p>
        </w:tc>
        <w:tc>
          <w:tcPr>
            <w:tcW w:w="2133" w:type="dxa"/>
            <w:tcBorders>
              <w:top w:val="single" w:sz="4" w:space="0" w:color="000000"/>
              <w:right w:val="single" w:sz="8" w:space="0" w:color="000000"/>
            </w:tcBorders>
            <w:shd w:val="clear" w:color="auto" w:fill="B3B3B3"/>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31.12.2018</w:t>
            </w:r>
          </w:p>
        </w:tc>
        <w:tc>
          <w:tcPr>
            <w:tcW w:w="2268" w:type="dxa"/>
            <w:tcBorders>
              <w:top w:val="single" w:sz="4" w:space="0" w:color="000000"/>
              <w:right w:val="single" w:sz="8" w:space="0" w:color="000000"/>
            </w:tcBorders>
            <w:shd w:val="clear" w:color="auto" w:fill="B3B3B3"/>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31.12.2017</w:t>
            </w:r>
          </w:p>
        </w:tc>
        <w:tc>
          <w:tcPr>
            <w:tcW w:w="1975" w:type="dxa"/>
            <w:tcBorders>
              <w:top w:val="single" w:sz="4" w:space="0" w:color="000000"/>
              <w:right w:val="single" w:sz="4" w:space="0" w:color="000000"/>
            </w:tcBorders>
            <w:shd w:val="clear" w:color="auto" w:fill="B3B3B3"/>
            <w:tcMar>
              <w:top w:w="0" w:type="dxa"/>
              <w:left w:w="70" w:type="dxa"/>
              <w:bottom w:w="0" w:type="dxa"/>
              <w:right w:w="70" w:type="dxa"/>
            </w:tcMar>
            <w:vAlign w:val="center"/>
          </w:tcPr>
          <w:p w:rsidR="00CA342A" w:rsidRPr="007C346F" w:rsidRDefault="00CA342A" w:rsidP="00040D26">
            <w:pPr>
              <w:pStyle w:val="Standarduser"/>
              <w:jc w:val="right"/>
              <w:rPr>
                <w:rFonts w:eastAsia="Times New Roman"/>
                <w:b/>
                <w:bCs/>
                <w:color w:val="000000" w:themeColor="text1"/>
                <w:sz w:val="22"/>
                <w:lang w:eastAsia="it-CH"/>
              </w:rPr>
            </w:pPr>
            <w:r>
              <w:rPr>
                <w:rFonts w:eastAsia="Times New Roman"/>
                <w:b/>
                <w:bCs/>
                <w:color w:val="000000" w:themeColor="text1"/>
                <w:sz w:val="22"/>
                <w:lang w:eastAsia="it-CH"/>
              </w:rPr>
              <w:t>Variazione</w:t>
            </w:r>
          </w:p>
        </w:tc>
      </w:tr>
      <w:tr w:rsidR="00CA342A" w:rsidRPr="008D6942" w:rsidTr="00040D26">
        <w:tc>
          <w:tcPr>
            <w:tcW w:w="3178" w:type="dxa"/>
            <w:tcBorders>
              <w:top w:val="single" w:sz="8" w:space="0" w:color="000000"/>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12"/>
                <w:szCs w:val="12"/>
                <w:lang w:eastAsia="it-CH"/>
              </w:rPr>
            </w:pPr>
            <w:r w:rsidRPr="004D5502">
              <w:rPr>
                <w:rFonts w:eastAsia="Times New Roman"/>
                <w:color w:val="000000" w:themeColor="text1"/>
                <w:sz w:val="12"/>
                <w:szCs w:val="12"/>
                <w:lang w:eastAsia="it-CH"/>
              </w:rPr>
              <w:t> </w:t>
            </w:r>
          </w:p>
        </w:tc>
        <w:tc>
          <w:tcPr>
            <w:tcW w:w="2133" w:type="dxa"/>
            <w:tcBorders>
              <w:top w:val="single" w:sz="8"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12"/>
                <w:szCs w:val="12"/>
                <w:lang w:eastAsia="it-CH"/>
              </w:rPr>
            </w:pPr>
          </w:p>
        </w:tc>
        <w:tc>
          <w:tcPr>
            <w:tcW w:w="2268" w:type="dxa"/>
            <w:tcBorders>
              <w:top w:val="single" w:sz="8"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12"/>
                <w:szCs w:val="12"/>
                <w:lang w:eastAsia="it-CH"/>
              </w:rPr>
            </w:pPr>
            <w:r w:rsidRPr="004D5502">
              <w:rPr>
                <w:rFonts w:eastAsia="Times New Roman"/>
                <w:color w:val="000000" w:themeColor="text1"/>
                <w:sz w:val="12"/>
                <w:szCs w:val="12"/>
                <w:lang w:eastAsia="it-CH"/>
              </w:rPr>
              <w:t> </w:t>
            </w:r>
          </w:p>
        </w:tc>
        <w:tc>
          <w:tcPr>
            <w:tcW w:w="1975" w:type="dxa"/>
            <w:tcBorders>
              <w:top w:val="single" w:sz="8" w:space="0" w:color="000000"/>
              <w:right w:val="single" w:sz="4" w:space="0" w:color="000000"/>
            </w:tcBorders>
            <w:tcMar>
              <w:top w:w="0" w:type="dxa"/>
              <w:left w:w="70" w:type="dxa"/>
              <w:bottom w:w="0" w:type="dxa"/>
              <w:right w:w="70" w:type="dxa"/>
            </w:tcMar>
            <w:vAlign w:val="center"/>
          </w:tcPr>
          <w:p w:rsidR="00CA342A" w:rsidRPr="008D6942" w:rsidRDefault="00CA342A" w:rsidP="00040D26">
            <w:pPr>
              <w:pStyle w:val="Standarduser"/>
              <w:rPr>
                <w:rFonts w:eastAsia="Times New Roman"/>
                <w:color w:val="FF0000"/>
                <w:sz w:val="12"/>
                <w:szCs w:val="12"/>
                <w:lang w:eastAsia="it-CH"/>
              </w:rPr>
            </w:pP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22"/>
                <w:lang w:eastAsia="it-CH"/>
              </w:rPr>
            </w:pPr>
            <w:r w:rsidRPr="004D5502">
              <w:rPr>
                <w:rFonts w:eastAsia="Times New Roman"/>
                <w:color w:val="000000" w:themeColor="text1"/>
                <w:sz w:val="22"/>
                <w:lang w:eastAsia="it-CH"/>
              </w:rPr>
              <w:t>Attivo circolante</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23 587 737.60</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23 281 263.03</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color w:val="000000" w:themeColor="text1"/>
                <w:sz w:val="22"/>
                <w:lang w:eastAsia="it-CH"/>
              </w:rPr>
            </w:pPr>
            <w:r w:rsidRPr="007C346F">
              <w:rPr>
                <w:rFonts w:eastAsia="Times New Roman"/>
                <w:color w:val="000000" w:themeColor="text1"/>
                <w:sz w:val="22"/>
                <w:lang w:eastAsia="it-CH"/>
              </w:rPr>
              <w:t>306 474.57</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22"/>
                <w:lang w:eastAsia="it-CH"/>
              </w:rPr>
            </w:pPr>
            <w:r w:rsidRPr="004D5502">
              <w:rPr>
                <w:rFonts w:eastAsia="Times New Roman"/>
                <w:color w:val="000000" w:themeColor="text1"/>
                <w:sz w:val="22"/>
                <w:lang w:eastAsia="it-CH"/>
              </w:rPr>
              <w:t>Attivo fisso</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144 818 459.50</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154 457 492.84</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color w:val="000000" w:themeColor="text1"/>
                <w:sz w:val="22"/>
                <w:lang w:eastAsia="it-CH"/>
              </w:rPr>
            </w:pPr>
            <w:r w:rsidRPr="007C346F">
              <w:rPr>
                <w:rFonts w:eastAsia="Times New Roman"/>
                <w:color w:val="000000" w:themeColor="text1"/>
                <w:sz w:val="22"/>
                <w:lang w:eastAsia="it-CH"/>
              </w:rPr>
              <w:t>-9 639 033.34</w:t>
            </w:r>
          </w:p>
        </w:tc>
      </w:tr>
      <w:tr w:rsidR="00CA342A" w:rsidRPr="008D6942" w:rsidTr="00040D26">
        <w:trPr>
          <w:trHeight w:val="33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b/>
                <w:bCs/>
                <w:color w:val="000000" w:themeColor="text1"/>
                <w:sz w:val="22"/>
                <w:lang w:eastAsia="it-CH"/>
              </w:rPr>
            </w:pPr>
            <w:r w:rsidRPr="004D5502">
              <w:rPr>
                <w:rFonts w:eastAsia="Times New Roman"/>
                <w:b/>
                <w:bCs/>
                <w:color w:val="000000" w:themeColor="text1"/>
                <w:sz w:val="22"/>
                <w:lang w:eastAsia="it-CH"/>
              </w:rPr>
              <w:t>Totale attivo</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168 406 197.10</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177 738 755.87</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b/>
                <w:color w:val="000000" w:themeColor="text1"/>
                <w:sz w:val="22"/>
                <w:lang w:eastAsia="it-CH"/>
              </w:rPr>
            </w:pPr>
            <w:r w:rsidRPr="007C346F">
              <w:rPr>
                <w:rFonts w:eastAsia="Times New Roman"/>
                <w:b/>
                <w:color w:val="000000" w:themeColor="text1"/>
                <w:sz w:val="22"/>
                <w:lang w:eastAsia="it-CH"/>
              </w:rPr>
              <w:t>-9 332 558.77</w:t>
            </w:r>
          </w:p>
        </w:tc>
      </w:tr>
      <w:tr w:rsidR="00CA342A" w:rsidRPr="008D6942" w:rsidTr="00040D26">
        <w:trPr>
          <w:trHeight w:val="16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12"/>
                <w:szCs w:val="12"/>
                <w:lang w:eastAsia="it-CH"/>
              </w:rPr>
            </w:pP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12"/>
                <w:szCs w:val="12"/>
                <w:lang w:eastAsia="it-CH"/>
              </w:rPr>
            </w:pP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12"/>
                <w:szCs w:val="12"/>
                <w:lang w:eastAsia="it-CH"/>
              </w:rPr>
            </w:pP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color w:val="000000" w:themeColor="text1"/>
                <w:sz w:val="12"/>
                <w:szCs w:val="12"/>
                <w:lang w:eastAsia="it-CH"/>
              </w:rPr>
            </w:pP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22"/>
                <w:lang w:eastAsia="it-CH"/>
              </w:rPr>
            </w:pPr>
            <w:r w:rsidRPr="004D5502">
              <w:rPr>
                <w:rFonts w:eastAsia="Times New Roman"/>
                <w:color w:val="000000" w:themeColor="text1"/>
                <w:sz w:val="22"/>
                <w:lang w:eastAsia="it-CH"/>
              </w:rPr>
              <w:t>Capitale terzi breve termine</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142 821  172.27</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153 444 888.87</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color w:val="000000" w:themeColor="text1"/>
                <w:sz w:val="22"/>
                <w:lang w:eastAsia="it-CH"/>
              </w:rPr>
            </w:pPr>
            <w:r w:rsidRPr="007C346F">
              <w:rPr>
                <w:rFonts w:eastAsia="Times New Roman"/>
                <w:color w:val="000000" w:themeColor="text1"/>
                <w:sz w:val="22"/>
                <w:lang w:eastAsia="it-CH"/>
              </w:rPr>
              <w:t>-10 623 716.60</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color w:val="000000" w:themeColor="text1"/>
                <w:sz w:val="22"/>
                <w:lang w:eastAsia="it-CH"/>
              </w:rPr>
            </w:pPr>
            <w:r w:rsidRPr="004D5502">
              <w:rPr>
                <w:rFonts w:eastAsia="Times New Roman"/>
                <w:color w:val="000000" w:themeColor="text1"/>
                <w:sz w:val="22"/>
                <w:lang w:eastAsia="it-CH"/>
              </w:rPr>
              <w:t>Capitale terzi m./l. termine</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76 288 386.74</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color w:val="000000" w:themeColor="text1"/>
                <w:sz w:val="22"/>
                <w:lang w:eastAsia="it-CH"/>
              </w:rPr>
            </w:pPr>
            <w:r w:rsidRPr="004D5502">
              <w:rPr>
                <w:rFonts w:eastAsia="Times New Roman"/>
                <w:color w:val="000000" w:themeColor="text1"/>
                <w:sz w:val="22"/>
                <w:lang w:eastAsia="it-CH"/>
              </w:rPr>
              <w:t>7 471 196.63</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color w:val="000000" w:themeColor="text1"/>
                <w:sz w:val="22"/>
                <w:lang w:eastAsia="it-CH"/>
              </w:rPr>
            </w:pPr>
            <w:r w:rsidRPr="007C346F">
              <w:rPr>
                <w:rFonts w:eastAsia="Times New Roman"/>
                <w:color w:val="000000" w:themeColor="text1"/>
                <w:sz w:val="22"/>
                <w:lang w:eastAsia="it-CH"/>
              </w:rPr>
              <w:t>1 182 809.89</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spacing w:before="60"/>
              <w:rPr>
                <w:color w:val="000000" w:themeColor="text1"/>
              </w:rPr>
            </w:pPr>
            <w:r w:rsidRPr="004D5502">
              <w:rPr>
                <w:rFonts w:eastAsia="Times New Roman"/>
                <w:color w:val="000000" w:themeColor="text1"/>
                <w:sz w:val="22"/>
                <w:lang w:eastAsia="it-CH"/>
              </w:rPr>
              <w:t>Capitale proprio</w:t>
            </w:r>
            <w:r w:rsidRPr="004D5502">
              <w:rPr>
                <w:rFonts w:eastAsia="Times New Roman"/>
                <w:i/>
                <w:iCs/>
                <w:color w:val="000000" w:themeColor="text1"/>
                <w:sz w:val="22"/>
                <w:lang w:eastAsia="it-CH"/>
              </w:rPr>
              <w:t>:</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spacing w:before="60"/>
              <w:jc w:val="right"/>
              <w:rPr>
                <w:rFonts w:eastAsia="Times New Roman"/>
                <w:color w:val="000000" w:themeColor="text1"/>
                <w:sz w:val="22"/>
                <w:lang w:eastAsia="it-CH"/>
              </w:rPr>
            </w:pPr>
            <w:r w:rsidRPr="004D5502">
              <w:rPr>
                <w:rFonts w:eastAsia="Times New Roman"/>
                <w:color w:val="000000" w:themeColor="text1"/>
                <w:sz w:val="22"/>
                <w:lang w:eastAsia="it-CH"/>
              </w:rPr>
              <w:t>19 296 638.09</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spacing w:before="60"/>
              <w:jc w:val="right"/>
              <w:rPr>
                <w:rFonts w:eastAsia="Times New Roman"/>
                <w:color w:val="000000" w:themeColor="text1"/>
                <w:sz w:val="22"/>
                <w:lang w:eastAsia="it-CH"/>
              </w:rPr>
            </w:pPr>
            <w:r w:rsidRPr="004D5502">
              <w:rPr>
                <w:rFonts w:eastAsia="Times New Roman"/>
                <w:color w:val="000000" w:themeColor="text1"/>
                <w:sz w:val="22"/>
                <w:lang w:eastAsia="it-CH"/>
              </w:rPr>
              <w:t>16 822 670.37</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spacing w:before="60"/>
              <w:jc w:val="right"/>
              <w:rPr>
                <w:rFonts w:eastAsia="Times New Roman"/>
                <w:color w:val="000000" w:themeColor="text1"/>
                <w:sz w:val="22"/>
                <w:lang w:eastAsia="it-CH"/>
              </w:rPr>
            </w:pPr>
            <w:r w:rsidRPr="007C346F">
              <w:rPr>
                <w:rFonts w:eastAsia="Times New Roman"/>
                <w:color w:val="000000" w:themeColor="text1"/>
                <w:sz w:val="22"/>
                <w:lang w:eastAsia="it-CH"/>
              </w:rPr>
              <w:t>2 473 967.72</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i/>
                <w:iCs/>
                <w:color w:val="000000" w:themeColor="text1"/>
                <w:sz w:val="22"/>
                <w:lang w:eastAsia="it-CH"/>
              </w:rPr>
            </w:pP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i/>
                <w:color w:val="000000" w:themeColor="text1"/>
                <w:sz w:val="20"/>
                <w:lang w:eastAsia="it-CH"/>
              </w:rPr>
            </w:pP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i/>
                <w:iCs/>
                <w:color w:val="000000" w:themeColor="text1"/>
                <w:sz w:val="22"/>
                <w:lang w:eastAsia="it-CH"/>
              </w:rPr>
            </w:pPr>
            <w:r w:rsidRPr="004D5502">
              <w:rPr>
                <w:rFonts w:eastAsia="Times New Roman"/>
                <w:i/>
                <w:iCs/>
                <w:color w:val="000000" w:themeColor="text1"/>
                <w:sz w:val="22"/>
                <w:lang w:eastAsia="it-CH"/>
              </w:rPr>
              <w:t xml:space="preserve">Riserva </w:t>
            </w:r>
            <w:proofErr w:type="spellStart"/>
            <w:r w:rsidRPr="004D5502">
              <w:rPr>
                <w:rFonts w:eastAsia="Times New Roman"/>
                <w:i/>
                <w:iCs/>
                <w:color w:val="000000" w:themeColor="text1"/>
                <w:sz w:val="22"/>
                <w:lang w:eastAsia="it-CH"/>
              </w:rPr>
              <w:t>manutenz</w:t>
            </w:r>
            <w:proofErr w:type="spellEnd"/>
            <w:r w:rsidRPr="004D5502">
              <w:rPr>
                <w:rFonts w:eastAsia="Times New Roman"/>
                <w:i/>
                <w:iCs/>
                <w:color w:val="000000" w:themeColor="text1"/>
                <w:sz w:val="22"/>
                <w:lang w:eastAsia="it-CH"/>
              </w:rPr>
              <w:t>. ICTR</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sidRPr="004D5502">
              <w:rPr>
                <w:rFonts w:eastAsia="Times New Roman"/>
                <w:i/>
                <w:iCs/>
                <w:color w:val="000000" w:themeColor="text1"/>
                <w:sz w:val="20"/>
                <w:lang w:eastAsia="it-CH"/>
              </w:rPr>
              <w:t>7 170 000.00</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sidRPr="004D5502">
              <w:rPr>
                <w:rFonts w:eastAsia="Times New Roman"/>
                <w:i/>
                <w:iCs/>
                <w:color w:val="000000" w:themeColor="text1"/>
                <w:sz w:val="20"/>
                <w:lang w:eastAsia="it-CH"/>
              </w:rPr>
              <w:t>7 170 000.00</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i/>
                <w:color w:val="000000" w:themeColor="text1"/>
                <w:sz w:val="20"/>
                <w:lang w:eastAsia="it-CH"/>
              </w:rPr>
            </w:pPr>
            <w:r w:rsidRPr="007C346F">
              <w:rPr>
                <w:rFonts w:eastAsia="Times New Roman"/>
                <w:i/>
                <w:color w:val="000000" w:themeColor="text1"/>
                <w:sz w:val="20"/>
                <w:lang w:eastAsia="it-CH"/>
              </w:rPr>
              <w:t>0.00</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i/>
                <w:iCs/>
                <w:color w:val="000000" w:themeColor="text1"/>
                <w:sz w:val="22"/>
                <w:lang w:eastAsia="it-CH"/>
              </w:rPr>
            </w:pPr>
            <w:r w:rsidRPr="004D5502">
              <w:rPr>
                <w:rFonts w:eastAsia="Times New Roman"/>
                <w:i/>
                <w:iCs/>
                <w:color w:val="000000" w:themeColor="text1"/>
                <w:sz w:val="22"/>
                <w:lang w:eastAsia="it-CH"/>
              </w:rPr>
              <w:t>Risultati riportati</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sidRPr="004D5502">
              <w:rPr>
                <w:rFonts w:eastAsia="Times New Roman"/>
                <w:i/>
                <w:iCs/>
                <w:color w:val="000000" w:themeColor="text1"/>
                <w:sz w:val="20"/>
                <w:lang w:eastAsia="it-CH"/>
              </w:rPr>
              <w:t>9 652 670.37</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Pr>
                <w:rFonts w:eastAsia="Times New Roman"/>
                <w:i/>
                <w:iCs/>
                <w:color w:val="000000" w:themeColor="text1"/>
                <w:sz w:val="20"/>
                <w:lang w:eastAsia="it-CH"/>
              </w:rPr>
              <w:t>8 046 509.65</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i/>
                <w:color w:val="000000" w:themeColor="text1"/>
                <w:sz w:val="20"/>
                <w:lang w:eastAsia="it-CH"/>
              </w:rPr>
            </w:pPr>
            <w:r w:rsidRPr="007C346F">
              <w:rPr>
                <w:rFonts w:eastAsia="Times New Roman"/>
                <w:i/>
                <w:color w:val="000000" w:themeColor="text1"/>
                <w:sz w:val="20"/>
                <w:lang w:eastAsia="it-CH"/>
              </w:rPr>
              <w:t>1 606 160.72</w:t>
            </w:r>
          </w:p>
        </w:tc>
      </w:tr>
      <w:tr w:rsidR="00CA342A" w:rsidRPr="008D6942" w:rsidTr="00040D26">
        <w:trPr>
          <w:trHeight w:val="300"/>
        </w:trPr>
        <w:tc>
          <w:tcPr>
            <w:tcW w:w="3178" w:type="dxa"/>
            <w:tcBorders>
              <w:left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i/>
                <w:iCs/>
                <w:color w:val="000000" w:themeColor="text1"/>
                <w:sz w:val="22"/>
                <w:lang w:eastAsia="it-CH"/>
              </w:rPr>
            </w:pPr>
            <w:r w:rsidRPr="004D5502">
              <w:rPr>
                <w:rFonts w:eastAsia="Times New Roman"/>
                <w:i/>
                <w:iCs/>
                <w:color w:val="000000" w:themeColor="text1"/>
                <w:sz w:val="22"/>
                <w:lang w:eastAsia="it-CH"/>
              </w:rPr>
              <w:t>Risultato d'esercizio</w:t>
            </w:r>
          </w:p>
        </w:tc>
        <w:tc>
          <w:tcPr>
            <w:tcW w:w="2133"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sidRPr="004D5502">
              <w:rPr>
                <w:rFonts w:eastAsia="Times New Roman"/>
                <w:i/>
                <w:iCs/>
                <w:color w:val="000000" w:themeColor="text1"/>
                <w:sz w:val="20"/>
                <w:lang w:eastAsia="it-CH"/>
              </w:rPr>
              <w:t>2 473 967.72</w:t>
            </w:r>
          </w:p>
        </w:tc>
        <w:tc>
          <w:tcPr>
            <w:tcW w:w="2268" w:type="dxa"/>
            <w:tcBorders>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i/>
                <w:iCs/>
                <w:color w:val="000000" w:themeColor="text1"/>
                <w:sz w:val="20"/>
                <w:lang w:eastAsia="it-CH"/>
              </w:rPr>
            </w:pPr>
            <w:r w:rsidRPr="004D5502">
              <w:rPr>
                <w:rFonts w:eastAsia="Times New Roman"/>
                <w:i/>
                <w:iCs/>
                <w:color w:val="000000" w:themeColor="text1"/>
                <w:sz w:val="20"/>
                <w:lang w:eastAsia="it-CH"/>
              </w:rPr>
              <w:t>1 606 160.72</w:t>
            </w:r>
          </w:p>
        </w:tc>
        <w:tc>
          <w:tcPr>
            <w:tcW w:w="1975" w:type="dxa"/>
            <w:tcBorders>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i/>
                <w:color w:val="000000" w:themeColor="text1"/>
                <w:sz w:val="20"/>
                <w:lang w:eastAsia="it-CH"/>
              </w:rPr>
            </w:pPr>
            <w:r w:rsidRPr="007C346F">
              <w:rPr>
                <w:rFonts w:eastAsia="Times New Roman"/>
                <w:i/>
                <w:color w:val="000000" w:themeColor="text1"/>
                <w:sz w:val="20"/>
                <w:lang w:eastAsia="it-CH"/>
              </w:rPr>
              <w:t>867 807.00</w:t>
            </w:r>
          </w:p>
        </w:tc>
      </w:tr>
      <w:tr w:rsidR="00CA342A" w:rsidRPr="008D6942" w:rsidTr="00040D26">
        <w:trPr>
          <w:trHeight w:val="330"/>
        </w:trPr>
        <w:tc>
          <w:tcPr>
            <w:tcW w:w="3178" w:type="dxa"/>
            <w:tcBorders>
              <w:left w:val="single" w:sz="4" w:space="0" w:color="000000"/>
              <w:bottom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rPr>
                <w:rFonts w:eastAsia="Times New Roman"/>
                <w:b/>
                <w:bCs/>
                <w:color w:val="000000" w:themeColor="text1"/>
                <w:sz w:val="22"/>
                <w:lang w:eastAsia="it-CH"/>
              </w:rPr>
            </w:pPr>
            <w:r w:rsidRPr="004D5502">
              <w:rPr>
                <w:rFonts w:eastAsia="Times New Roman"/>
                <w:b/>
                <w:bCs/>
                <w:color w:val="000000" w:themeColor="text1"/>
                <w:sz w:val="22"/>
                <w:lang w:eastAsia="it-CH"/>
              </w:rPr>
              <w:t>Totale del passivo</w:t>
            </w:r>
          </w:p>
        </w:tc>
        <w:tc>
          <w:tcPr>
            <w:tcW w:w="2133" w:type="dxa"/>
            <w:tcBorders>
              <w:bottom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168 406 197.10</w:t>
            </w:r>
          </w:p>
        </w:tc>
        <w:tc>
          <w:tcPr>
            <w:tcW w:w="2268" w:type="dxa"/>
            <w:tcBorders>
              <w:bottom w:val="single" w:sz="4" w:space="0" w:color="000000"/>
              <w:right w:val="single" w:sz="8" w:space="0" w:color="000000"/>
            </w:tcBorders>
            <w:tcMar>
              <w:top w:w="0" w:type="dxa"/>
              <w:left w:w="70" w:type="dxa"/>
              <w:bottom w:w="0" w:type="dxa"/>
              <w:right w:w="70" w:type="dxa"/>
            </w:tcMar>
            <w:vAlign w:val="center"/>
          </w:tcPr>
          <w:p w:rsidR="00CA342A" w:rsidRPr="004D5502" w:rsidRDefault="00CA342A" w:rsidP="00040D26">
            <w:pPr>
              <w:pStyle w:val="Standarduser"/>
              <w:jc w:val="right"/>
              <w:rPr>
                <w:rFonts w:eastAsia="Times New Roman"/>
                <w:b/>
                <w:bCs/>
                <w:color w:val="000000" w:themeColor="text1"/>
                <w:sz w:val="22"/>
                <w:lang w:eastAsia="it-CH"/>
              </w:rPr>
            </w:pPr>
            <w:r w:rsidRPr="004D5502">
              <w:rPr>
                <w:rFonts w:eastAsia="Times New Roman"/>
                <w:b/>
                <w:bCs/>
                <w:color w:val="000000" w:themeColor="text1"/>
                <w:sz w:val="22"/>
                <w:lang w:eastAsia="it-CH"/>
              </w:rPr>
              <w:t>177 738 755.87</w:t>
            </w:r>
          </w:p>
        </w:tc>
        <w:tc>
          <w:tcPr>
            <w:tcW w:w="1975" w:type="dxa"/>
            <w:tcBorders>
              <w:bottom w:val="single" w:sz="4" w:space="0" w:color="000000"/>
              <w:right w:val="single" w:sz="4" w:space="0" w:color="000000"/>
            </w:tcBorders>
            <w:tcMar>
              <w:top w:w="0" w:type="dxa"/>
              <w:left w:w="70" w:type="dxa"/>
              <w:bottom w:w="0" w:type="dxa"/>
              <w:right w:w="70" w:type="dxa"/>
            </w:tcMar>
            <w:vAlign w:val="center"/>
          </w:tcPr>
          <w:p w:rsidR="00CA342A" w:rsidRPr="007C346F" w:rsidRDefault="00CA342A" w:rsidP="00040D26">
            <w:pPr>
              <w:pStyle w:val="Standarduser"/>
              <w:jc w:val="right"/>
              <w:rPr>
                <w:rFonts w:eastAsia="Times New Roman"/>
                <w:b/>
                <w:color w:val="000000" w:themeColor="text1"/>
                <w:sz w:val="22"/>
                <w:lang w:eastAsia="it-CH"/>
              </w:rPr>
            </w:pPr>
            <w:r w:rsidRPr="007C346F">
              <w:rPr>
                <w:rFonts w:eastAsia="Times New Roman"/>
                <w:b/>
                <w:color w:val="000000" w:themeColor="text1"/>
                <w:sz w:val="22"/>
                <w:lang w:eastAsia="it-CH"/>
              </w:rPr>
              <w:t>-9 332 558.77</w:t>
            </w:r>
          </w:p>
        </w:tc>
      </w:tr>
    </w:tbl>
    <w:p w:rsidR="00CA342A" w:rsidRPr="00FE2F76" w:rsidRDefault="00CA342A" w:rsidP="00CA342A">
      <w:pPr>
        <w:pStyle w:val="Standarduser"/>
      </w:pPr>
    </w:p>
    <w:p w:rsidR="00CA342A" w:rsidRPr="00E445D4" w:rsidRDefault="00CA342A" w:rsidP="00CA342A">
      <w:pPr>
        <w:pStyle w:val="Standarduser"/>
        <w:rPr>
          <w:color w:val="000000" w:themeColor="text1"/>
        </w:rPr>
      </w:pPr>
      <w:r>
        <w:rPr>
          <w:color w:val="000000" w:themeColor="text1"/>
        </w:rPr>
        <w:t xml:space="preserve">L’attivo circolante è aumentato di CHF 0.3 mio a seguito della normale fluttuazione della liquidità. L’attivo fisso è diminuito di CHF 9.6 mio a seguito di ammortamenti eseguiti per CHF. 10.7 mio, a fronte di investimenti effettuati per CHF o.4 mio e dell’incremento del prestito concesso a </w:t>
      </w:r>
      <w:proofErr w:type="spellStart"/>
      <w:r>
        <w:rPr>
          <w:color w:val="000000" w:themeColor="text1"/>
        </w:rPr>
        <w:t>Teris</w:t>
      </w:r>
      <w:proofErr w:type="spellEnd"/>
      <w:r>
        <w:rPr>
          <w:color w:val="000000" w:themeColor="text1"/>
        </w:rPr>
        <w:t xml:space="preserve"> di CHF 0.7 mio. La variazione del Capitale di terzi a breve termine deriva in particolare dal rimborso parziale di un debito per CHF 10.0 mio, mentre il Capitale di terzi a medio e lungo termine è diminuito di CHF 1.2 mio a seguito del parziale scioglimento degli accantonamenti per la postergazione ESR (Ente per lo smaltimento dei rifiuti) e CIR (Consorzio distruzione rifiuti) di CHF 0.4 mio e allo scioglimento integrale dell’accantonamento relativo al Piano di utilizzazione cantonale del Parco della Valle della Motta di CHF 0.8 mio con versamento a favore della Fondazione Galli, alla quale nel corso del 2018 è stata affidata la gestione finanziaria del parco come da decisione del Consiglio di Stato del 7.11.2018. </w:t>
      </w:r>
    </w:p>
    <w:p w:rsidR="00CA342A" w:rsidRDefault="00CA342A" w:rsidP="00CA342A">
      <w:pPr>
        <w:pStyle w:val="Standarduser"/>
      </w:pPr>
    </w:p>
    <w:p w:rsidR="00CA342A" w:rsidRPr="00FE2F76" w:rsidRDefault="00CA342A" w:rsidP="00CA342A">
      <w:pPr>
        <w:pStyle w:val="Standarduser"/>
      </w:pPr>
    </w:p>
    <w:p w:rsidR="00CA342A" w:rsidRPr="00CC23F3" w:rsidRDefault="00CA342A" w:rsidP="00673903">
      <w:pPr>
        <w:pStyle w:val="Titolo2"/>
      </w:pPr>
      <w:r w:rsidRPr="00CC23F3">
        <w:t>Conto economico al 31 dicembre 2017</w:t>
      </w:r>
    </w:p>
    <w:p w:rsidR="00CA342A" w:rsidRPr="00CC23F3" w:rsidRDefault="00CA342A" w:rsidP="00673903">
      <w:r w:rsidRPr="00CC23F3">
        <w:t>L’esercizio 2018 si è chiuso con un utile di CHF 2'473'967.63, così suddiviso</w:t>
      </w:r>
    </w:p>
    <w:p w:rsidR="00CA342A" w:rsidRPr="00CC23F3" w:rsidRDefault="00CA342A" w:rsidP="00CA342A">
      <w:pPr>
        <w:pStyle w:val="Standarduser"/>
        <w:rPr>
          <w:color w:val="000000" w:themeColor="text1"/>
        </w:rPr>
      </w:pPr>
    </w:p>
    <w:tbl>
      <w:tblPr>
        <w:tblW w:w="9454" w:type="dxa"/>
        <w:tblInd w:w="56" w:type="dxa"/>
        <w:tblLayout w:type="fixed"/>
        <w:tblCellMar>
          <w:left w:w="10" w:type="dxa"/>
          <w:right w:w="10" w:type="dxa"/>
        </w:tblCellMar>
        <w:tblLook w:val="0000" w:firstRow="0" w:lastRow="0" w:firstColumn="0" w:lastColumn="0" w:noHBand="0" w:noVBand="0"/>
      </w:tblPr>
      <w:tblGrid>
        <w:gridCol w:w="4754"/>
        <w:gridCol w:w="2220"/>
        <w:gridCol w:w="2480"/>
      </w:tblGrid>
      <w:tr w:rsidR="00CA342A" w:rsidRPr="00CC23F3" w:rsidTr="00040D26">
        <w:trPr>
          <w:trHeight w:val="300"/>
        </w:trPr>
        <w:tc>
          <w:tcPr>
            <w:tcW w:w="4754"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vAlign w:val="center"/>
          </w:tcPr>
          <w:p w:rsidR="00CA342A" w:rsidRPr="00CC23F3" w:rsidRDefault="00CA342A" w:rsidP="00040D26">
            <w:pPr>
              <w:pStyle w:val="Standarduser"/>
              <w:rPr>
                <w:rFonts w:eastAsia="Times New Roman"/>
                <w:b/>
                <w:bCs/>
                <w:color w:val="000000" w:themeColor="text1"/>
                <w:sz w:val="20"/>
                <w:lang w:eastAsia="it-CH"/>
              </w:rPr>
            </w:pPr>
            <w:r w:rsidRPr="00CC23F3">
              <w:rPr>
                <w:rFonts w:eastAsia="Times New Roman"/>
                <w:b/>
                <w:bCs/>
                <w:color w:val="000000" w:themeColor="text1"/>
                <w:sz w:val="20"/>
                <w:lang w:eastAsia="it-CH"/>
              </w:rPr>
              <w:t>(in CHF)</w:t>
            </w:r>
          </w:p>
        </w:tc>
        <w:tc>
          <w:tcPr>
            <w:tcW w:w="2220" w:type="dxa"/>
            <w:tcBorders>
              <w:top w:val="single" w:sz="4" w:space="0" w:color="000000"/>
              <w:bottom w:val="single" w:sz="4" w:space="0" w:color="000000"/>
              <w:right w:val="single" w:sz="4" w:space="0" w:color="000000"/>
            </w:tcBorders>
            <w:shd w:val="clear" w:color="auto" w:fill="B3B3B3"/>
            <w:tcMar>
              <w:top w:w="0" w:type="dxa"/>
              <w:left w:w="70" w:type="dxa"/>
              <w:bottom w:w="0" w:type="dxa"/>
              <w:right w:w="70" w:type="dxa"/>
            </w:tcMar>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31.12.2018</w:t>
            </w:r>
          </w:p>
        </w:tc>
        <w:tc>
          <w:tcPr>
            <w:tcW w:w="2480" w:type="dxa"/>
            <w:tcBorders>
              <w:top w:val="single" w:sz="4" w:space="0" w:color="000000"/>
              <w:bottom w:val="single" w:sz="4" w:space="0" w:color="000000"/>
            </w:tcBorders>
            <w:shd w:val="clear" w:color="auto" w:fill="B3B3B3"/>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31.12.2017</w:t>
            </w:r>
          </w:p>
        </w:tc>
      </w:tr>
      <w:tr w:rsidR="00CA342A" w:rsidRPr="00CC23F3" w:rsidTr="00040D26">
        <w:trPr>
          <w:trHeight w:val="300"/>
        </w:trPr>
        <w:tc>
          <w:tcPr>
            <w:tcW w:w="4754" w:type="dxa"/>
            <w:tcBorders>
              <w:top w:val="single" w:sz="4" w:space="0" w:color="000000"/>
              <w:left w:val="single" w:sz="4"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Ricavi netti</w:t>
            </w:r>
          </w:p>
        </w:tc>
        <w:tc>
          <w:tcPr>
            <w:tcW w:w="2220" w:type="dxa"/>
            <w:tcBorders>
              <w:top w:val="single" w:sz="4"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38 184 966.65</w:t>
            </w:r>
          </w:p>
        </w:tc>
        <w:tc>
          <w:tcPr>
            <w:tcW w:w="2480" w:type="dxa"/>
            <w:tcBorders>
              <w:top w:val="single" w:sz="4" w:space="0" w:color="000000"/>
            </w:tcBorders>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37 964 363.14</w:t>
            </w:r>
          </w:p>
        </w:tc>
      </w:tr>
      <w:tr w:rsidR="00CA342A" w:rsidRPr="00CC23F3" w:rsidTr="00040D26">
        <w:trPr>
          <w:trHeight w:val="300"/>
        </w:trPr>
        <w:tc>
          <w:tcPr>
            <w:tcW w:w="4754" w:type="dxa"/>
            <w:tcBorders>
              <w:left w:val="single" w:sz="4"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Spese per il personale</w:t>
            </w:r>
          </w:p>
        </w:tc>
        <w:tc>
          <w:tcPr>
            <w:tcW w:w="2220" w:type="dxa"/>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-7 822 375.51</w:t>
            </w:r>
          </w:p>
        </w:tc>
        <w:tc>
          <w:tcPr>
            <w:tcW w:w="2480" w:type="dxa"/>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-7 715 637.08</w:t>
            </w:r>
          </w:p>
        </w:tc>
      </w:tr>
      <w:tr w:rsidR="00CA342A" w:rsidRPr="00CC23F3" w:rsidTr="00040D26">
        <w:trPr>
          <w:trHeight w:val="345"/>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b/>
                <w:color w:val="000000" w:themeColor="text1"/>
                <w:sz w:val="20"/>
                <w:lang w:eastAsia="it-CH"/>
              </w:rPr>
            </w:pPr>
            <w:r w:rsidRPr="00CC23F3">
              <w:rPr>
                <w:rFonts w:eastAsia="Times New Roman"/>
                <w:b/>
                <w:color w:val="000000" w:themeColor="text1"/>
                <w:sz w:val="20"/>
                <w:lang w:eastAsia="it-CH"/>
              </w:rPr>
              <w:t>Risultato intermedio</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color w:val="000000" w:themeColor="text1"/>
                <w:sz w:val="20"/>
                <w:lang w:eastAsia="it-CH"/>
              </w:rPr>
            </w:pPr>
            <w:r w:rsidRPr="00CC23F3">
              <w:rPr>
                <w:rFonts w:eastAsia="Times New Roman"/>
                <w:b/>
                <w:color w:val="000000" w:themeColor="text1"/>
                <w:sz w:val="20"/>
                <w:lang w:eastAsia="it-CH"/>
              </w:rPr>
              <w:t>30 362 591.14</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color w:val="000000" w:themeColor="text1"/>
                <w:sz w:val="20"/>
                <w:lang w:eastAsia="it-CH"/>
              </w:rPr>
            </w:pPr>
            <w:r w:rsidRPr="00CC23F3">
              <w:rPr>
                <w:rFonts w:eastAsia="Times New Roman"/>
                <w:b/>
                <w:color w:val="000000" w:themeColor="text1"/>
                <w:sz w:val="20"/>
                <w:lang w:eastAsia="it-CH"/>
              </w:rPr>
              <w:t>30 248 726.06</w:t>
            </w:r>
          </w:p>
        </w:tc>
      </w:tr>
      <w:tr w:rsidR="00CA342A" w:rsidRPr="00CC23F3" w:rsidTr="00040D26">
        <w:trPr>
          <w:trHeight w:val="300"/>
        </w:trPr>
        <w:tc>
          <w:tcPr>
            <w:tcW w:w="4754" w:type="dxa"/>
            <w:tcBorders>
              <w:top w:val="single" w:sz="12" w:space="0" w:color="000000"/>
              <w:left w:val="single" w:sz="4"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Spese per beni e servizi</w:t>
            </w:r>
          </w:p>
        </w:tc>
        <w:tc>
          <w:tcPr>
            <w:tcW w:w="2220" w:type="dxa"/>
            <w:tcBorders>
              <w:top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-12 997 545.07</w:t>
            </w:r>
          </w:p>
        </w:tc>
        <w:tc>
          <w:tcPr>
            <w:tcW w:w="2480" w:type="dxa"/>
            <w:tcBorders>
              <w:top w:val="single" w:sz="12" w:space="0" w:color="000000"/>
            </w:tcBorders>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-14 872 091.82</w:t>
            </w:r>
          </w:p>
        </w:tc>
      </w:tr>
      <w:tr w:rsidR="00CA342A" w:rsidRPr="00CC23F3" w:rsidTr="00040D26">
        <w:trPr>
          <w:trHeight w:val="300"/>
        </w:trPr>
        <w:tc>
          <w:tcPr>
            <w:tcW w:w="4754" w:type="dxa"/>
            <w:tcBorders>
              <w:left w:val="single" w:sz="4"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Scioglimento accantonamenti</w:t>
            </w:r>
          </w:p>
        </w:tc>
        <w:tc>
          <w:tcPr>
            <w:tcW w:w="2220" w:type="dxa"/>
            <w:tcBorders>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416 733.24</w:t>
            </w:r>
          </w:p>
        </w:tc>
        <w:tc>
          <w:tcPr>
            <w:tcW w:w="2480" w:type="dxa"/>
            <w:tcBorders>
              <w:bottom w:val="single" w:sz="12" w:space="0" w:color="000000"/>
            </w:tcBorders>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974 254.09</w:t>
            </w:r>
          </w:p>
        </w:tc>
      </w:tr>
      <w:tr w:rsidR="00CA342A" w:rsidRPr="00CC23F3" w:rsidTr="00040D26">
        <w:trPr>
          <w:trHeight w:val="357"/>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b/>
                <w:bCs/>
                <w:color w:val="000000" w:themeColor="text1"/>
                <w:sz w:val="20"/>
                <w:lang w:eastAsia="it-CH"/>
              </w:rPr>
            </w:pPr>
            <w:r w:rsidRPr="00CC23F3">
              <w:rPr>
                <w:rFonts w:eastAsia="Times New Roman"/>
                <w:b/>
                <w:bCs/>
                <w:color w:val="000000" w:themeColor="text1"/>
                <w:sz w:val="20"/>
                <w:lang w:eastAsia="it-CH"/>
              </w:rPr>
              <w:t>Risultato EBITDA</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17 781 779.31</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16 350 888.33</w:t>
            </w:r>
          </w:p>
        </w:tc>
      </w:tr>
      <w:tr w:rsidR="00CA342A" w:rsidRPr="00CC23F3" w:rsidTr="00040D26">
        <w:trPr>
          <w:trHeight w:val="300"/>
        </w:trPr>
        <w:tc>
          <w:tcPr>
            <w:tcW w:w="4754" w:type="dxa"/>
            <w:tcBorders>
              <w:top w:val="single" w:sz="12" w:space="0" w:color="000000"/>
              <w:left w:val="single" w:sz="4"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Ammortamenti ordinari</w:t>
            </w:r>
          </w:p>
        </w:tc>
        <w:tc>
          <w:tcPr>
            <w:tcW w:w="2220" w:type="dxa"/>
            <w:tcBorders>
              <w:top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-8 395 244.85</w:t>
            </w:r>
          </w:p>
        </w:tc>
        <w:tc>
          <w:tcPr>
            <w:tcW w:w="2480" w:type="dxa"/>
            <w:tcBorders>
              <w:top w:val="single" w:sz="12" w:space="0" w:color="000000"/>
            </w:tcBorders>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-8 254 435.41</w:t>
            </w:r>
          </w:p>
        </w:tc>
      </w:tr>
      <w:tr w:rsidR="00CA342A" w:rsidRPr="00CC23F3" w:rsidTr="00040D26">
        <w:trPr>
          <w:trHeight w:val="300"/>
        </w:trPr>
        <w:tc>
          <w:tcPr>
            <w:tcW w:w="4754" w:type="dxa"/>
            <w:tcBorders>
              <w:left w:val="single" w:sz="4"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Ammortamenti straordinari</w:t>
            </w:r>
          </w:p>
        </w:tc>
        <w:tc>
          <w:tcPr>
            <w:tcW w:w="2220" w:type="dxa"/>
            <w:tcBorders>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 xml:space="preserve">-2 337 819.12 </w:t>
            </w:r>
          </w:p>
        </w:tc>
        <w:tc>
          <w:tcPr>
            <w:tcW w:w="2480" w:type="dxa"/>
            <w:tcBorders>
              <w:bottom w:val="single" w:sz="12" w:space="0" w:color="000000"/>
            </w:tcBorders>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-1 336 312.85</w:t>
            </w:r>
          </w:p>
        </w:tc>
      </w:tr>
      <w:tr w:rsidR="00CA342A" w:rsidRPr="00CC23F3" w:rsidTr="00040D26">
        <w:trPr>
          <w:trHeight w:val="423"/>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b/>
                <w:bCs/>
                <w:color w:val="000000" w:themeColor="text1"/>
                <w:sz w:val="20"/>
                <w:lang w:eastAsia="it-CH"/>
              </w:rPr>
            </w:pPr>
            <w:r w:rsidRPr="00CC23F3">
              <w:rPr>
                <w:rFonts w:eastAsia="Times New Roman"/>
                <w:b/>
                <w:bCs/>
                <w:color w:val="000000" w:themeColor="text1"/>
                <w:sz w:val="20"/>
                <w:lang w:eastAsia="it-CH"/>
              </w:rPr>
              <w:t>Risultato EBIT</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color w:val="000000" w:themeColor="text1"/>
                <w:sz w:val="20"/>
                <w:lang w:eastAsia="it-CH"/>
              </w:rPr>
            </w:pPr>
            <w:r w:rsidRPr="00CC23F3">
              <w:rPr>
                <w:rFonts w:eastAsia="Times New Roman"/>
                <w:b/>
                <w:color w:val="000000" w:themeColor="text1"/>
                <w:sz w:val="20"/>
                <w:lang w:eastAsia="it-CH"/>
              </w:rPr>
              <w:t>7 048 715.34</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color w:val="000000" w:themeColor="text1"/>
                <w:sz w:val="20"/>
                <w:lang w:eastAsia="it-CH"/>
              </w:rPr>
            </w:pPr>
            <w:r w:rsidRPr="00CC23F3">
              <w:rPr>
                <w:rFonts w:eastAsia="Times New Roman"/>
                <w:b/>
                <w:color w:val="000000" w:themeColor="text1"/>
                <w:sz w:val="20"/>
                <w:lang w:eastAsia="it-CH"/>
              </w:rPr>
              <w:t>6 760 140.07</w:t>
            </w:r>
          </w:p>
        </w:tc>
      </w:tr>
      <w:tr w:rsidR="00CA342A" w:rsidRPr="00CC23F3" w:rsidTr="00040D26">
        <w:trPr>
          <w:trHeight w:val="300"/>
        </w:trPr>
        <w:tc>
          <w:tcPr>
            <w:tcW w:w="4754" w:type="dxa"/>
            <w:tcBorders>
              <w:top w:val="single" w:sz="12" w:space="0" w:color="000000"/>
              <w:left w:val="single" w:sz="4"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t>Risultati finanziari</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-2 808 416.79</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-3 202 213.85</w:t>
            </w:r>
          </w:p>
        </w:tc>
      </w:tr>
      <w:tr w:rsidR="00CA342A" w:rsidRPr="00CC23F3" w:rsidTr="00040D26">
        <w:trPr>
          <w:trHeight w:val="357"/>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left"/>
              <w:rPr>
                <w:rFonts w:eastAsia="Times New Roman"/>
                <w:b/>
                <w:bCs/>
                <w:color w:val="000000" w:themeColor="text1"/>
                <w:sz w:val="20"/>
                <w:lang w:eastAsia="it-CH"/>
              </w:rPr>
            </w:pPr>
            <w:r w:rsidRPr="00CC23F3">
              <w:rPr>
                <w:rFonts w:eastAsia="Times New Roman"/>
                <w:b/>
                <w:bCs/>
                <w:color w:val="000000" w:themeColor="text1"/>
                <w:sz w:val="20"/>
                <w:lang w:eastAsia="it-CH"/>
              </w:rPr>
              <w:t>Risultato operativo prima della deduzione contr. cantonale</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iCs/>
                <w:color w:val="000000" w:themeColor="text1"/>
                <w:sz w:val="20"/>
                <w:lang w:eastAsia="it-CH"/>
              </w:rPr>
            </w:pPr>
            <w:r w:rsidRPr="00CC23F3">
              <w:rPr>
                <w:rFonts w:eastAsia="Times New Roman"/>
                <w:b/>
                <w:iCs/>
                <w:color w:val="000000" w:themeColor="text1"/>
                <w:sz w:val="20"/>
                <w:lang w:eastAsia="it-CH"/>
              </w:rPr>
              <w:t>4 240 298.55</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iCs/>
                <w:color w:val="000000" w:themeColor="text1"/>
                <w:sz w:val="20"/>
                <w:lang w:eastAsia="it-CH"/>
              </w:rPr>
            </w:pPr>
            <w:r w:rsidRPr="00CC23F3">
              <w:rPr>
                <w:rFonts w:eastAsia="Times New Roman"/>
                <w:b/>
                <w:iCs/>
                <w:color w:val="000000" w:themeColor="text1"/>
                <w:sz w:val="20"/>
                <w:lang w:eastAsia="it-CH"/>
              </w:rPr>
              <w:t>3 557 926.22</w:t>
            </w:r>
          </w:p>
        </w:tc>
      </w:tr>
      <w:tr w:rsidR="00CA342A" w:rsidRPr="00CC23F3" w:rsidTr="00040D26">
        <w:trPr>
          <w:trHeight w:val="300"/>
        </w:trPr>
        <w:tc>
          <w:tcPr>
            <w:tcW w:w="4754" w:type="dxa"/>
            <w:tcBorders>
              <w:top w:val="single" w:sz="12" w:space="0" w:color="000000"/>
              <w:left w:val="single" w:sz="4"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color w:val="000000" w:themeColor="text1"/>
                <w:sz w:val="20"/>
                <w:lang w:eastAsia="it-CH"/>
              </w:rPr>
            </w:pPr>
            <w:r w:rsidRPr="00CC23F3">
              <w:rPr>
                <w:rFonts w:eastAsia="Times New Roman"/>
                <w:color w:val="000000" w:themeColor="text1"/>
                <w:sz w:val="20"/>
                <w:lang w:eastAsia="it-CH"/>
              </w:rPr>
              <w:lastRenderedPageBreak/>
              <w:t>Contributo cantonale per la pianificazione dello smaltimento dei rifiuti</w:t>
            </w:r>
          </w:p>
        </w:tc>
        <w:tc>
          <w:tcPr>
            <w:tcW w:w="2220" w:type="dxa"/>
            <w:tcBorders>
              <w:top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-2 000 000.00</w:t>
            </w:r>
          </w:p>
        </w:tc>
        <w:tc>
          <w:tcPr>
            <w:tcW w:w="2480" w:type="dxa"/>
            <w:tcBorders>
              <w:top w:val="single" w:sz="12" w:space="0" w:color="000000"/>
            </w:tcBorders>
            <w:vAlign w:val="center"/>
          </w:tcPr>
          <w:p w:rsidR="00CA342A" w:rsidRPr="00CC23F3" w:rsidRDefault="00CA342A" w:rsidP="00040D26">
            <w:pPr>
              <w:pStyle w:val="Standarduser"/>
              <w:jc w:val="right"/>
              <w:rPr>
                <w:rFonts w:eastAsia="Times New Roman"/>
                <w:iCs/>
                <w:color w:val="000000" w:themeColor="text1"/>
                <w:sz w:val="20"/>
                <w:lang w:eastAsia="it-CH"/>
              </w:rPr>
            </w:pPr>
            <w:r w:rsidRPr="00CC23F3">
              <w:rPr>
                <w:rFonts w:eastAsia="Times New Roman"/>
                <w:iCs/>
                <w:color w:val="000000" w:themeColor="text1"/>
                <w:sz w:val="20"/>
                <w:lang w:eastAsia="it-CH"/>
              </w:rPr>
              <w:t>-2 000 000.00</w:t>
            </w:r>
          </w:p>
        </w:tc>
      </w:tr>
      <w:tr w:rsidR="00CA342A" w:rsidRPr="00CC23F3" w:rsidTr="00040D26">
        <w:trPr>
          <w:trHeight w:val="355"/>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b/>
                <w:color w:val="000000" w:themeColor="text1"/>
                <w:sz w:val="20"/>
                <w:lang w:eastAsia="it-CH"/>
              </w:rPr>
            </w:pPr>
            <w:r w:rsidRPr="00CC23F3">
              <w:rPr>
                <w:rFonts w:eastAsia="Times New Roman"/>
                <w:b/>
                <w:color w:val="000000" w:themeColor="text1"/>
                <w:sz w:val="20"/>
                <w:lang w:eastAsia="it-CH"/>
              </w:rPr>
              <w:t>Risultato operativo dopo la deduzione contr. cantonale</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iCs/>
                <w:color w:val="000000" w:themeColor="text1"/>
                <w:sz w:val="20"/>
                <w:lang w:eastAsia="it-CH"/>
              </w:rPr>
            </w:pPr>
            <w:r w:rsidRPr="00CC23F3">
              <w:rPr>
                <w:rFonts w:eastAsia="Times New Roman"/>
                <w:b/>
                <w:iCs/>
                <w:color w:val="000000" w:themeColor="text1"/>
                <w:sz w:val="20"/>
                <w:lang w:eastAsia="it-CH"/>
              </w:rPr>
              <w:t>2 240 298.55</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iCs/>
                <w:color w:val="000000" w:themeColor="text1"/>
                <w:sz w:val="20"/>
                <w:lang w:eastAsia="it-CH"/>
              </w:rPr>
            </w:pPr>
            <w:r w:rsidRPr="00CC23F3">
              <w:rPr>
                <w:rFonts w:eastAsia="Times New Roman"/>
                <w:b/>
                <w:iCs/>
                <w:color w:val="000000" w:themeColor="text1"/>
                <w:sz w:val="20"/>
                <w:lang w:eastAsia="it-CH"/>
              </w:rPr>
              <w:t>1 557 926.22</w:t>
            </w:r>
          </w:p>
        </w:tc>
      </w:tr>
      <w:tr w:rsidR="00CA342A" w:rsidRPr="00CC23F3" w:rsidTr="00040D26">
        <w:trPr>
          <w:trHeight w:val="300"/>
        </w:trPr>
        <w:tc>
          <w:tcPr>
            <w:tcW w:w="4754" w:type="dxa"/>
            <w:tcBorders>
              <w:top w:val="single" w:sz="12" w:space="0" w:color="000000"/>
              <w:left w:val="single" w:sz="4" w:space="0" w:color="000000"/>
            </w:tcBorders>
            <w:tcMar>
              <w:top w:w="0" w:type="dxa"/>
              <w:left w:w="70" w:type="dxa"/>
              <w:bottom w:w="0" w:type="dxa"/>
              <w:right w:w="70" w:type="dxa"/>
            </w:tcMar>
            <w:vAlign w:val="center"/>
          </w:tcPr>
          <w:p w:rsidR="00CA342A" w:rsidRPr="00CC23F3" w:rsidRDefault="00CA342A" w:rsidP="00040D26">
            <w:pPr>
              <w:pStyle w:val="Standarduser"/>
              <w:ind w:right="-351"/>
              <w:rPr>
                <w:rFonts w:eastAsia="Times New Roman"/>
                <w:color w:val="000000" w:themeColor="text1"/>
                <w:sz w:val="20"/>
                <w:lang w:eastAsia="it-CH"/>
              </w:rPr>
            </w:pPr>
            <w:r w:rsidRPr="00CC23F3">
              <w:rPr>
                <w:rFonts w:eastAsia="Times New Roman"/>
                <w:color w:val="000000" w:themeColor="text1"/>
                <w:sz w:val="20"/>
                <w:lang w:eastAsia="it-CH"/>
              </w:rPr>
              <w:t>Risultato estraneo e straordinario</w:t>
            </w:r>
          </w:p>
        </w:tc>
        <w:tc>
          <w:tcPr>
            <w:tcW w:w="2220" w:type="dxa"/>
            <w:tcBorders>
              <w:top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233 669.17</w:t>
            </w:r>
          </w:p>
        </w:tc>
        <w:tc>
          <w:tcPr>
            <w:tcW w:w="2480" w:type="dxa"/>
            <w:tcBorders>
              <w:top w:val="single" w:sz="12" w:space="0" w:color="000000"/>
            </w:tcBorders>
            <w:vAlign w:val="center"/>
          </w:tcPr>
          <w:p w:rsidR="00CA342A" w:rsidRPr="00CC23F3" w:rsidRDefault="00CA342A" w:rsidP="00040D26">
            <w:pPr>
              <w:pStyle w:val="Standarduser"/>
              <w:jc w:val="right"/>
              <w:rPr>
                <w:rFonts w:eastAsia="Times New Roman"/>
                <w:color w:val="000000" w:themeColor="text1"/>
                <w:sz w:val="20"/>
                <w:lang w:eastAsia="it-CH"/>
              </w:rPr>
            </w:pPr>
            <w:r w:rsidRPr="00CC23F3">
              <w:rPr>
                <w:rFonts w:eastAsia="Times New Roman"/>
                <w:color w:val="000000" w:themeColor="text1"/>
                <w:sz w:val="20"/>
                <w:lang w:eastAsia="it-CH"/>
              </w:rPr>
              <w:t>48 234.50</w:t>
            </w:r>
          </w:p>
        </w:tc>
      </w:tr>
      <w:tr w:rsidR="00CA342A" w:rsidRPr="00CC23F3" w:rsidTr="00040D26">
        <w:trPr>
          <w:trHeight w:val="376"/>
        </w:trPr>
        <w:tc>
          <w:tcPr>
            <w:tcW w:w="4754" w:type="dxa"/>
            <w:tcBorders>
              <w:top w:val="single" w:sz="12" w:space="0" w:color="000000"/>
              <w:left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rPr>
                <w:rFonts w:eastAsia="Times New Roman"/>
                <w:b/>
                <w:bCs/>
                <w:color w:val="000000" w:themeColor="text1"/>
                <w:sz w:val="20"/>
                <w:lang w:eastAsia="it-CH"/>
              </w:rPr>
            </w:pPr>
            <w:r w:rsidRPr="00CC23F3">
              <w:rPr>
                <w:rFonts w:eastAsia="Times New Roman"/>
                <w:b/>
                <w:bCs/>
                <w:color w:val="000000" w:themeColor="text1"/>
                <w:sz w:val="20"/>
                <w:lang w:eastAsia="it-CH"/>
              </w:rPr>
              <w:t>Risultato d`esercizio (utile)</w:t>
            </w:r>
          </w:p>
        </w:tc>
        <w:tc>
          <w:tcPr>
            <w:tcW w:w="2220" w:type="dxa"/>
            <w:tcBorders>
              <w:top w:val="single" w:sz="12" w:space="0" w:color="000000"/>
              <w:bottom w:val="single" w:sz="12" w:space="0" w:color="000000"/>
            </w:tcBorders>
            <w:tcMar>
              <w:top w:w="0" w:type="dxa"/>
              <w:left w:w="70" w:type="dxa"/>
              <w:bottom w:w="0" w:type="dxa"/>
              <w:right w:w="70" w:type="dxa"/>
            </w:tcMar>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2 473 967.72</w:t>
            </w:r>
          </w:p>
        </w:tc>
        <w:tc>
          <w:tcPr>
            <w:tcW w:w="2480" w:type="dxa"/>
            <w:tcBorders>
              <w:top w:val="single" w:sz="12" w:space="0" w:color="000000"/>
              <w:bottom w:val="single" w:sz="12" w:space="0" w:color="000000"/>
            </w:tcBorders>
            <w:vAlign w:val="center"/>
          </w:tcPr>
          <w:p w:rsidR="00CA342A" w:rsidRPr="00CC23F3" w:rsidRDefault="00CA342A" w:rsidP="00040D26">
            <w:pPr>
              <w:pStyle w:val="Standarduser"/>
              <w:jc w:val="right"/>
              <w:rPr>
                <w:rFonts w:eastAsia="Times New Roman"/>
                <w:b/>
                <w:bCs/>
                <w:color w:val="000000" w:themeColor="text1"/>
                <w:sz w:val="20"/>
                <w:lang w:eastAsia="it-CH"/>
              </w:rPr>
            </w:pPr>
            <w:r w:rsidRPr="00CC23F3">
              <w:rPr>
                <w:rFonts w:eastAsia="Times New Roman"/>
                <w:b/>
                <w:bCs/>
                <w:color w:val="000000" w:themeColor="text1"/>
                <w:sz w:val="20"/>
                <w:lang w:eastAsia="it-CH"/>
              </w:rPr>
              <w:t>1 606 160.72</w:t>
            </w:r>
          </w:p>
        </w:tc>
      </w:tr>
    </w:tbl>
    <w:p w:rsidR="00CA342A" w:rsidRPr="00FE2F76" w:rsidRDefault="00CA342A" w:rsidP="00CA342A">
      <w:pPr>
        <w:pStyle w:val="Standarduser"/>
      </w:pPr>
    </w:p>
    <w:p w:rsidR="00CA342A" w:rsidRPr="006C1E30" w:rsidRDefault="00CA342A" w:rsidP="00CA342A">
      <w:pPr>
        <w:pStyle w:val="Standarduser"/>
        <w:rPr>
          <w:color w:val="000000" w:themeColor="text1"/>
        </w:rPr>
      </w:pPr>
      <w:r w:rsidRPr="006C1E30">
        <w:rPr>
          <w:color w:val="000000" w:themeColor="text1"/>
        </w:rPr>
        <w:t xml:space="preserve">Nel rapporto del CCF possiamo leggere che l’esercizio 2018 ha beneficiato di una diminuzione delle spese per beni e servizi (CHF -1.9 mio), della diminuzione dei costi finanziari netti (CHF +0.4 mio) e di un leggero incremento dei ricavi (CHF +0.2 mio) che, in parte compensati da minori scioglimenti di accantonamenti (CHF -0.6 mio), maggiori spese per il personale (CHF +0.1 mio) e maggiori ammortamenti (CHF 1.1 mio), hanno portato a un risultato operativo pari a CHF 4.2 mio (CHF +0.7 mio). A partire dal 2016 </w:t>
      </w:r>
      <w:proofErr w:type="spellStart"/>
      <w:r w:rsidRPr="006C1E30">
        <w:rPr>
          <w:color w:val="000000" w:themeColor="text1"/>
        </w:rPr>
        <w:t>lACR</w:t>
      </w:r>
      <w:proofErr w:type="spellEnd"/>
      <w:r w:rsidRPr="006C1E30">
        <w:rPr>
          <w:color w:val="000000" w:themeColor="text1"/>
        </w:rPr>
        <w:t xml:space="preserve"> versa un contributo annuale di CHF 2.0 mio al Cantone per la </w:t>
      </w:r>
      <w:r>
        <w:rPr>
          <w:color w:val="000000" w:themeColor="text1"/>
        </w:rPr>
        <w:t>pa</w:t>
      </w:r>
      <w:r w:rsidRPr="006C1E30">
        <w:rPr>
          <w:color w:val="000000" w:themeColor="text1"/>
        </w:rPr>
        <w:t>rtecipazione alla gestione territoriale dello Stato che ha portato al risultato d’esercizio di CHF 2.5 mio (CHF 0.9 mio rispetto all’esercizio 2017)</w:t>
      </w:r>
      <w:r>
        <w:rPr>
          <w:color w:val="000000" w:themeColor="text1"/>
        </w:rPr>
        <w:t>.</w:t>
      </w:r>
    </w:p>
    <w:p w:rsidR="00673903" w:rsidRDefault="00673903" w:rsidP="00CA342A">
      <w:pPr>
        <w:pStyle w:val="Standarduser"/>
      </w:pPr>
    </w:p>
    <w:p w:rsidR="00CA342A" w:rsidRDefault="00CA342A" w:rsidP="00CA342A">
      <w:pPr>
        <w:pStyle w:val="Standarduser"/>
      </w:pPr>
    </w:p>
    <w:p w:rsidR="00CA342A" w:rsidRPr="00B32C0C" w:rsidRDefault="00CA342A" w:rsidP="00673903">
      <w:pPr>
        <w:pStyle w:val="Titolo1"/>
      </w:pPr>
      <w:bookmarkStart w:id="3" w:name="_Toc410577175"/>
      <w:r w:rsidRPr="00B32C0C">
        <w:t>IL RAPPORTO ANNUALE DELL'AZIENDA CANTONALE DEI RIFIUTI</w:t>
      </w:r>
      <w:bookmarkEnd w:id="3"/>
    </w:p>
    <w:p w:rsidR="00CA342A" w:rsidRPr="00B32C0C" w:rsidRDefault="00CA342A" w:rsidP="00CA342A">
      <w:pPr>
        <w:pStyle w:val="Standarduser"/>
        <w:rPr>
          <w:color w:val="000000" w:themeColor="text1"/>
          <w:szCs w:val="24"/>
          <w:lang w:val="it-IT"/>
        </w:rPr>
      </w:pPr>
      <w:r w:rsidRPr="00B32C0C">
        <w:rPr>
          <w:color w:val="000000" w:themeColor="text1"/>
          <w:szCs w:val="24"/>
          <w:lang w:val="it-IT"/>
        </w:rPr>
        <w:t xml:space="preserve">La relazione generale afferma che l’esercizio 2018 è da considerare soddisfacente sia dal punto di vista operativo che da quello finanziario. Nel corso del 2018 sono state consegnate all’ICTR 162'968 tonnellate di rifiuti e 17'385 tonnellate di fanghi di depurazione disidratati. L’energia elettrica immessa nella rete dall’ICTR è paragonabile al fabbisogno annuale di </w:t>
      </w:r>
      <w:proofErr w:type="spellStart"/>
      <w:r w:rsidRPr="00B32C0C">
        <w:rPr>
          <w:color w:val="000000" w:themeColor="text1"/>
          <w:szCs w:val="24"/>
          <w:lang w:val="it-IT"/>
        </w:rPr>
        <w:t>ca</w:t>
      </w:r>
      <w:proofErr w:type="spellEnd"/>
      <w:r w:rsidRPr="00B32C0C">
        <w:rPr>
          <w:color w:val="000000" w:themeColor="text1"/>
          <w:szCs w:val="24"/>
          <w:lang w:val="it-IT"/>
        </w:rPr>
        <w:t xml:space="preserve">. 23'000 famiglie (considerando un consumo medio di </w:t>
      </w:r>
      <w:proofErr w:type="spellStart"/>
      <w:r w:rsidRPr="00B32C0C">
        <w:rPr>
          <w:color w:val="000000" w:themeColor="text1"/>
          <w:szCs w:val="24"/>
          <w:lang w:val="it-IT"/>
        </w:rPr>
        <w:t>ca</w:t>
      </w:r>
      <w:proofErr w:type="spellEnd"/>
      <w:r w:rsidRPr="00B32C0C">
        <w:rPr>
          <w:color w:val="000000" w:themeColor="text1"/>
          <w:szCs w:val="24"/>
          <w:lang w:val="it-IT"/>
        </w:rPr>
        <w:t xml:space="preserve">. 4'500 kWh/anno). La rete di teleriscaldamento, il cui fulcro energetico è L’ICTR, ha </w:t>
      </w:r>
      <w:r>
        <w:rPr>
          <w:color w:val="000000" w:themeColor="text1"/>
          <w:szCs w:val="24"/>
          <w:lang w:val="it-IT"/>
        </w:rPr>
        <w:t xml:space="preserve">ormai </w:t>
      </w:r>
      <w:r w:rsidRPr="00B32C0C">
        <w:rPr>
          <w:color w:val="000000" w:themeColor="text1"/>
          <w:szCs w:val="24"/>
          <w:lang w:val="it-IT"/>
        </w:rPr>
        <w:t xml:space="preserve">praticamente raggiunto lo sviluppo previsto. Nel 2018 l’ICTR ha fornito a </w:t>
      </w:r>
      <w:proofErr w:type="spellStart"/>
      <w:r w:rsidRPr="00B32C0C">
        <w:rPr>
          <w:color w:val="000000" w:themeColor="text1"/>
          <w:szCs w:val="24"/>
          <w:lang w:val="it-IT"/>
        </w:rPr>
        <w:t>Teris</w:t>
      </w:r>
      <w:proofErr w:type="spellEnd"/>
      <w:r w:rsidRPr="00B32C0C">
        <w:rPr>
          <w:color w:val="000000" w:themeColor="text1"/>
          <w:szCs w:val="24"/>
          <w:lang w:val="it-IT"/>
        </w:rPr>
        <w:t xml:space="preserve"> SA energia termica corrispondente a </w:t>
      </w:r>
      <w:proofErr w:type="spellStart"/>
      <w:r w:rsidRPr="00B32C0C">
        <w:rPr>
          <w:color w:val="000000" w:themeColor="text1"/>
          <w:szCs w:val="24"/>
          <w:lang w:val="it-IT"/>
        </w:rPr>
        <w:t>ca</w:t>
      </w:r>
      <w:proofErr w:type="spellEnd"/>
      <w:r w:rsidRPr="00B32C0C">
        <w:rPr>
          <w:color w:val="000000" w:themeColor="text1"/>
          <w:szCs w:val="24"/>
          <w:lang w:val="it-IT"/>
        </w:rPr>
        <w:t>. 5'500'000 litri di nafta (</w:t>
      </w:r>
      <w:proofErr w:type="spellStart"/>
      <w:r w:rsidRPr="00B32C0C">
        <w:rPr>
          <w:color w:val="000000" w:themeColor="text1"/>
          <w:szCs w:val="24"/>
          <w:lang w:val="it-IT"/>
        </w:rPr>
        <w:t>ca</w:t>
      </w:r>
      <w:proofErr w:type="spellEnd"/>
      <w:r w:rsidRPr="00B32C0C">
        <w:rPr>
          <w:color w:val="000000" w:themeColor="text1"/>
          <w:szCs w:val="24"/>
          <w:lang w:val="it-IT"/>
        </w:rPr>
        <w:t>. 2'800 famiglie).</w:t>
      </w:r>
    </w:p>
    <w:p w:rsidR="00CA342A" w:rsidRPr="00B32C0C" w:rsidRDefault="00CA342A" w:rsidP="00CA342A">
      <w:pPr>
        <w:pStyle w:val="Standarduser"/>
        <w:rPr>
          <w:color w:val="000000" w:themeColor="text1"/>
          <w:szCs w:val="24"/>
          <w:lang w:val="it-IT"/>
        </w:rPr>
      </w:pPr>
    </w:p>
    <w:p w:rsidR="00CA342A" w:rsidRPr="00B32C0C" w:rsidRDefault="00CA342A" w:rsidP="00CA342A">
      <w:pPr>
        <w:pStyle w:val="Standarduser"/>
        <w:rPr>
          <w:color w:val="000000" w:themeColor="text1"/>
          <w:szCs w:val="24"/>
        </w:rPr>
      </w:pPr>
      <w:r w:rsidRPr="00B32C0C">
        <w:rPr>
          <w:color w:val="000000" w:themeColor="text1"/>
          <w:szCs w:val="24"/>
        </w:rPr>
        <w:t xml:space="preserve">Inoltre l’ACR ha deciso di sostenere il Campus formativo di Bodio – che offre percorsi di apprendistato per l’ottenimento degli attestati federali di capacità di Operatore in automazione e </w:t>
      </w:r>
      <w:proofErr w:type="spellStart"/>
      <w:r w:rsidRPr="00B32C0C">
        <w:rPr>
          <w:color w:val="000000" w:themeColor="text1"/>
          <w:szCs w:val="24"/>
        </w:rPr>
        <w:t>Polimeccanico</w:t>
      </w:r>
      <w:proofErr w:type="spellEnd"/>
      <w:r w:rsidRPr="00B32C0C">
        <w:rPr>
          <w:color w:val="000000" w:themeColor="text1"/>
          <w:szCs w:val="24"/>
        </w:rPr>
        <w:t>. Infine tra</w:t>
      </w:r>
      <w:r>
        <w:rPr>
          <w:color w:val="000000" w:themeColor="text1"/>
          <w:szCs w:val="24"/>
        </w:rPr>
        <w:t xml:space="preserve"> </w:t>
      </w:r>
      <w:r w:rsidRPr="00B32C0C">
        <w:rPr>
          <w:color w:val="000000" w:themeColor="text1"/>
          <w:szCs w:val="24"/>
        </w:rPr>
        <w:t xml:space="preserve">le altre attività sono stati deliberati i mandati di progettazione per il rinnovo degli stabili della sede dei rifiuti speciali di </w:t>
      </w:r>
      <w:proofErr w:type="spellStart"/>
      <w:r w:rsidRPr="00B32C0C">
        <w:rPr>
          <w:color w:val="000000" w:themeColor="text1"/>
          <w:szCs w:val="24"/>
        </w:rPr>
        <w:t>Bioggio</w:t>
      </w:r>
      <w:proofErr w:type="spellEnd"/>
      <w:r w:rsidRPr="00B32C0C">
        <w:rPr>
          <w:color w:val="000000" w:themeColor="text1"/>
          <w:szCs w:val="24"/>
        </w:rPr>
        <w:t>. E nel corso del 2018 è stato anche rinnovato il contratto collettivo di lavoro che regola le condizioni di lavoro del personale occupato presso l’ACR.</w:t>
      </w:r>
    </w:p>
    <w:p w:rsidR="00CA342A" w:rsidRDefault="00CA342A" w:rsidP="00CA342A">
      <w:pPr>
        <w:pStyle w:val="Standarduser"/>
        <w:rPr>
          <w:rFonts w:ascii="Century Gothic" w:hAnsi="Century Gothic"/>
          <w:szCs w:val="24"/>
        </w:rPr>
      </w:pPr>
    </w:p>
    <w:p w:rsidR="00CA342A" w:rsidRPr="00FE2F76" w:rsidRDefault="00CA342A" w:rsidP="00CA342A">
      <w:pPr>
        <w:pStyle w:val="Standarduser"/>
        <w:rPr>
          <w:rFonts w:ascii="Century Gothic" w:hAnsi="Century Gothic"/>
          <w:szCs w:val="24"/>
        </w:rPr>
      </w:pPr>
    </w:p>
    <w:p w:rsidR="00CA342A" w:rsidRPr="009039E0" w:rsidRDefault="00CA342A" w:rsidP="00673903">
      <w:pPr>
        <w:pStyle w:val="Titolo1"/>
      </w:pPr>
      <w:r w:rsidRPr="009039E0">
        <w:t>Il rapporto gestionale e ambientale ictr</w:t>
      </w:r>
    </w:p>
    <w:p w:rsidR="00CA342A" w:rsidRPr="009039E0" w:rsidRDefault="00CA342A" w:rsidP="00CA342A">
      <w:pPr>
        <w:pStyle w:val="Standarduser"/>
        <w:rPr>
          <w:color w:val="000000" w:themeColor="text1"/>
          <w:szCs w:val="24"/>
        </w:rPr>
      </w:pPr>
      <w:r w:rsidRPr="009039E0">
        <w:rPr>
          <w:color w:val="000000" w:themeColor="text1"/>
          <w:szCs w:val="24"/>
        </w:rPr>
        <w:t>L’Impianto Cantonale di Termovalorizzazione dei Rifiuti (ICTR) ha dimostrato anche nel 2018 la sua affidabilità di funzionamento nel rispetto delle specifiche norme ambientali e delle condizioni poste a livello di licenza edilizia.</w:t>
      </w:r>
    </w:p>
    <w:p w:rsidR="00CA342A" w:rsidRPr="00B70B1A" w:rsidRDefault="00CA342A" w:rsidP="00CA342A">
      <w:pPr>
        <w:pStyle w:val="Standarduser"/>
        <w:rPr>
          <w:color w:val="000000" w:themeColor="text1"/>
          <w:sz w:val="20"/>
          <w:szCs w:val="20"/>
        </w:rPr>
      </w:pPr>
    </w:p>
    <w:p w:rsidR="00CA342A" w:rsidRPr="009039E0" w:rsidRDefault="00CA342A" w:rsidP="00CA342A">
      <w:pPr>
        <w:pStyle w:val="Standarduser"/>
        <w:rPr>
          <w:color w:val="000000" w:themeColor="text1"/>
          <w:szCs w:val="24"/>
        </w:rPr>
      </w:pPr>
      <w:r w:rsidRPr="009039E0">
        <w:rPr>
          <w:color w:val="000000" w:themeColor="text1"/>
          <w:szCs w:val="24"/>
        </w:rPr>
        <w:t>I controlli hanno confermato che</w:t>
      </w:r>
    </w:p>
    <w:p w:rsidR="00CA342A" w:rsidRPr="009039E0" w:rsidRDefault="00CA342A" w:rsidP="00673903">
      <w:pPr>
        <w:pStyle w:val="Standarduser"/>
        <w:numPr>
          <w:ilvl w:val="0"/>
          <w:numId w:val="14"/>
        </w:numPr>
        <w:spacing w:before="80"/>
        <w:ind w:left="284" w:hanging="284"/>
        <w:rPr>
          <w:color w:val="000000" w:themeColor="text1"/>
          <w:szCs w:val="24"/>
        </w:rPr>
      </w:pPr>
      <w:r w:rsidRPr="009039E0">
        <w:rPr>
          <w:color w:val="000000" w:themeColor="text1"/>
          <w:szCs w:val="24"/>
        </w:rPr>
        <w:t>Le medie delle emissioni gassose registrate sono molto al di sotto dei limiti di legge</w:t>
      </w:r>
    </w:p>
    <w:p w:rsidR="00CA342A" w:rsidRPr="009039E0" w:rsidRDefault="00CA342A" w:rsidP="00673903">
      <w:pPr>
        <w:pStyle w:val="Standarduser"/>
        <w:numPr>
          <w:ilvl w:val="0"/>
          <w:numId w:val="14"/>
        </w:numPr>
        <w:spacing w:before="80"/>
        <w:ind w:left="284" w:hanging="284"/>
        <w:rPr>
          <w:color w:val="000000" w:themeColor="text1"/>
          <w:szCs w:val="24"/>
        </w:rPr>
      </w:pPr>
      <w:r w:rsidRPr="009039E0">
        <w:rPr>
          <w:color w:val="000000" w:themeColor="text1"/>
          <w:szCs w:val="24"/>
        </w:rPr>
        <w:t>la qualità dell’acqua trattata è stata garantita e i limiti di scarico sanciti nell’</w:t>
      </w:r>
      <w:proofErr w:type="spellStart"/>
      <w:r w:rsidRPr="009039E0">
        <w:rPr>
          <w:color w:val="000000" w:themeColor="text1"/>
          <w:szCs w:val="24"/>
        </w:rPr>
        <w:t>OPAc</w:t>
      </w:r>
      <w:proofErr w:type="spellEnd"/>
      <w:r w:rsidRPr="009039E0">
        <w:rPr>
          <w:color w:val="000000" w:themeColor="text1"/>
          <w:szCs w:val="24"/>
        </w:rPr>
        <w:t xml:space="preserve"> (Ordinanza sulla protezione delle acque) sono stati rispettati. Per tutti i parametri chimici le concentrazioni medie rilevate sono abbondantemente inferiori ai limiti.  </w:t>
      </w:r>
    </w:p>
    <w:p w:rsidR="00CA342A" w:rsidRPr="009039E0" w:rsidRDefault="00CA342A" w:rsidP="00673903">
      <w:pPr>
        <w:pStyle w:val="Standarduser"/>
        <w:numPr>
          <w:ilvl w:val="0"/>
          <w:numId w:val="14"/>
        </w:numPr>
        <w:spacing w:before="80"/>
        <w:ind w:left="284" w:hanging="284"/>
        <w:rPr>
          <w:color w:val="000000" w:themeColor="text1"/>
          <w:szCs w:val="24"/>
        </w:rPr>
      </w:pPr>
      <w:r w:rsidRPr="009039E0">
        <w:rPr>
          <w:color w:val="000000" w:themeColor="text1"/>
          <w:szCs w:val="24"/>
        </w:rPr>
        <w:t xml:space="preserve">per quanto riguarda i rifiuti solidi l’ICTR ha prodotto 33'350 tonnellate di scorie e 4'070 tonnellate di ceneri lavate che sono state smaltite presso la discarica di </w:t>
      </w:r>
      <w:proofErr w:type="spellStart"/>
      <w:r w:rsidRPr="009039E0">
        <w:rPr>
          <w:color w:val="000000" w:themeColor="text1"/>
          <w:szCs w:val="24"/>
        </w:rPr>
        <w:t>Lostallo</w:t>
      </w:r>
      <w:proofErr w:type="spellEnd"/>
      <w:r w:rsidRPr="009039E0">
        <w:rPr>
          <w:color w:val="000000" w:themeColor="text1"/>
          <w:szCs w:val="24"/>
        </w:rPr>
        <w:t xml:space="preserve"> nel rispetto dei limiti di legge</w:t>
      </w:r>
      <w:r>
        <w:rPr>
          <w:color w:val="000000" w:themeColor="text1"/>
          <w:szCs w:val="24"/>
        </w:rPr>
        <w:t>.</w:t>
      </w:r>
    </w:p>
    <w:p w:rsidR="00CA342A" w:rsidRPr="00B70B1A" w:rsidRDefault="00CA342A" w:rsidP="00CA342A">
      <w:pPr>
        <w:pStyle w:val="Standarduser"/>
        <w:rPr>
          <w:color w:val="000000" w:themeColor="text1"/>
          <w:sz w:val="16"/>
          <w:szCs w:val="16"/>
        </w:rPr>
      </w:pPr>
    </w:p>
    <w:p w:rsidR="00CA342A" w:rsidRPr="009039E0" w:rsidRDefault="00CA342A" w:rsidP="00CA342A">
      <w:pPr>
        <w:pStyle w:val="Standarduser"/>
        <w:rPr>
          <w:color w:val="000000" w:themeColor="text1"/>
          <w:szCs w:val="24"/>
        </w:rPr>
      </w:pPr>
      <w:r w:rsidRPr="009039E0">
        <w:rPr>
          <w:color w:val="000000" w:themeColor="text1"/>
          <w:szCs w:val="24"/>
        </w:rPr>
        <w:lastRenderedPageBreak/>
        <w:t>In conclusione i risultati dei monitoraggi effettuati dimostrano che il Ticino dispone di un impianto di termovalorizzazione conforme alle prescrizioni tecniche.</w:t>
      </w:r>
    </w:p>
    <w:p w:rsidR="00CA342A" w:rsidRDefault="00CA342A" w:rsidP="00CA342A">
      <w:pPr>
        <w:pStyle w:val="Standarduser"/>
        <w:rPr>
          <w:szCs w:val="24"/>
        </w:rPr>
      </w:pPr>
    </w:p>
    <w:p w:rsidR="00673903" w:rsidRDefault="00673903" w:rsidP="00CA342A">
      <w:pPr>
        <w:pStyle w:val="Standarduser"/>
        <w:rPr>
          <w:szCs w:val="24"/>
        </w:rPr>
      </w:pPr>
    </w:p>
    <w:p w:rsidR="00673903" w:rsidRDefault="00673903" w:rsidP="00CA342A">
      <w:pPr>
        <w:pStyle w:val="Standarduser"/>
        <w:rPr>
          <w:szCs w:val="24"/>
        </w:rPr>
      </w:pPr>
    </w:p>
    <w:p w:rsidR="00CA342A" w:rsidRPr="00D40B65" w:rsidRDefault="00CA342A" w:rsidP="00673903">
      <w:pPr>
        <w:pStyle w:val="Titolo1"/>
      </w:pPr>
      <w:r w:rsidRPr="00D40B65">
        <w:t>A</w:t>
      </w:r>
      <w:r>
        <w:t>NALISI COMMISSIONALI – DOMANDE E RISPOSTE</w:t>
      </w:r>
    </w:p>
    <w:p w:rsidR="00CA342A" w:rsidRPr="00467E1A" w:rsidRDefault="00CA342A" w:rsidP="00CA342A">
      <w:pPr>
        <w:pStyle w:val="Standarduser"/>
        <w:rPr>
          <w:color w:val="000000" w:themeColor="text1"/>
          <w:szCs w:val="24"/>
        </w:rPr>
      </w:pPr>
      <w:r w:rsidRPr="00467E1A">
        <w:rPr>
          <w:color w:val="000000" w:themeColor="text1"/>
          <w:szCs w:val="24"/>
        </w:rPr>
        <w:t xml:space="preserve">La </w:t>
      </w:r>
      <w:r>
        <w:rPr>
          <w:color w:val="000000" w:themeColor="text1"/>
          <w:szCs w:val="24"/>
        </w:rPr>
        <w:t>C</w:t>
      </w:r>
      <w:r w:rsidRPr="00467E1A">
        <w:rPr>
          <w:color w:val="000000" w:themeColor="text1"/>
          <w:szCs w:val="24"/>
        </w:rPr>
        <w:t xml:space="preserve">ommissione della </w:t>
      </w:r>
      <w:r>
        <w:rPr>
          <w:color w:val="000000" w:themeColor="text1"/>
          <w:szCs w:val="24"/>
        </w:rPr>
        <w:t>g</w:t>
      </w:r>
      <w:r w:rsidRPr="00467E1A">
        <w:rPr>
          <w:color w:val="000000" w:themeColor="text1"/>
          <w:szCs w:val="24"/>
        </w:rPr>
        <w:t>estione ha posto le seguenti domande al Consiglio di Stato riguardanti principalmente l’aspetto ambientale, territoriale e finanziario dell’ACR.</w:t>
      </w:r>
    </w:p>
    <w:p w:rsidR="00CA342A" w:rsidRPr="00FE2F76" w:rsidRDefault="00CA342A" w:rsidP="00CA342A">
      <w:pPr>
        <w:pStyle w:val="Standarduser"/>
      </w:pPr>
    </w:p>
    <w:p w:rsidR="00CA342A" w:rsidRDefault="00CA342A" w:rsidP="00CA342A"/>
    <w:p w:rsidR="00CA342A" w:rsidRPr="00673903" w:rsidRDefault="00CA342A" w:rsidP="00673903">
      <w:pPr>
        <w:pStyle w:val="Titolo2"/>
        <w:ind w:left="567" w:hanging="567"/>
      </w:pPr>
      <w:r w:rsidRPr="00673903">
        <w:t>5.1</w:t>
      </w:r>
      <w:r w:rsidRPr="00673903">
        <w:tab/>
        <w:t>I monitoraggi ambientali eseguiti nel 2018 sono stati svolti internamente o da ditte terze? Secondo quali criteri sono state scelte le ditte terze? È stato utilizzato il mandato diretto o si è proceduto in altro modo?</w:t>
      </w:r>
    </w:p>
    <w:p w:rsidR="00CA342A" w:rsidRDefault="00CA342A" w:rsidP="00CA342A">
      <w:r>
        <w:t>I monitoraggi ambientali sono svolti sia internamente che da ditte terze.</w:t>
      </w:r>
    </w:p>
    <w:p w:rsidR="00CA342A" w:rsidRDefault="00CA342A" w:rsidP="00CA342A"/>
    <w:p w:rsidR="00CA342A" w:rsidRDefault="00CA342A" w:rsidP="00CA342A">
      <w:r>
        <w:t>I monitoraggi interni vengono eseguiti dal personale ACR (analisi di laboratorio) oppure tramite apparecchiature automatiche in continuo, per le quali vengono svolte regolarmente sia la manutenzione che la calibrazione dalle ditte fornitrici e/o dal personale ACR.</w:t>
      </w:r>
    </w:p>
    <w:p w:rsidR="00CA342A" w:rsidRDefault="00CA342A" w:rsidP="00CA342A"/>
    <w:p w:rsidR="00CA342A" w:rsidRDefault="00CA342A" w:rsidP="00CA342A">
      <w:r>
        <w:t>Le ditte terze vengono scelte, conformemente alla legislazione sugli appalti, tenendo in particolare conto della specializzazione e delle referenze.</w:t>
      </w:r>
    </w:p>
    <w:p w:rsidR="00CA342A" w:rsidRDefault="00CA342A" w:rsidP="00CA342A"/>
    <w:p w:rsidR="00CA342A" w:rsidRDefault="00CA342A" w:rsidP="00CA342A">
      <w:r>
        <w:t>Di seguito un breve riepilogo dei monitoraggi ambientali 2018 nei singoli settori:</w:t>
      </w:r>
    </w:p>
    <w:p w:rsidR="00CA342A" w:rsidRDefault="00CA342A" w:rsidP="00CA342A"/>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b/>
                <w:sz w:val="22"/>
              </w:rPr>
            </w:pPr>
            <w:r w:rsidRPr="00673903">
              <w:rPr>
                <w:b/>
                <w:sz w:val="22"/>
              </w:rPr>
              <w:t>ICTR</w:t>
            </w:r>
          </w:p>
        </w:tc>
        <w:tc>
          <w:tcPr>
            <w:tcW w:w="3259" w:type="dxa"/>
          </w:tcPr>
          <w:p w:rsidR="00CA342A" w:rsidRPr="00673903" w:rsidRDefault="00CA342A" w:rsidP="00040D26">
            <w:pPr>
              <w:rPr>
                <w:b/>
                <w:sz w:val="22"/>
              </w:rPr>
            </w:pPr>
            <w:r w:rsidRPr="00673903">
              <w:rPr>
                <w:b/>
                <w:sz w:val="22"/>
              </w:rPr>
              <w:t>Monitoraggi interni</w:t>
            </w:r>
          </w:p>
        </w:tc>
        <w:tc>
          <w:tcPr>
            <w:tcW w:w="3260" w:type="dxa"/>
          </w:tcPr>
          <w:p w:rsidR="00CA342A" w:rsidRPr="00673903" w:rsidRDefault="00CA342A" w:rsidP="00040D26">
            <w:pPr>
              <w:rPr>
                <w:b/>
                <w:sz w:val="22"/>
              </w:rPr>
            </w:pPr>
            <w:r w:rsidRPr="00673903">
              <w:rPr>
                <w:b/>
                <w:sz w:val="22"/>
              </w:rPr>
              <w:t>Monitoraggi esterni</w:t>
            </w:r>
          </w:p>
        </w:tc>
      </w:tr>
      <w:tr w:rsidR="00CA342A" w:rsidRPr="00673903" w:rsidTr="00040D26">
        <w:tc>
          <w:tcPr>
            <w:tcW w:w="3259" w:type="dxa"/>
          </w:tcPr>
          <w:p w:rsidR="00CA342A" w:rsidRPr="00673903" w:rsidRDefault="00CA342A" w:rsidP="00040D26">
            <w:pPr>
              <w:rPr>
                <w:sz w:val="22"/>
              </w:rPr>
            </w:pPr>
            <w:r w:rsidRPr="00673903">
              <w:rPr>
                <w:sz w:val="22"/>
              </w:rPr>
              <w:t>Emissioni</w:t>
            </w:r>
          </w:p>
          <w:p w:rsidR="00CA342A" w:rsidRPr="00673903" w:rsidRDefault="00CA342A" w:rsidP="00040D26">
            <w:pPr>
              <w:rPr>
                <w:sz w:val="22"/>
              </w:rPr>
            </w:pPr>
            <w:r w:rsidRPr="00673903">
              <w:rPr>
                <w:sz w:val="22"/>
              </w:rPr>
              <w:t>Aria - camino</w:t>
            </w:r>
          </w:p>
        </w:tc>
        <w:tc>
          <w:tcPr>
            <w:tcW w:w="3259" w:type="dxa"/>
          </w:tcPr>
          <w:p w:rsidR="00CA342A" w:rsidRPr="00673903" w:rsidRDefault="00CA342A" w:rsidP="00040D26">
            <w:pPr>
              <w:rPr>
                <w:sz w:val="22"/>
              </w:rPr>
            </w:pPr>
            <w:r w:rsidRPr="00673903">
              <w:rPr>
                <w:sz w:val="22"/>
              </w:rPr>
              <w:t>Monitoraggio in continuo con sonde poste all'interno dei camini.</w:t>
            </w:r>
          </w:p>
          <w:p w:rsidR="00CA342A" w:rsidRPr="00673903" w:rsidRDefault="00CA342A" w:rsidP="00040D26">
            <w:pPr>
              <w:rPr>
                <w:sz w:val="22"/>
              </w:rPr>
            </w:pPr>
            <w:r w:rsidRPr="00673903">
              <w:rPr>
                <w:sz w:val="22"/>
              </w:rPr>
              <w:t>Inquinanti rilevati in continuo: polveri solide totali, ossidi di zolfo, ossidi di azoto, composti inorganici del cloro, ammoniaca, carbonio totale e monossido di carbonio.</w:t>
            </w:r>
          </w:p>
        </w:tc>
        <w:tc>
          <w:tcPr>
            <w:tcW w:w="3260" w:type="dxa"/>
          </w:tcPr>
          <w:p w:rsidR="00CA342A" w:rsidRPr="00673903" w:rsidRDefault="00CA342A" w:rsidP="00040D26">
            <w:pPr>
              <w:rPr>
                <w:sz w:val="22"/>
              </w:rPr>
            </w:pPr>
            <w:r w:rsidRPr="00673903">
              <w:rPr>
                <w:sz w:val="22"/>
              </w:rPr>
              <w:t>Laboratorio per la misura delle concentrazioni nei fumi di tutti gli inquinanti ai sensi dell'</w:t>
            </w:r>
            <w:proofErr w:type="spellStart"/>
            <w:r w:rsidRPr="00673903">
              <w:rPr>
                <w:sz w:val="22"/>
              </w:rPr>
              <w:t>OIAt</w:t>
            </w:r>
            <w:proofErr w:type="spellEnd"/>
            <w:r w:rsidRPr="00673903">
              <w:rPr>
                <w:sz w:val="22"/>
              </w:rPr>
              <w:t>, incluso le diossine.</w:t>
            </w:r>
          </w:p>
          <w:p w:rsidR="00CA342A" w:rsidRPr="00673903" w:rsidRDefault="00CA342A" w:rsidP="00040D26">
            <w:pPr>
              <w:rPr>
                <w:sz w:val="22"/>
              </w:rPr>
            </w:pPr>
          </w:p>
          <w:p w:rsidR="00CA342A" w:rsidRPr="00673903" w:rsidRDefault="00CA342A" w:rsidP="00040D26">
            <w:pPr>
              <w:rPr>
                <w:sz w:val="22"/>
              </w:rPr>
            </w:pPr>
            <w:r w:rsidRPr="00673903">
              <w:rPr>
                <w:sz w:val="22"/>
              </w:rPr>
              <w:t xml:space="preserve">Importo: </w:t>
            </w:r>
            <w:proofErr w:type="spellStart"/>
            <w:r w:rsidRPr="00673903">
              <w:rPr>
                <w:sz w:val="22"/>
              </w:rPr>
              <w:t>ca</w:t>
            </w:r>
            <w:proofErr w:type="spellEnd"/>
            <w:r w:rsidRPr="00673903">
              <w:rPr>
                <w:sz w:val="22"/>
              </w:rPr>
              <w:t>. 35'000 CHF Incarico diretto.</w:t>
            </w:r>
          </w:p>
        </w:tc>
      </w:tr>
      <w:tr w:rsidR="00CA342A" w:rsidRPr="00673903" w:rsidTr="00040D26">
        <w:tc>
          <w:tcPr>
            <w:tcW w:w="3259" w:type="dxa"/>
          </w:tcPr>
          <w:p w:rsidR="00CA342A" w:rsidRPr="00673903" w:rsidRDefault="00CA342A" w:rsidP="00040D26">
            <w:pPr>
              <w:rPr>
                <w:sz w:val="22"/>
              </w:rPr>
            </w:pPr>
            <w:r w:rsidRPr="00673903">
              <w:rPr>
                <w:sz w:val="22"/>
              </w:rPr>
              <w:t>Emissioni</w:t>
            </w:r>
          </w:p>
          <w:p w:rsidR="00CA342A" w:rsidRPr="00673903" w:rsidRDefault="00CA342A" w:rsidP="00040D26">
            <w:pPr>
              <w:rPr>
                <w:sz w:val="22"/>
              </w:rPr>
            </w:pPr>
            <w:r w:rsidRPr="00673903">
              <w:rPr>
                <w:sz w:val="22"/>
              </w:rPr>
              <w:t>Acqua - scarico</w:t>
            </w:r>
          </w:p>
        </w:tc>
        <w:tc>
          <w:tcPr>
            <w:tcW w:w="3259" w:type="dxa"/>
          </w:tcPr>
          <w:p w:rsidR="00CA342A" w:rsidRPr="00673903" w:rsidRDefault="00CA342A" w:rsidP="00040D26">
            <w:pPr>
              <w:rPr>
                <w:sz w:val="22"/>
              </w:rPr>
            </w:pPr>
            <w:r w:rsidRPr="00673903">
              <w:rPr>
                <w:sz w:val="22"/>
              </w:rPr>
              <w:t>Sono registrati in continuo la quantità e la qualità di acqua scaricata giornalmente dall'impianto.</w:t>
            </w:r>
          </w:p>
          <w:p w:rsidR="00CA342A" w:rsidRPr="00673903" w:rsidRDefault="00CA342A" w:rsidP="00040D26">
            <w:pPr>
              <w:rPr>
                <w:sz w:val="22"/>
              </w:rPr>
            </w:pPr>
            <w:r w:rsidRPr="00673903">
              <w:rPr>
                <w:sz w:val="22"/>
              </w:rPr>
              <w:t xml:space="preserve">Inquinanti rilevati in continuo: </w:t>
            </w:r>
            <w:proofErr w:type="spellStart"/>
            <w:r w:rsidRPr="00673903">
              <w:rPr>
                <w:sz w:val="22"/>
              </w:rPr>
              <w:t>pH</w:t>
            </w:r>
            <w:proofErr w:type="spellEnd"/>
            <w:r w:rsidRPr="00673903">
              <w:rPr>
                <w:sz w:val="22"/>
              </w:rPr>
              <w:t>, temperatura e torbidità.</w:t>
            </w:r>
          </w:p>
        </w:tc>
        <w:tc>
          <w:tcPr>
            <w:tcW w:w="3260" w:type="dxa"/>
          </w:tcPr>
          <w:p w:rsidR="00CA342A" w:rsidRPr="00673903" w:rsidRDefault="00CA342A" w:rsidP="00040D26">
            <w:pPr>
              <w:rPr>
                <w:sz w:val="22"/>
              </w:rPr>
            </w:pPr>
            <w:r w:rsidRPr="00673903">
              <w:rPr>
                <w:sz w:val="22"/>
              </w:rPr>
              <w:t>Analisi regolari delle acque affidate a un laboratorio.</w:t>
            </w:r>
          </w:p>
          <w:p w:rsidR="00CA342A" w:rsidRPr="00673903" w:rsidRDefault="00CA342A" w:rsidP="00040D26">
            <w:pPr>
              <w:rPr>
                <w:sz w:val="22"/>
              </w:rPr>
            </w:pPr>
          </w:p>
          <w:p w:rsidR="00CA342A" w:rsidRPr="00673903" w:rsidRDefault="00CA342A" w:rsidP="00040D26">
            <w:pPr>
              <w:rPr>
                <w:sz w:val="22"/>
              </w:rPr>
            </w:pPr>
            <w:r w:rsidRPr="00673903">
              <w:rPr>
                <w:sz w:val="22"/>
              </w:rPr>
              <w:t xml:space="preserve">Importo: </w:t>
            </w:r>
            <w:proofErr w:type="spellStart"/>
            <w:r w:rsidRPr="00673903">
              <w:rPr>
                <w:sz w:val="22"/>
              </w:rPr>
              <w:t>ca</w:t>
            </w:r>
            <w:proofErr w:type="spellEnd"/>
            <w:r w:rsidRPr="00673903">
              <w:rPr>
                <w:sz w:val="22"/>
              </w:rPr>
              <w:t>. 30'000 CHF Incarico diretto.</w:t>
            </w:r>
          </w:p>
        </w:tc>
      </w:tr>
      <w:tr w:rsidR="00CA342A" w:rsidRPr="00673903" w:rsidTr="00040D26">
        <w:tc>
          <w:tcPr>
            <w:tcW w:w="3259" w:type="dxa"/>
          </w:tcPr>
          <w:p w:rsidR="00CA342A" w:rsidRPr="00673903" w:rsidRDefault="00CA342A" w:rsidP="00040D26">
            <w:pPr>
              <w:rPr>
                <w:sz w:val="22"/>
              </w:rPr>
            </w:pPr>
            <w:r w:rsidRPr="00673903">
              <w:rPr>
                <w:sz w:val="22"/>
              </w:rPr>
              <w:t>Emissioni</w:t>
            </w:r>
          </w:p>
          <w:p w:rsidR="00CA342A" w:rsidRPr="00673903" w:rsidRDefault="00CA342A" w:rsidP="00040D26">
            <w:pPr>
              <w:rPr>
                <w:sz w:val="22"/>
              </w:rPr>
            </w:pPr>
            <w:r w:rsidRPr="00673903">
              <w:rPr>
                <w:sz w:val="22"/>
              </w:rPr>
              <w:t>Scorie e ceneri</w:t>
            </w:r>
          </w:p>
        </w:tc>
        <w:tc>
          <w:tcPr>
            <w:tcW w:w="3259" w:type="dxa"/>
          </w:tcPr>
          <w:p w:rsidR="00CA342A" w:rsidRPr="00673903" w:rsidRDefault="00CA342A" w:rsidP="00040D26">
            <w:pPr>
              <w:rPr>
                <w:sz w:val="22"/>
              </w:rPr>
            </w:pPr>
          </w:p>
        </w:tc>
        <w:tc>
          <w:tcPr>
            <w:tcW w:w="3260" w:type="dxa"/>
          </w:tcPr>
          <w:p w:rsidR="00CA342A" w:rsidRPr="00673903" w:rsidRDefault="00CA342A" w:rsidP="00040D26">
            <w:pPr>
              <w:rPr>
                <w:sz w:val="22"/>
              </w:rPr>
            </w:pPr>
            <w:r w:rsidRPr="00673903">
              <w:rPr>
                <w:sz w:val="22"/>
              </w:rPr>
              <w:t>Laboratorio effettua le analisi chimiche di scorie e ceneri per verificare la conformità alle normative in vigore e per monitorare nel tempo la qualità delle scorie e delle ceneri, quale indicatore della tipologia dei rifiuti inceneriti.</w:t>
            </w:r>
          </w:p>
          <w:p w:rsidR="00CA342A" w:rsidRPr="00673903" w:rsidRDefault="00CA342A" w:rsidP="00040D26">
            <w:pPr>
              <w:rPr>
                <w:sz w:val="22"/>
              </w:rPr>
            </w:pPr>
          </w:p>
          <w:p w:rsidR="00CA342A" w:rsidRPr="00673903" w:rsidRDefault="00CA342A" w:rsidP="00040D26">
            <w:pPr>
              <w:rPr>
                <w:sz w:val="22"/>
              </w:rPr>
            </w:pPr>
            <w:r w:rsidRPr="00673903">
              <w:rPr>
                <w:sz w:val="22"/>
              </w:rPr>
              <w:t xml:space="preserve">Importo: </w:t>
            </w:r>
            <w:proofErr w:type="spellStart"/>
            <w:r w:rsidRPr="00673903">
              <w:rPr>
                <w:sz w:val="22"/>
              </w:rPr>
              <w:t>ca</w:t>
            </w:r>
            <w:proofErr w:type="spellEnd"/>
            <w:r w:rsidRPr="00673903">
              <w:rPr>
                <w:sz w:val="22"/>
              </w:rPr>
              <w:t>. 12'000 CHF/a Incarico diretto.</w:t>
            </w:r>
          </w:p>
        </w:tc>
      </w:tr>
    </w:tbl>
    <w:p w:rsidR="00B70B1A" w:rsidRDefault="00B70B1A">
      <w:r>
        <w:br w:type="page"/>
      </w:r>
    </w:p>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sz w:val="22"/>
              </w:rPr>
            </w:pPr>
            <w:r w:rsidRPr="00673903">
              <w:rPr>
                <w:sz w:val="22"/>
              </w:rPr>
              <w:lastRenderedPageBreak/>
              <w:t>Immissioni</w:t>
            </w:r>
          </w:p>
          <w:p w:rsidR="00CA342A" w:rsidRPr="00673903" w:rsidRDefault="00CA342A" w:rsidP="00040D26">
            <w:pPr>
              <w:rPr>
                <w:sz w:val="22"/>
              </w:rPr>
            </w:pPr>
            <w:r w:rsidRPr="00673903">
              <w:rPr>
                <w:sz w:val="22"/>
              </w:rPr>
              <w:t xml:space="preserve">Aria - analisi delle polveri di ricaduta - metodo </w:t>
            </w:r>
            <w:proofErr w:type="spellStart"/>
            <w:r w:rsidRPr="00673903">
              <w:rPr>
                <w:sz w:val="22"/>
              </w:rPr>
              <w:t>Bergerhof</w:t>
            </w:r>
            <w:proofErr w:type="spellEnd"/>
          </w:p>
        </w:tc>
        <w:tc>
          <w:tcPr>
            <w:tcW w:w="3259" w:type="dxa"/>
          </w:tcPr>
          <w:p w:rsidR="00CA342A" w:rsidRPr="00673903" w:rsidRDefault="00CA342A" w:rsidP="00040D26">
            <w:pPr>
              <w:rPr>
                <w:sz w:val="22"/>
              </w:rPr>
            </w:pPr>
          </w:p>
        </w:tc>
        <w:tc>
          <w:tcPr>
            <w:tcW w:w="3260" w:type="dxa"/>
          </w:tcPr>
          <w:p w:rsidR="00CA342A" w:rsidRPr="00673903" w:rsidRDefault="00CA342A" w:rsidP="00040D26">
            <w:pPr>
              <w:rPr>
                <w:sz w:val="22"/>
              </w:rPr>
            </w:pPr>
            <w:r w:rsidRPr="00673903">
              <w:rPr>
                <w:sz w:val="22"/>
              </w:rPr>
              <w:t>Analisi affidate a due laboratori.</w:t>
            </w:r>
          </w:p>
          <w:p w:rsidR="00CA342A" w:rsidRPr="00673903" w:rsidRDefault="00CA342A" w:rsidP="00040D26">
            <w:pPr>
              <w:rPr>
                <w:sz w:val="22"/>
              </w:rPr>
            </w:pPr>
          </w:p>
          <w:p w:rsidR="00CA342A" w:rsidRPr="00673903" w:rsidRDefault="00CA342A" w:rsidP="00040D26">
            <w:pPr>
              <w:rPr>
                <w:sz w:val="22"/>
              </w:rPr>
            </w:pPr>
            <w:r w:rsidRPr="00673903">
              <w:rPr>
                <w:sz w:val="22"/>
              </w:rPr>
              <w:t>Importo:</w:t>
            </w:r>
          </w:p>
          <w:p w:rsidR="00CA342A" w:rsidRPr="00673903" w:rsidRDefault="00CA342A" w:rsidP="00040D26">
            <w:pPr>
              <w:ind w:left="286" w:hanging="283"/>
              <w:rPr>
                <w:sz w:val="22"/>
              </w:rPr>
            </w:pPr>
            <w:r w:rsidRPr="00673903">
              <w:rPr>
                <w:sz w:val="22"/>
              </w:rPr>
              <w:t>a)</w:t>
            </w:r>
            <w:r w:rsidRPr="00673903">
              <w:rPr>
                <w:sz w:val="22"/>
              </w:rPr>
              <w:tab/>
              <w:t xml:space="preserve">polveri e metalli: </w:t>
            </w:r>
            <w:proofErr w:type="spellStart"/>
            <w:r w:rsidRPr="00673903">
              <w:rPr>
                <w:sz w:val="22"/>
              </w:rPr>
              <w:t>ca</w:t>
            </w:r>
            <w:proofErr w:type="spellEnd"/>
            <w:r w:rsidRPr="00673903">
              <w:rPr>
                <w:sz w:val="22"/>
              </w:rPr>
              <w:t>. 20'000 CHF;</w:t>
            </w:r>
          </w:p>
          <w:p w:rsidR="00CA342A" w:rsidRPr="00673903" w:rsidRDefault="00CA342A" w:rsidP="00040D26">
            <w:pPr>
              <w:ind w:left="286" w:hanging="283"/>
              <w:rPr>
                <w:sz w:val="22"/>
              </w:rPr>
            </w:pPr>
            <w:r w:rsidRPr="00673903">
              <w:rPr>
                <w:sz w:val="22"/>
              </w:rPr>
              <w:t>b)</w:t>
            </w:r>
            <w:r w:rsidRPr="00673903">
              <w:rPr>
                <w:sz w:val="22"/>
              </w:rPr>
              <w:tab/>
              <w:t xml:space="preserve">diossine: </w:t>
            </w:r>
            <w:proofErr w:type="spellStart"/>
            <w:r w:rsidRPr="00673903">
              <w:rPr>
                <w:sz w:val="22"/>
              </w:rPr>
              <w:t>ca</w:t>
            </w:r>
            <w:proofErr w:type="spellEnd"/>
            <w:r w:rsidRPr="00673903">
              <w:rPr>
                <w:sz w:val="22"/>
              </w:rPr>
              <w:t>. 10'000 CHF.</w:t>
            </w:r>
          </w:p>
          <w:p w:rsidR="00CA342A" w:rsidRPr="00673903" w:rsidRDefault="00CA342A" w:rsidP="00040D26">
            <w:pPr>
              <w:rPr>
                <w:sz w:val="22"/>
              </w:rPr>
            </w:pPr>
            <w:r w:rsidRPr="00673903">
              <w:rPr>
                <w:sz w:val="22"/>
              </w:rPr>
              <w:t>Incarico diretto.</w:t>
            </w:r>
          </w:p>
        </w:tc>
      </w:tr>
      <w:tr w:rsidR="00CA342A" w:rsidRPr="00673903" w:rsidTr="00040D26">
        <w:tc>
          <w:tcPr>
            <w:tcW w:w="3259" w:type="dxa"/>
          </w:tcPr>
          <w:p w:rsidR="00CA342A" w:rsidRPr="00673903" w:rsidRDefault="00CA342A" w:rsidP="00040D26">
            <w:pPr>
              <w:rPr>
                <w:sz w:val="22"/>
              </w:rPr>
            </w:pPr>
            <w:r w:rsidRPr="00673903">
              <w:rPr>
                <w:sz w:val="22"/>
              </w:rPr>
              <w:t>Immissioni</w:t>
            </w:r>
          </w:p>
          <w:p w:rsidR="00CA342A" w:rsidRPr="00673903" w:rsidRDefault="00CA342A" w:rsidP="00040D26">
            <w:pPr>
              <w:rPr>
                <w:sz w:val="22"/>
              </w:rPr>
            </w:pPr>
            <w:r w:rsidRPr="00673903">
              <w:rPr>
                <w:sz w:val="22"/>
              </w:rPr>
              <w:t>Acqua di falda - monitoraggio qualità</w:t>
            </w:r>
          </w:p>
        </w:tc>
        <w:tc>
          <w:tcPr>
            <w:tcW w:w="3259" w:type="dxa"/>
          </w:tcPr>
          <w:p w:rsidR="00CA342A" w:rsidRPr="00673903" w:rsidRDefault="00CA342A" w:rsidP="00040D26">
            <w:pPr>
              <w:rPr>
                <w:sz w:val="22"/>
              </w:rPr>
            </w:pPr>
            <w:r w:rsidRPr="00673903">
              <w:rPr>
                <w:sz w:val="22"/>
              </w:rPr>
              <w:t xml:space="preserve">Monitoraggio in continuo tramite 2 sonde nei piezometri che misurano temperatura, </w:t>
            </w:r>
            <w:proofErr w:type="spellStart"/>
            <w:r w:rsidRPr="00673903">
              <w:rPr>
                <w:sz w:val="22"/>
              </w:rPr>
              <w:t>pH</w:t>
            </w:r>
            <w:proofErr w:type="spellEnd"/>
            <w:r w:rsidRPr="00673903">
              <w:rPr>
                <w:sz w:val="22"/>
              </w:rPr>
              <w:t>, conducibilità e quota.</w:t>
            </w:r>
          </w:p>
        </w:tc>
        <w:tc>
          <w:tcPr>
            <w:tcW w:w="3260" w:type="dxa"/>
          </w:tcPr>
          <w:p w:rsidR="00CA342A" w:rsidRPr="00673903" w:rsidRDefault="00CA342A" w:rsidP="00040D26">
            <w:pPr>
              <w:rPr>
                <w:sz w:val="22"/>
              </w:rPr>
            </w:pPr>
            <w:r w:rsidRPr="00673903">
              <w:rPr>
                <w:sz w:val="22"/>
              </w:rPr>
              <w:t>Monitoraggio della qualità della falda nei cinque piezometri, tramite prelievo e analisi campioni.</w:t>
            </w:r>
          </w:p>
          <w:p w:rsidR="00CA342A" w:rsidRPr="00673903" w:rsidRDefault="00CA342A" w:rsidP="00040D26">
            <w:pPr>
              <w:rPr>
                <w:sz w:val="22"/>
              </w:rPr>
            </w:pPr>
          </w:p>
          <w:p w:rsidR="00CA342A" w:rsidRPr="00673903" w:rsidRDefault="00CA342A" w:rsidP="00040D26">
            <w:pPr>
              <w:rPr>
                <w:sz w:val="22"/>
              </w:rPr>
            </w:pPr>
            <w:r w:rsidRPr="00673903">
              <w:rPr>
                <w:sz w:val="22"/>
              </w:rPr>
              <w:t xml:space="preserve">Laboratorio: </w:t>
            </w:r>
            <w:proofErr w:type="spellStart"/>
            <w:r w:rsidRPr="00673903">
              <w:rPr>
                <w:sz w:val="22"/>
              </w:rPr>
              <w:t>ca</w:t>
            </w:r>
            <w:proofErr w:type="spellEnd"/>
            <w:r w:rsidRPr="00673903">
              <w:rPr>
                <w:sz w:val="22"/>
              </w:rPr>
              <w:t xml:space="preserve">. 5'000 CHF Prelievo: </w:t>
            </w:r>
            <w:proofErr w:type="spellStart"/>
            <w:r w:rsidRPr="00673903">
              <w:rPr>
                <w:sz w:val="22"/>
              </w:rPr>
              <w:t>ca</w:t>
            </w:r>
            <w:proofErr w:type="spellEnd"/>
            <w:r w:rsidRPr="00673903">
              <w:rPr>
                <w:sz w:val="22"/>
              </w:rPr>
              <w:t>. 2'000 CHF.</w:t>
            </w:r>
          </w:p>
          <w:p w:rsidR="00CA342A" w:rsidRPr="00673903" w:rsidRDefault="00CA342A" w:rsidP="00040D26">
            <w:pPr>
              <w:rPr>
                <w:sz w:val="22"/>
              </w:rPr>
            </w:pPr>
            <w:r w:rsidRPr="00673903">
              <w:rPr>
                <w:sz w:val="22"/>
              </w:rPr>
              <w:t>Incarico diretto.</w:t>
            </w:r>
          </w:p>
        </w:tc>
      </w:tr>
    </w:tbl>
    <w:p w:rsidR="00CA342A" w:rsidRPr="00673903" w:rsidRDefault="00CA342A" w:rsidP="00CA342A">
      <w:pPr>
        <w:rPr>
          <w:sz w:val="22"/>
        </w:rPr>
      </w:pPr>
    </w:p>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b/>
                <w:sz w:val="22"/>
              </w:rPr>
            </w:pPr>
            <w:r w:rsidRPr="00673903">
              <w:rPr>
                <w:b/>
                <w:sz w:val="22"/>
              </w:rPr>
              <w:t xml:space="preserve">Sede di </w:t>
            </w:r>
            <w:proofErr w:type="spellStart"/>
            <w:r w:rsidRPr="00673903">
              <w:rPr>
                <w:b/>
                <w:sz w:val="22"/>
              </w:rPr>
              <w:t>Bioggio</w:t>
            </w:r>
            <w:proofErr w:type="spellEnd"/>
          </w:p>
        </w:tc>
        <w:tc>
          <w:tcPr>
            <w:tcW w:w="3259" w:type="dxa"/>
          </w:tcPr>
          <w:p w:rsidR="00CA342A" w:rsidRPr="00673903" w:rsidRDefault="00CA342A" w:rsidP="00040D26">
            <w:pPr>
              <w:rPr>
                <w:b/>
                <w:sz w:val="22"/>
              </w:rPr>
            </w:pPr>
            <w:r w:rsidRPr="00673903">
              <w:rPr>
                <w:b/>
                <w:sz w:val="22"/>
              </w:rPr>
              <w:t>Monitoraggi interni</w:t>
            </w:r>
          </w:p>
        </w:tc>
        <w:tc>
          <w:tcPr>
            <w:tcW w:w="3260" w:type="dxa"/>
          </w:tcPr>
          <w:p w:rsidR="00CA342A" w:rsidRPr="00673903" w:rsidRDefault="00CA342A" w:rsidP="00040D26">
            <w:pPr>
              <w:rPr>
                <w:b/>
                <w:sz w:val="22"/>
              </w:rPr>
            </w:pPr>
            <w:r w:rsidRPr="00673903">
              <w:rPr>
                <w:b/>
                <w:sz w:val="22"/>
              </w:rPr>
              <w:t>Monitoraggi esterni</w:t>
            </w:r>
          </w:p>
        </w:tc>
      </w:tr>
      <w:tr w:rsidR="00CA342A" w:rsidRPr="00673903" w:rsidTr="00040D26">
        <w:tc>
          <w:tcPr>
            <w:tcW w:w="3259" w:type="dxa"/>
          </w:tcPr>
          <w:p w:rsidR="00CA342A" w:rsidRPr="00673903" w:rsidRDefault="00CA342A" w:rsidP="00040D26">
            <w:pPr>
              <w:rPr>
                <w:sz w:val="22"/>
              </w:rPr>
            </w:pPr>
            <w:r w:rsidRPr="00673903">
              <w:rPr>
                <w:sz w:val="22"/>
              </w:rPr>
              <w:t>Acqua in uscita dall'Impianto di Trattamento Acque Reflue (</w:t>
            </w:r>
            <w:proofErr w:type="spellStart"/>
            <w:r w:rsidRPr="00673903">
              <w:rPr>
                <w:sz w:val="22"/>
              </w:rPr>
              <w:t>TARef</w:t>
            </w:r>
            <w:proofErr w:type="spellEnd"/>
            <w:r w:rsidRPr="00673903">
              <w:rPr>
                <w:sz w:val="22"/>
              </w:rPr>
              <w:t>)</w:t>
            </w:r>
          </w:p>
        </w:tc>
        <w:tc>
          <w:tcPr>
            <w:tcW w:w="3259" w:type="dxa"/>
          </w:tcPr>
          <w:p w:rsidR="00CA342A" w:rsidRPr="00673903" w:rsidRDefault="00CA342A" w:rsidP="00040D26">
            <w:pPr>
              <w:rPr>
                <w:sz w:val="22"/>
              </w:rPr>
            </w:pPr>
            <w:r w:rsidRPr="00673903">
              <w:rPr>
                <w:sz w:val="22"/>
              </w:rPr>
              <w:t xml:space="preserve">Monitoraggio in continuo </w:t>
            </w:r>
            <w:proofErr w:type="spellStart"/>
            <w:r w:rsidRPr="00673903">
              <w:rPr>
                <w:sz w:val="22"/>
              </w:rPr>
              <w:t>pH</w:t>
            </w:r>
            <w:proofErr w:type="spellEnd"/>
            <w:r w:rsidRPr="00673903">
              <w:rPr>
                <w:sz w:val="22"/>
              </w:rPr>
              <w:t>, temperatura e torbidità Analisi settimanali svolte dal laboratorio interno.</w:t>
            </w:r>
          </w:p>
        </w:tc>
        <w:tc>
          <w:tcPr>
            <w:tcW w:w="3260" w:type="dxa"/>
          </w:tcPr>
          <w:p w:rsidR="00CA342A" w:rsidRPr="00673903" w:rsidRDefault="00CA342A" w:rsidP="00040D26">
            <w:pPr>
              <w:rPr>
                <w:sz w:val="22"/>
              </w:rPr>
            </w:pPr>
            <w:r w:rsidRPr="00673903">
              <w:rPr>
                <w:sz w:val="22"/>
              </w:rPr>
              <w:t>Analisi svolte da un laboratorio:</w:t>
            </w:r>
          </w:p>
          <w:p w:rsidR="00CA342A" w:rsidRPr="00673903" w:rsidRDefault="00CA342A" w:rsidP="00040D26">
            <w:pPr>
              <w:rPr>
                <w:sz w:val="22"/>
              </w:rPr>
            </w:pPr>
            <w:proofErr w:type="spellStart"/>
            <w:r w:rsidRPr="00673903">
              <w:rPr>
                <w:sz w:val="22"/>
              </w:rPr>
              <w:t>ca</w:t>
            </w:r>
            <w:proofErr w:type="spellEnd"/>
            <w:r w:rsidRPr="00673903">
              <w:rPr>
                <w:sz w:val="22"/>
              </w:rPr>
              <w:t>. 5'000 CHF Incarico diretto.</w:t>
            </w:r>
          </w:p>
        </w:tc>
      </w:tr>
    </w:tbl>
    <w:p w:rsidR="00CA342A" w:rsidRPr="00673903" w:rsidRDefault="00CA342A" w:rsidP="00CA342A">
      <w:pPr>
        <w:rPr>
          <w:sz w:val="22"/>
        </w:rPr>
      </w:pPr>
    </w:p>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b/>
                <w:sz w:val="22"/>
              </w:rPr>
            </w:pPr>
            <w:r w:rsidRPr="00673903">
              <w:rPr>
                <w:b/>
                <w:sz w:val="22"/>
              </w:rPr>
              <w:t>Discarica di Valle della Motta</w:t>
            </w:r>
          </w:p>
        </w:tc>
        <w:tc>
          <w:tcPr>
            <w:tcW w:w="3259" w:type="dxa"/>
          </w:tcPr>
          <w:p w:rsidR="00CA342A" w:rsidRPr="00673903" w:rsidRDefault="00CA342A" w:rsidP="00040D26">
            <w:pPr>
              <w:rPr>
                <w:sz w:val="22"/>
              </w:rPr>
            </w:pPr>
            <w:r w:rsidRPr="00673903">
              <w:rPr>
                <w:b/>
                <w:sz w:val="22"/>
              </w:rPr>
              <w:t>Monitoraggi interni</w:t>
            </w:r>
          </w:p>
        </w:tc>
        <w:tc>
          <w:tcPr>
            <w:tcW w:w="3260" w:type="dxa"/>
          </w:tcPr>
          <w:p w:rsidR="00CA342A" w:rsidRPr="00673903" w:rsidRDefault="00CA342A" w:rsidP="00040D26">
            <w:pPr>
              <w:rPr>
                <w:sz w:val="22"/>
              </w:rPr>
            </w:pPr>
            <w:r w:rsidRPr="00673903">
              <w:rPr>
                <w:b/>
                <w:sz w:val="22"/>
              </w:rPr>
              <w:t>Monitoraggi esterni</w:t>
            </w:r>
          </w:p>
        </w:tc>
      </w:tr>
      <w:tr w:rsidR="00CA342A" w:rsidRPr="00673903" w:rsidTr="00040D26">
        <w:tc>
          <w:tcPr>
            <w:tcW w:w="3259" w:type="dxa"/>
          </w:tcPr>
          <w:p w:rsidR="00CA342A" w:rsidRPr="00673903" w:rsidRDefault="00CA342A" w:rsidP="00040D26">
            <w:pPr>
              <w:rPr>
                <w:sz w:val="22"/>
              </w:rPr>
            </w:pPr>
            <w:r w:rsidRPr="00673903">
              <w:rPr>
                <w:sz w:val="22"/>
              </w:rPr>
              <w:t>Acqua</w:t>
            </w:r>
          </w:p>
          <w:p w:rsidR="00CA342A" w:rsidRPr="00673903" w:rsidRDefault="00CA342A" w:rsidP="00040D26">
            <w:pPr>
              <w:rPr>
                <w:sz w:val="22"/>
              </w:rPr>
            </w:pPr>
            <w:r w:rsidRPr="00673903">
              <w:rPr>
                <w:sz w:val="22"/>
              </w:rPr>
              <w:t>Monitoraggio qualità percolato immesso in canalizzazione</w:t>
            </w:r>
          </w:p>
        </w:tc>
        <w:tc>
          <w:tcPr>
            <w:tcW w:w="3259" w:type="dxa"/>
          </w:tcPr>
          <w:p w:rsidR="00CA342A" w:rsidRPr="00673903" w:rsidRDefault="00CA342A" w:rsidP="00040D26">
            <w:pPr>
              <w:rPr>
                <w:sz w:val="22"/>
              </w:rPr>
            </w:pPr>
            <w:r w:rsidRPr="00673903">
              <w:rPr>
                <w:sz w:val="22"/>
              </w:rPr>
              <w:t>Analisi regolari svolte dal laboratorio interno.</w:t>
            </w:r>
          </w:p>
        </w:tc>
        <w:tc>
          <w:tcPr>
            <w:tcW w:w="3260" w:type="dxa"/>
          </w:tcPr>
          <w:p w:rsidR="00CA342A" w:rsidRPr="00673903" w:rsidRDefault="00CA342A" w:rsidP="00040D26">
            <w:pPr>
              <w:rPr>
                <w:sz w:val="22"/>
              </w:rPr>
            </w:pPr>
          </w:p>
        </w:tc>
      </w:tr>
      <w:tr w:rsidR="00CA342A" w:rsidRPr="00673903" w:rsidTr="00040D26">
        <w:tc>
          <w:tcPr>
            <w:tcW w:w="3259" w:type="dxa"/>
          </w:tcPr>
          <w:p w:rsidR="00CA342A" w:rsidRPr="00673903" w:rsidRDefault="00CA342A" w:rsidP="00040D26">
            <w:pPr>
              <w:rPr>
                <w:sz w:val="22"/>
              </w:rPr>
            </w:pPr>
            <w:r w:rsidRPr="00673903">
              <w:rPr>
                <w:sz w:val="22"/>
              </w:rPr>
              <w:t>Aria</w:t>
            </w:r>
          </w:p>
          <w:p w:rsidR="00CA342A" w:rsidRPr="00673903" w:rsidRDefault="00CA342A" w:rsidP="00040D26">
            <w:pPr>
              <w:rPr>
                <w:sz w:val="22"/>
              </w:rPr>
            </w:pPr>
            <w:r w:rsidRPr="00673903">
              <w:rPr>
                <w:sz w:val="22"/>
              </w:rPr>
              <w:t>Monitoraggio emissioni biogas dalla torcia</w:t>
            </w:r>
          </w:p>
        </w:tc>
        <w:tc>
          <w:tcPr>
            <w:tcW w:w="3259" w:type="dxa"/>
          </w:tcPr>
          <w:p w:rsidR="00CA342A" w:rsidRPr="00673903" w:rsidRDefault="00CA342A" w:rsidP="00040D26">
            <w:pPr>
              <w:rPr>
                <w:sz w:val="22"/>
              </w:rPr>
            </w:pPr>
            <w:r w:rsidRPr="00673903">
              <w:rPr>
                <w:sz w:val="22"/>
              </w:rPr>
              <w:t>Analitica predisposta nella torcia e analisi dal personale ACR.</w:t>
            </w:r>
          </w:p>
        </w:tc>
        <w:tc>
          <w:tcPr>
            <w:tcW w:w="3260" w:type="dxa"/>
          </w:tcPr>
          <w:p w:rsidR="00CA342A" w:rsidRPr="00673903" w:rsidRDefault="00CA342A" w:rsidP="00040D26">
            <w:pPr>
              <w:rPr>
                <w:sz w:val="22"/>
              </w:rPr>
            </w:pPr>
          </w:p>
        </w:tc>
      </w:tr>
    </w:tbl>
    <w:p w:rsidR="00CA342A" w:rsidRPr="00673903" w:rsidRDefault="00CA342A" w:rsidP="00CA342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3275"/>
        <w:gridCol w:w="3270"/>
      </w:tblGrid>
      <w:tr w:rsidR="00CA342A" w:rsidRPr="00673903" w:rsidTr="00040D26">
        <w:trPr>
          <w:trHeight w:val="151"/>
        </w:trPr>
        <w:tc>
          <w:tcPr>
            <w:tcW w:w="1679" w:type="pct"/>
          </w:tcPr>
          <w:p w:rsidR="00CA342A" w:rsidRPr="00673903" w:rsidRDefault="00CA342A" w:rsidP="00040D26">
            <w:pPr>
              <w:rPr>
                <w:b/>
                <w:sz w:val="22"/>
              </w:rPr>
            </w:pPr>
            <w:r w:rsidRPr="00673903">
              <w:rPr>
                <w:b/>
                <w:sz w:val="22"/>
              </w:rPr>
              <w:t xml:space="preserve">Discarica Pizzante </w:t>
            </w:r>
          </w:p>
        </w:tc>
        <w:tc>
          <w:tcPr>
            <w:tcW w:w="1662" w:type="pct"/>
          </w:tcPr>
          <w:p w:rsidR="00CA342A" w:rsidRPr="00673903" w:rsidRDefault="00CA342A" w:rsidP="00040D26">
            <w:pPr>
              <w:rPr>
                <w:b/>
                <w:sz w:val="22"/>
              </w:rPr>
            </w:pPr>
            <w:r w:rsidRPr="00673903">
              <w:rPr>
                <w:b/>
                <w:sz w:val="22"/>
              </w:rPr>
              <w:t>Monitoraggi interni</w:t>
            </w:r>
          </w:p>
        </w:tc>
        <w:tc>
          <w:tcPr>
            <w:tcW w:w="1659" w:type="pct"/>
          </w:tcPr>
          <w:p w:rsidR="00CA342A" w:rsidRPr="00673903" w:rsidRDefault="00CA342A" w:rsidP="00040D26">
            <w:pPr>
              <w:rPr>
                <w:b/>
                <w:sz w:val="22"/>
              </w:rPr>
            </w:pPr>
            <w:r w:rsidRPr="00673903">
              <w:rPr>
                <w:b/>
                <w:sz w:val="22"/>
              </w:rPr>
              <w:t>Monitoraggi esterni</w:t>
            </w:r>
          </w:p>
        </w:tc>
      </w:tr>
      <w:tr w:rsidR="00CA342A" w:rsidRPr="00673903" w:rsidTr="00040D26">
        <w:trPr>
          <w:trHeight w:val="532"/>
        </w:trPr>
        <w:tc>
          <w:tcPr>
            <w:tcW w:w="1679" w:type="pct"/>
          </w:tcPr>
          <w:p w:rsidR="00CA342A" w:rsidRPr="00673903" w:rsidRDefault="00CA342A" w:rsidP="00040D26">
            <w:pPr>
              <w:rPr>
                <w:sz w:val="22"/>
              </w:rPr>
            </w:pPr>
            <w:r w:rsidRPr="00673903">
              <w:rPr>
                <w:sz w:val="22"/>
              </w:rPr>
              <w:t>Acqua</w:t>
            </w:r>
          </w:p>
          <w:p w:rsidR="00CA342A" w:rsidRPr="00673903" w:rsidRDefault="00CA342A" w:rsidP="00040D26">
            <w:pPr>
              <w:rPr>
                <w:sz w:val="22"/>
              </w:rPr>
            </w:pPr>
            <w:r w:rsidRPr="00673903">
              <w:rPr>
                <w:sz w:val="22"/>
              </w:rPr>
              <w:t xml:space="preserve">Monitoraggio qualità percolato immesso in canalizzazione </w:t>
            </w:r>
          </w:p>
        </w:tc>
        <w:tc>
          <w:tcPr>
            <w:tcW w:w="1662" w:type="pct"/>
          </w:tcPr>
          <w:p w:rsidR="00CA342A" w:rsidRPr="00673903" w:rsidRDefault="00CA342A" w:rsidP="00040D26">
            <w:pPr>
              <w:rPr>
                <w:sz w:val="22"/>
              </w:rPr>
            </w:pPr>
            <w:r w:rsidRPr="00673903">
              <w:rPr>
                <w:sz w:val="22"/>
              </w:rPr>
              <w:t>Analisi regolari svolte dal laboratorio interno.</w:t>
            </w:r>
          </w:p>
        </w:tc>
        <w:tc>
          <w:tcPr>
            <w:tcW w:w="1659" w:type="pct"/>
          </w:tcPr>
          <w:p w:rsidR="00CA342A" w:rsidRPr="00673903" w:rsidRDefault="00CA342A" w:rsidP="00040D26">
            <w:pPr>
              <w:rPr>
                <w:sz w:val="22"/>
              </w:rPr>
            </w:pPr>
            <w:r w:rsidRPr="00673903">
              <w:rPr>
                <w:sz w:val="22"/>
              </w:rPr>
              <w:t xml:space="preserve">Analisi svolta da un </w:t>
            </w:r>
          </w:p>
          <w:p w:rsidR="00CA342A" w:rsidRPr="00673903" w:rsidRDefault="00CA342A" w:rsidP="00040D26">
            <w:pPr>
              <w:rPr>
                <w:sz w:val="22"/>
              </w:rPr>
            </w:pPr>
            <w:r w:rsidRPr="00673903">
              <w:rPr>
                <w:sz w:val="22"/>
              </w:rPr>
              <w:t>Laboratorio.</w:t>
            </w:r>
          </w:p>
          <w:p w:rsidR="00CA342A" w:rsidRPr="00673903" w:rsidRDefault="00CA342A" w:rsidP="00040D26">
            <w:pPr>
              <w:rPr>
                <w:sz w:val="22"/>
              </w:rPr>
            </w:pPr>
            <w:r w:rsidRPr="00673903">
              <w:rPr>
                <w:sz w:val="22"/>
              </w:rPr>
              <w:t>Incarico diretto: 2'000 CHF.</w:t>
            </w:r>
          </w:p>
        </w:tc>
      </w:tr>
      <w:tr w:rsidR="00CA342A" w:rsidRPr="00673903" w:rsidTr="00040D26">
        <w:trPr>
          <w:trHeight w:val="532"/>
        </w:trPr>
        <w:tc>
          <w:tcPr>
            <w:tcW w:w="1679" w:type="pct"/>
          </w:tcPr>
          <w:p w:rsidR="00CA342A" w:rsidRPr="00673903" w:rsidRDefault="00CA342A" w:rsidP="00040D26">
            <w:pPr>
              <w:rPr>
                <w:sz w:val="22"/>
              </w:rPr>
            </w:pPr>
            <w:r w:rsidRPr="00673903">
              <w:rPr>
                <w:sz w:val="22"/>
              </w:rPr>
              <w:t>Aria</w:t>
            </w:r>
          </w:p>
          <w:p w:rsidR="00CA342A" w:rsidRPr="00673903" w:rsidRDefault="00CA342A" w:rsidP="00040D26">
            <w:pPr>
              <w:rPr>
                <w:sz w:val="22"/>
              </w:rPr>
            </w:pPr>
            <w:r w:rsidRPr="00673903">
              <w:rPr>
                <w:sz w:val="22"/>
              </w:rPr>
              <w:t>Monitoraggio emissioni biogas dalla torcia</w:t>
            </w:r>
          </w:p>
        </w:tc>
        <w:tc>
          <w:tcPr>
            <w:tcW w:w="1662" w:type="pct"/>
          </w:tcPr>
          <w:p w:rsidR="00CA342A" w:rsidRPr="00673903" w:rsidRDefault="00CA342A" w:rsidP="00040D26">
            <w:pPr>
              <w:rPr>
                <w:sz w:val="22"/>
              </w:rPr>
            </w:pPr>
            <w:r w:rsidRPr="00673903">
              <w:rPr>
                <w:sz w:val="22"/>
              </w:rPr>
              <w:t>Analitica predisposta nella torcia e analisi dal personale ACR.</w:t>
            </w:r>
          </w:p>
        </w:tc>
        <w:tc>
          <w:tcPr>
            <w:tcW w:w="1659" w:type="pct"/>
          </w:tcPr>
          <w:p w:rsidR="00CA342A" w:rsidRPr="00673903" w:rsidRDefault="00CA342A" w:rsidP="00040D26">
            <w:pPr>
              <w:rPr>
                <w:sz w:val="22"/>
              </w:rPr>
            </w:pPr>
          </w:p>
        </w:tc>
      </w:tr>
      <w:tr w:rsidR="00CA342A" w:rsidRPr="00673903" w:rsidTr="00040D26">
        <w:trPr>
          <w:trHeight w:val="532"/>
        </w:trPr>
        <w:tc>
          <w:tcPr>
            <w:tcW w:w="1679" w:type="pct"/>
          </w:tcPr>
          <w:p w:rsidR="00CA342A" w:rsidRPr="00673903" w:rsidRDefault="00CA342A" w:rsidP="00040D26">
            <w:pPr>
              <w:rPr>
                <w:sz w:val="22"/>
              </w:rPr>
            </w:pPr>
            <w:r w:rsidRPr="00673903">
              <w:rPr>
                <w:sz w:val="22"/>
              </w:rPr>
              <w:t xml:space="preserve">Monitoraggio </w:t>
            </w:r>
            <w:proofErr w:type="spellStart"/>
            <w:r w:rsidRPr="00673903">
              <w:rPr>
                <w:sz w:val="22"/>
              </w:rPr>
              <w:t>OSiti</w:t>
            </w:r>
            <w:proofErr w:type="spellEnd"/>
          </w:p>
        </w:tc>
        <w:tc>
          <w:tcPr>
            <w:tcW w:w="1662" w:type="pct"/>
          </w:tcPr>
          <w:p w:rsidR="00CA342A" w:rsidRPr="00673903" w:rsidRDefault="00CA342A" w:rsidP="00040D26">
            <w:pPr>
              <w:rPr>
                <w:sz w:val="22"/>
              </w:rPr>
            </w:pPr>
          </w:p>
        </w:tc>
        <w:tc>
          <w:tcPr>
            <w:tcW w:w="1659" w:type="pct"/>
          </w:tcPr>
          <w:p w:rsidR="00CA342A" w:rsidRPr="00673903" w:rsidRDefault="00CA342A" w:rsidP="00040D26">
            <w:pPr>
              <w:rPr>
                <w:sz w:val="22"/>
              </w:rPr>
            </w:pPr>
            <w:r w:rsidRPr="00673903">
              <w:rPr>
                <w:sz w:val="22"/>
              </w:rPr>
              <w:t xml:space="preserve">Consulente esterno 9'000 CHF </w:t>
            </w:r>
          </w:p>
          <w:p w:rsidR="00CA342A" w:rsidRPr="00673903" w:rsidRDefault="00CA342A" w:rsidP="00040D26">
            <w:pPr>
              <w:rPr>
                <w:sz w:val="22"/>
              </w:rPr>
            </w:pPr>
            <w:r w:rsidRPr="00673903">
              <w:rPr>
                <w:sz w:val="22"/>
              </w:rPr>
              <w:t>Analisi di laboratorio: 20'000 CHF</w:t>
            </w:r>
          </w:p>
          <w:p w:rsidR="00CA342A" w:rsidRPr="00673903" w:rsidRDefault="00CA342A" w:rsidP="00040D26">
            <w:pPr>
              <w:rPr>
                <w:sz w:val="22"/>
              </w:rPr>
            </w:pPr>
            <w:r w:rsidRPr="00673903">
              <w:rPr>
                <w:sz w:val="22"/>
              </w:rPr>
              <w:t>Incarico diretto</w:t>
            </w:r>
          </w:p>
        </w:tc>
      </w:tr>
    </w:tbl>
    <w:p w:rsidR="00CA342A" w:rsidRPr="00673903" w:rsidRDefault="00CA342A" w:rsidP="00CA342A">
      <w:pPr>
        <w:rPr>
          <w:sz w:val="22"/>
        </w:rPr>
      </w:pPr>
    </w:p>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sz w:val="22"/>
              </w:rPr>
            </w:pPr>
            <w:r w:rsidRPr="00673903">
              <w:rPr>
                <w:b/>
                <w:bCs/>
                <w:sz w:val="22"/>
              </w:rPr>
              <w:t>Discarica Casate</w:t>
            </w:r>
          </w:p>
        </w:tc>
        <w:tc>
          <w:tcPr>
            <w:tcW w:w="3259" w:type="dxa"/>
          </w:tcPr>
          <w:p w:rsidR="00CA342A" w:rsidRPr="00673903" w:rsidRDefault="00CA342A" w:rsidP="00040D26">
            <w:pPr>
              <w:rPr>
                <w:sz w:val="22"/>
              </w:rPr>
            </w:pPr>
            <w:r w:rsidRPr="00673903">
              <w:rPr>
                <w:b/>
                <w:sz w:val="22"/>
              </w:rPr>
              <w:t>Monitoraggi interni</w:t>
            </w:r>
          </w:p>
        </w:tc>
        <w:tc>
          <w:tcPr>
            <w:tcW w:w="3260" w:type="dxa"/>
          </w:tcPr>
          <w:p w:rsidR="00CA342A" w:rsidRPr="00673903" w:rsidRDefault="00CA342A" w:rsidP="00040D26">
            <w:pPr>
              <w:rPr>
                <w:sz w:val="22"/>
              </w:rPr>
            </w:pPr>
            <w:r w:rsidRPr="00673903">
              <w:rPr>
                <w:b/>
                <w:sz w:val="22"/>
              </w:rPr>
              <w:t>Monitoraggi esterni</w:t>
            </w:r>
          </w:p>
        </w:tc>
      </w:tr>
      <w:tr w:rsidR="00CA342A" w:rsidRPr="00673903" w:rsidTr="00040D26">
        <w:tc>
          <w:tcPr>
            <w:tcW w:w="3259" w:type="dxa"/>
          </w:tcPr>
          <w:p w:rsidR="00CA342A" w:rsidRPr="00673903" w:rsidRDefault="00CA342A" w:rsidP="00040D26">
            <w:pPr>
              <w:rPr>
                <w:sz w:val="22"/>
              </w:rPr>
            </w:pPr>
            <w:r w:rsidRPr="00673903">
              <w:rPr>
                <w:sz w:val="22"/>
              </w:rPr>
              <w:t>Aria</w:t>
            </w:r>
          </w:p>
          <w:p w:rsidR="00CA342A" w:rsidRPr="00673903" w:rsidRDefault="00CA342A" w:rsidP="00040D26">
            <w:pPr>
              <w:rPr>
                <w:sz w:val="22"/>
              </w:rPr>
            </w:pPr>
            <w:r w:rsidRPr="00673903">
              <w:rPr>
                <w:sz w:val="22"/>
              </w:rPr>
              <w:t>Monitoraggio emissioni biogas dalla soffiante</w:t>
            </w:r>
          </w:p>
        </w:tc>
        <w:tc>
          <w:tcPr>
            <w:tcW w:w="3259" w:type="dxa"/>
          </w:tcPr>
          <w:p w:rsidR="00CA342A" w:rsidRPr="00673903" w:rsidRDefault="00CA342A" w:rsidP="00040D26">
            <w:pPr>
              <w:rPr>
                <w:sz w:val="22"/>
              </w:rPr>
            </w:pPr>
            <w:r w:rsidRPr="00673903">
              <w:rPr>
                <w:sz w:val="22"/>
              </w:rPr>
              <w:t>Misure regolari svolte dal personale ACR</w:t>
            </w:r>
          </w:p>
        </w:tc>
        <w:tc>
          <w:tcPr>
            <w:tcW w:w="3260" w:type="dxa"/>
          </w:tcPr>
          <w:p w:rsidR="00CA342A" w:rsidRPr="00673903" w:rsidRDefault="00CA342A" w:rsidP="00040D26">
            <w:pPr>
              <w:rPr>
                <w:sz w:val="22"/>
              </w:rPr>
            </w:pPr>
          </w:p>
        </w:tc>
      </w:tr>
      <w:tr w:rsidR="00CA342A" w:rsidRPr="00673903" w:rsidTr="00040D26">
        <w:tc>
          <w:tcPr>
            <w:tcW w:w="3259" w:type="dxa"/>
          </w:tcPr>
          <w:p w:rsidR="00CA342A" w:rsidRPr="00673903" w:rsidRDefault="00CA342A" w:rsidP="00040D26">
            <w:pPr>
              <w:rPr>
                <w:sz w:val="22"/>
              </w:rPr>
            </w:pPr>
            <w:r w:rsidRPr="00673903">
              <w:rPr>
                <w:sz w:val="22"/>
              </w:rPr>
              <w:t xml:space="preserve">Monitoraggio </w:t>
            </w:r>
            <w:proofErr w:type="spellStart"/>
            <w:r w:rsidRPr="00673903">
              <w:rPr>
                <w:sz w:val="22"/>
              </w:rPr>
              <w:t>OSiti</w:t>
            </w:r>
            <w:proofErr w:type="spellEnd"/>
          </w:p>
        </w:tc>
        <w:tc>
          <w:tcPr>
            <w:tcW w:w="3259" w:type="dxa"/>
          </w:tcPr>
          <w:p w:rsidR="00CA342A" w:rsidRPr="00673903" w:rsidRDefault="00CA342A" w:rsidP="00040D26">
            <w:pPr>
              <w:rPr>
                <w:sz w:val="22"/>
              </w:rPr>
            </w:pPr>
          </w:p>
        </w:tc>
        <w:tc>
          <w:tcPr>
            <w:tcW w:w="3260" w:type="dxa"/>
          </w:tcPr>
          <w:p w:rsidR="00CA342A" w:rsidRPr="00673903" w:rsidRDefault="00CA342A" w:rsidP="00040D26">
            <w:pPr>
              <w:rPr>
                <w:sz w:val="22"/>
              </w:rPr>
            </w:pPr>
            <w:r w:rsidRPr="00673903">
              <w:rPr>
                <w:sz w:val="22"/>
              </w:rPr>
              <w:t>Consulente:</w:t>
            </w:r>
          </w:p>
          <w:p w:rsidR="00CA342A" w:rsidRPr="00673903" w:rsidRDefault="00CA342A" w:rsidP="00040D26">
            <w:pPr>
              <w:rPr>
                <w:sz w:val="22"/>
              </w:rPr>
            </w:pPr>
            <w:r w:rsidRPr="00673903">
              <w:rPr>
                <w:sz w:val="22"/>
              </w:rPr>
              <w:t>12'000 CHF</w:t>
            </w:r>
          </w:p>
          <w:p w:rsidR="00CA342A" w:rsidRPr="00673903" w:rsidRDefault="00CA342A" w:rsidP="00040D26">
            <w:pPr>
              <w:rPr>
                <w:sz w:val="22"/>
              </w:rPr>
            </w:pPr>
            <w:r w:rsidRPr="00673903">
              <w:rPr>
                <w:sz w:val="22"/>
              </w:rPr>
              <w:t>Analisi di laboratorio:</w:t>
            </w:r>
          </w:p>
          <w:p w:rsidR="00CA342A" w:rsidRPr="00673903" w:rsidRDefault="00CA342A" w:rsidP="00040D26">
            <w:pPr>
              <w:rPr>
                <w:sz w:val="22"/>
              </w:rPr>
            </w:pPr>
            <w:r w:rsidRPr="00673903">
              <w:rPr>
                <w:sz w:val="22"/>
              </w:rPr>
              <w:t>18'000 CHF</w:t>
            </w:r>
          </w:p>
          <w:p w:rsidR="00CA342A" w:rsidRPr="00673903" w:rsidRDefault="00CA342A" w:rsidP="00040D26">
            <w:pPr>
              <w:rPr>
                <w:sz w:val="22"/>
              </w:rPr>
            </w:pPr>
            <w:r w:rsidRPr="00673903">
              <w:rPr>
                <w:sz w:val="22"/>
              </w:rPr>
              <w:t>Incarico diretto</w:t>
            </w:r>
          </w:p>
        </w:tc>
      </w:tr>
    </w:tbl>
    <w:p w:rsidR="00CA342A" w:rsidRPr="00673903" w:rsidRDefault="00CA342A" w:rsidP="00CA342A">
      <w:pPr>
        <w:rPr>
          <w:sz w:val="22"/>
        </w:rPr>
      </w:pPr>
    </w:p>
    <w:p w:rsidR="00B70B1A" w:rsidRDefault="00B70B1A">
      <w:r>
        <w:br w:type="page"/>
      </w:r>
    </w:p>
    <w:tbl>
      <w:tblPr>
        <w:tblStyle w:val="Grigliatabella"/>
        <w:tblW w:w="0" w:type="auto"/>
        <w:tblLook w:val="04A0" w:firstRow="1" w:lastRow="0" w:firstColumn="1" w:lastColumn="0" w:noHBand="0" w:noVBand="1"/>
      </w:tblPr>
      <w:tblGrid>
        <w:gridCol w:w="3259"/>
        <w:gridCol w:w="3259"/>
        <w:gridCol w:w="3260"/>
      </w:tblGrid>
      <w:tr w:rsidR="00CA342A" w:rsidRPr="00673903" w:rsidTr="00040D26">
        <w:tc>
          <w:tcPr>
            <w:tcW w:w="3259" w:type="dxa"/>
          </w:tcPr>
          <w:p w:rsidR="00CA342A" w:rsidRPr="00673903" w:rsidRDefault="00CA342A" w:rsidP="00040D26">
            <w:pPr>
              <w:rPr>
                <w:sz w:val="22"/>
              </w:rPr>
            </w:pPr>
            <w:r w:rsidRPr="00673903">
              <w:rPr>
                <w:b/>
                <w:bCs/>
                <w:sz w:val="22"/>
              </w:rPr>
              <w:lastRenderedPageBreak/>
              <w:t xml:space="preserve">Discarica </w:t>
            </w:r>
            <w:proofErr w:type="spellStart"/>
            <w:r w:rsidRPr="00673903">
              <w:rPr>
                <w:b/>
                <w:bCs/>
                <w:sz w:val="22"/>
              </w:rPr>
              <w:t>Croglio</w:t>
            </w:r>
            <w:proofErr w:type="spellEnd"/>
          </w:p>
        </w:tc>
        <w:tc>
          <w:tcPr>
            <w:tcW w:w="3259" w:type="dxa"/>
          </w:tcPr>
          <w:p w:rsidR="00CA342A" w:rsidRPr="00673903" w:rsidRDefault="00CA342A" w:rsidP="00040D26">
            <w:pPr>
              <w:rPr>
                <w:sz w:val="22"/>
              </w:rPr>
            </w:pPr>
            <w:r w:rsidRPr="00673903">
              <w:rPr>
                <w:b/>
                <w:sz w:val="22"/>
              </w:rPr>
              <w:t>Monitoraggi interni</w:t>
            </w:r>
          </w:p>
        </w:tc>
        <w:tc>
          <w:tcPr>
            <w:tcW w:w="3260" w:type="dxa"/>
          </w:tcPr>
          <w:p w:rsidR="00CA342A" w:rsidRPr="00673903" w:rsidRDefault="00CA342A" w:rsidP="00040D26">
            <w:pPr>
              <w:rPr>
                <w:sz w:val="22"/>
              </w:rPr>
            </w:pPr>
            <w:r w:rsidRPr="00673903">
              <w:rPr>
                <w:b/>
                <w:sz w:val="22"/>
              </w:rPr>
              <w:t>Monitoraggi esterni</w:t>
            </w:r>
          </w:p>
        </w:tc>
      </w:tr>
      <w:tr w:rsidR="00CA342A" w:rsidRPr="00673903" w:rsidTr="00040D26">
        <w:tc>
          <w:tcPr>
            <w:tcW w:w="3259" w:type="dxa"/>
          </w:tcPr>
          <w:p w:rsidR="00CA342A" w:rsidRPr="00673903" w:rsidRDefault="00CA342A" w:rsidP="00040D26">
            <w:pPr>
              <w:rPr>
                <w:sz w:val="22"/>
              </w:rPr>
            </w:pPr>
            <w:r w:rsidRPr="00673903">
              <w:rPr>
                <w:sz w:val="22"/>
              </w:rPr>
              <w:t>Aria</w:t>
            </w:r>
          </w:p>
          <w:p w:rsidR="00CA342A" w:rsidRPr="00673903" w:rsidRDefault="00CA342A" w:rsidP="00040D26">
            <w:pPr>
              <w:rPr>
                <w:sz w:val="22"/>
              </w:rPr>
            </w:pPr>
            <w:r w:rsidRPr="00673903">
              <w:rPr>
                <w:sz w:val="22"/>
              </w:rPr>
              <w:t>Monitoraggio emissioni biogas dalla soffiante/torcia</w:t>
            </w:r>
          </w:p>
        </w:tc>
        <w:tc>
          <w:tcPr>
            <w:tcW w:w="3259" w:type="dxa"/>
          </w:tcPr>
          <w:p w:rsidR="00CA342A" w:rsidRPr="00673903" w:rsidRDefault="00CA342A" w:rsidP="00040D26">
            <w:pPr>
              <w:rPr>
                <w:sz w:val="22"/>
              </w:rPr>
            </w:pPr>
            <w:r w:rsidRPr="00673903">
              <w:rPr>
                <w:sz w:val="22"/>
              </w:rPr>
              <w:t>Analitica predisposta nella torcia e analisi dal personale ACR.</w:t>
            </w:r>
          </w:p>
        </w:tc>
        <w:tc>
          <w:tcPr>
            <w:tcW w:w="3260" w:type="dxa"/>
          </w:tcPr>
          <w:p w:rsidR="00CA342A" w:rsidRPr="00673903" w:rsidRDefault="00CA342A" w:rsidP="00040D26">
            <w:pPr>
              <w:rPr>
                <w:sz w:val="22"/>
              </w:rPr>
            </w:pPr>
          </w:p>
        </w:tc>
      </w:tr>
      <w:tr w:rsidR="00CA342A" w:rsidRPr="00673903" w:rsidTr="00040D26">
        <w:tc>
          <w:tcPr>
            <w:tcW w:w="3259" w:type="dxa"/>
          </w:tcPr>
          <w:p w:rsidR="00CA342A" w:rsidRPr="00673903" w:rsidRDefault="00CA342A" w:rsidP="00040D26">
            <w:pPr>
              <w:rPr>
                <w:sz w:val="22"/>
              </w:rPr>
            </w:pPr>
          </w:p>
        </w:tc>
        <w:tc>
          <w:tcPr>
            <w:tcW w:w="3259" w:type="dxa"/>
          </w:tcPr>
          <w:p w:rsidR="00CA342A" w:rsidRPr="00673903" w:rsidRDefault="00CA342A" w:rsidP="00040D26">
            <w:pPr>
              <w:rPr>
                <w:sz w:val="22"/>
              </w:rPr>
            </w:pPr>
          </w:p>
        </w:tc>
        <w:tc>
          <w:tcPr>
            <w:tcW w:w="3260" w:type="dxa"/>
          </w:tcPr>
          <w:p w:rsidR="00CA342A" w:rsidRPr="00673903" w:rsidRDefault="00CA342A" w:rsidP="00040D26">
            <w:pPr>
              <w:rPr>
                <w:sz w:val="22"/>
              </w:rPr>
            </w:pPr>
            <w:r w:rsidRPr="00673903">
              <w:rPr>
                <w:sz w:val="22"/>
              </w:rPr>
              <w:t>Consulente:</w:t>
            </w:r>
          </w:p>
          <w:p w:rsidR="00CA342A" w:rsidRPr="00673903" w:rsidRDefault="00CA342A" w:rsidP="00040D26">
            <w:pPr>
              <w:rPr>
                <w:sz w:val="22"/>
              </w:rPr>
            </w:pPr>
            <w:proofErr w:type="spellStart"/>
            <w:r w:rsidRPr="00673903">
              <w:rPr>
                <w:sz w:val="22"/>
              </w:rPr>
              <w:t>ca</w:t>
            </w:r>
            <w:proofErr w:type="spellEnd"/>
            <w:r w:rsidRPr="00673903">
              <w:rPr>
                <w:sz w:val="22"/>
              </w:rPr>
              <w:t>. 6'500 CHF</w:t>
            </w:r>
          </w:p>
          <w:p w:rsidR="00CA342A" w:rsidRPr="00673903" w:rsidRDefault="00CA342A" w:rsidP="00040D26">
            <w:pPr>
              <w:rPr>
                <w:sz w:val="22"/>
              </w:rPr>
            </w:pPr>
            <w:r w:rsidRPr="00673903">
              <w:rPr>
                <w:sz w:val="22"/>
              </w:rPr>
              <w:t xml:space="preserve">Analisi di laboratorio: </w:t>
            </w:r>
            <w:proofErr w:type="spellStart"/>
            <w:r w:rsidRPr="00673903">
              <w:rPr>
                <w:sz w:val="22"/>
              </w:rPr>
              <w:t>ca</w:t>
            </w:r>
            <w:proofErr w:type="spellEnd"/>
            <w:r w:rsidRPr="00673903">
              <w:rPr>
                <w:sz w:val="22"/>
              </w:rPr>
              <w:t>. 5'000 CHF</w:t>
            </w:r>
          </w:p>
          <w:p w:rsidR="00CA342A" w:rsidRPr="00673903" w:rsidRDefault="00CA342A" w:rsidP="00040D26">
            <w:pPr>
              <w:rPr>
                <w:sz w:val="22"/>
              </w:rPr>
            </w:pPr>
            <w:r w:rsidRPr="00673903">
              <w:rPr>
                <w:sz w:val="22"/>
              </w:rPr>
              <w:t>Incarico diretto</w:t>
            </w:r>
          </w:p>
        </w:tc>
      </w:tr>
    </w:tbl>
    <w:p w:rsidR="00CA342A" w:rsidRDefault="00CA342A" w:rsidP="00CA342A"/>
    <w:p w:rsidR="00CA342A" w:rsidRPr="00C540AC" w:rsidRDefault="00CA342A" w:rsidP="00CA342A"/>
    <w:p w:rsidR="00CA342A" w:rsidRPr="00C540AC" w:rsidRDefault="00CA342A" w:rsidP="00673903">
      <w:pPr>
        <w:pStyle w:val="Titolo2"/>
        <w:ind w:left="567" w:hanging="567"/>
      </w:pPr>
      <w:r>
        <w:t>5.</w:t>
      </w:r>
      <w:r w:rsidRPr="00C540AC">
        <w:t>2</w:t>
      </w:r>
      <w:r>
        <w:tab/>
      </w:r>
      <w:r w:rsidRPr="00C540AC">
        <w:t xml:space="preserve">Il comunicato stampa intitolato "Rifiuti: 10 franchi in meno alla tonnellata" del 4 ottobre 2018 ha annunciato la riduzione della tariffa relativa allo smaltimento rifiuti urbani consegnati dai Comuni da CHF 170 a CHF 160 per il 2019. Questa misura </w:t>
      </w:r>
      <w:r>
        <w:t xml:space="preserve">è </w:t>
      </w:r>
      <w:r w:rsidRPr="00C540AC">
        <w:t xml:space="preserve">stata implementata? </w:t>
      </w:r>
    </w:p>
    <w:p w:rsidR="00CA342A" w:rsidRDefault="00CA342A" w:rsidP="00CA342A">
      <w:r w:rsidRPr="00C540AC">
        <w:t>S</w:t>
      </w:r>
      <w:r>
        <w:t>ì</w:t>
      </w:r>
      <w:r w:rsidRPr="00C540AC">
        <w:t xml:space="preserve">, di conseguenza il CdS ha anche abbassato di 5 centesimi la forchetta applicabile ai sacchi da 35 </w:t>
      </w:r>
      <w:r>
        <w:t>l</w:t>
      </w:r>
      <w:r w:rsidRPr="00C540AC">
        <w:t xml:space="preserve"> dei Comuni (0,95 - 1,25) come pub</w:t>
      </w:r>
      <w:r>
        <w:t>blicato sul FU a novembre 2018.</w:t>
      </w:r>
    </w:p>
    <w:p w:rsidR="00CA342A" w:rsidRDefault="00CA342A" w:rsidP="00CA342A"/>
    <w:p w:rsidR="00673903" w:rsidRPr="00C540AC" w:rsidRDefault="00673903" w:rsidP="00CA342A"/>
    <w:p w:rsidR="00CA342A" w:rsidRPr="00C540AC" w:rsidRDefault="00CA342A" w:rsidP="00673903">
      <w:pPr>
        <w:pStyle w:val="Titolo2"/>
        <w:ind w:left="567" w:hanging="567"/>
      </w:pPr>
      <w:r>
        <w:t>5.</w:t>
      </w:r>
      <w:r w:rsidR="00673903">
        <w:t>3</w:t>
      </w:r>
      <w:r>
        <w:tab/>
      </w:r>
      <w:r w:rsidRPr="00C540AC">
        <w:t xml:space="preserve">Ci sono comuni o distretti svantaggiati rispetto al posizionamento a Giubiasco della struttura o per il posizionamento delle </w:t>
      </w:r>
      <w:proofErr w:type="spellStart"/>
      <w:r w:rsidRPr="00C540AC">
        <w:t>sottosedi</w:t>
      </w:r>
      <w:proofErr w:type="spellEnd"/>
      <w:r w:rsidRPr="00C540AC">
        <w:t xml:space="preserve"> oppure questa posizione consente un raggiungimento ragionevole? </w:t>
      </w:r>
    </w:p>
    <w:p w:rsidR="00CA342A" w:rsidRDefault="00CA342A" w:rsidP="00CA342A">
      <w:r w:rsidRPr="00C540AC">
        <w:t xml:space="preserve">A titolo generale, si ritiene che la centralità dell'ubicazione riguardo alla complessa geografia del Cantone Ticino sia un buon compromesso. Il tema dei costi di trasporto dei rifiuti e delle regioni periferiche è stato affrontato nell'ambito dell'istituzione della legge cantonale di applicazione della legge federale sulla protezione dell'ambiente, in particolare nel rapporto di maggioranza 4998/4998 del 10 marzo 2004 relativamente all'art. 15 cpv. 2 </w:t>
      </w:r>
      <w:proofErr w:type="spellStart"/>
      <w:r w:rsidRPr="00C540AC">
        <w:t>lett</w:t>
      </w:r>
      <w:proofErr w:type="spellEnd"/>
      <w:r w:rsidRPr="00C540AC">
        <w:t xml:space="preserve">. e) </w:t>
      </w:r>
      <w:proofErr w:type="spellStart"/>
      <w:r w:rsidRPr="00C540AC">
        <w:t>LALPAmb</w:t>
      </w:r>
      <w:proofErr w:type="spellEnd"/>
      <w:r w:rsidRPr="00C540AC">
        <w:t xml:space="preserve"> (sussidi a favore dei Comuni discosti). Rimandiamo pertanto alle considerazioni ivi espresse.</w:t>
      </w:r>
    </w:p>
    <w:p w:rsidR="00CA342A" w:rsidRDefault="00CA342A" w:rsidP="00CA342A"/>
    <w:p w:rsidR="00CA342A" w:rsidRPr="00490289" w:rsidRDefault="00CA342A" w:rsidP="00CA342A"/>
    <w:p w:rsidR="00CA342A" w:rsidRPr="00490289" w:rsidRDefault="00CA342A" w:rsidP="00673903">
      <w:pPr>
        <w:pStyle w:val="Titolo2"/>
        <w:ind w:left="567" w:hanging="567"/>
      </w:pPr>
      <w:r>
        <w:t>5.</w:t>
      </w:r>
      <w:r w:rsidRPr="00490289">
        <w:t>4</w:t>
      </w:r>
      <w:r>
        <w:tab/>
      </w:r>
      <w:r w:rsidRPr="00490289">
        <w:t xml:space="preserve">L'ACR riversa al cantone 2 milioni di utile sulla base di una decisione parlamentare. Questa misura è ancora giustificata secondo il governo? È possibile una revisione di tale norma? Gli altri enti </w:t>
      </w:r>
      <w:proofErr w:type="spellStart"/>
      <w:r w:rsidRPr="00490289">
        <w:t>parapubblici</w:t>
      </w:r>
      <w:proofErr w:type="spellEnd"/>
      <w:r w:rsidRPr="00490289">
        <w:t xml:space="preserve"> cantonali versano in proporzione </w:t>
      </w:r>
      <w:r>
        <w:t>altrettanto?</w:t>
      </w:r>
    </w:p>
    <w:p w:rsidR="00CA342A" w:rsidRDefault="00CA342A" w:rsidP="00CA342A">
      <w:r w:rsidRPr="00490289">
        <w:t>Il contributo dell'ACR al Cantone di 2 Mio CHF, giusta l'art. 14 cpv. 2 della Legge concernente l'istituzione dell'Azienda cantonale dei rifiuti (LACR), è stato introdotto dal Parlamento contestualmente alle misure di risanamento finanziario approvate con il messaggio sul preventivo 2016 (messaggio no. 7121) a compensazione delle condizioni quadro di cui beneficia ACR, quale azienda cantonale. In particolare, il contributo è dovuto per la gestione territoriale dello Stato, nell'ambito della pianificazione cantonale dello smaltimento dei rifiuti e tiene conto dei vantaggi per ACR derivanti dalla sua forma</w:t>
      </w:r>
      <w:r>
        <w:t xml:space="preserve"> </w:t>
      </w:r>
      <w:r w:rsidRPr="00490289">
        <w:t>giuridica di azienda cantonale. Queste motivazioni sono tuttora attuali per cui il contributo versato da ACR rimane giustificato.</w:t>
      </w:r>
    </w:p>
    <w:p w:rsidR="00CA342A" w:rsidRPr="00490289" w:rsidRDefault="00CA342A" w:rsidP="00CA342A"/>
    <w:p w:rsidR="00CA342A" w:rsidRDefault="00CA342A" w:rsidP="00CA342A">
      <w:r w:rsidRPr="00490289">
        <w:t xml:space="preserve">Premesso che una revisione di tale norma sia prerogativa del Parlamento, una sua abolizione o modifica al ribasso comporterebbe una riduzione delle entrate del Cantone previste nel preventivo 2020 e nel piano finanziario. I risultati previsti nei prossimi anni indicano chiaramente che dovrà essere mantenuto un rigore finanziario a seguito dei nuovi compiti che si prospettano. Rivedere al ribasso o annullare misure precedentemente </w:t>
      </w:r>
      <w:r w:rsidRPr="00490289">
        <w:lastRenderedPageBreak/>
        <w:t>approvate dal Parlamento o dal Consiglio di Stato senza motivi oggettivi, risulterebbe quindi poco opportuno.</w:t>
      </w:r>
    </w:p>
    <w:p w:rsidR="00CA342A" w:rsidRPr="00490289" w:rsidRDefault="00CA342A" w:rsidP="00CA342A"/>
    <w:p w:rsidR="00CA342A" w:rsidRDefault="00CA342A" w:rsidP="00CA342A">
      <w:r w:rsidRPr="00490289">
        <w:t xml:space="preserve">Per quanto attiene alla proporzionalità del contributo di ACR rispetto alle altre aziende del </w:t>
      </w:r>
      <w:proofErr w:type="spellStart"/>
      <w:r w:rsidRPr="00490289">
        <w:t>parapubblico</w:t>
      </w:r>
      <w:proofErr w:type="spellEnd"/>
      <w:r w:rsidRPr="00490289">
        <w:t xml:space="preserve"> (EOC, AET, Banca Stato), pur tenuto conto delle diverse modalità e condizioni finanziarie di base, si può ragionevolmente sostenere che il versamento sia equamente commisurato.</w:t>
      </w:r>
    </w:p>
    <w:p w:rsidR="00CA342A" w:rsidRDefault="00CA342A" w:rsidP="00CA342A"/>
    <w:p w:rsidR="00673903" w:rsidRDefault="00673903" w:rsidP="00CA342A"/>
    <w:p w:rsidR="00CA342A" w:rsidRDefault="00CA342A" w:rsidP="00CA342A"/>
    <w:p w:rsidR="00CA342A" w:rsidRPr="00D40B65" w:rsidRDefault="00CA342A" w:rsidP="00673903">
      <w:pPr>
        <w:pStyle w:val="Titolo1"/>
      </w:pPr>
      <w:r w:rsidRPr="00D40B65">
        <w:t>CONSIDERAZIONI FINALI</w:t>
      </w:r>
    </w:p>
    <w:p w:rsidR="00CA342A" w:rsidRPr="00D40B65" w:rsidRDefault="00CA342A" w:rsidP="00CA342A">
      <w:pPr>
        <w:pStyle w:val="Standarduser"/>
        <w:rPr>
          <w:color w:val="000000" w:themeColor="text1"/>
          <w:szCs w:val="24"/>
        </w:rPr>
      </w:pPr>
      <w:r w:rsidRPr="00D40B65">
        <w:rPr>
          <w:color w:val="000000" w:themeColor="text1"/>
          <w:szCs w:val="24"/>
        </w:rPr>
        <w:t>L’Impianto Cantonale di Termovalorizzazione dei Rifiuti (ICTR) ha dimostrato anche nel 2018 la sua affidabilità di funzionamento nel pieno rispetto delle specifiche norme ambientali e delle condizioni poste a livello di licenza edilizia. Durante il 2018 l’impianto ha smaltito 162’968 tonnellate di rifiuti e 17’385 tonnellate di fanghi di depurazione disidratati, lavorando sostanzialmente a pieno regime. L`impatto ambientale, come confermato dalle autorità di controllo, è contenuto. I risultati economici positivi confermano l`ottimo lavoro della Direzione e del Consiglio d`Amministrazione.</w:t>
      </w:r>
    </w:p>
    <w:p w:rsidR="00CA342A" w:rsidRPr="00FE2F76" w:rsidRDefault="00CA342A" w:rsidP="00CA342A">
      <w:pPr>
        <w:pStyle w:val="Standarduser"/>
        <w:rPr>
          <w:szCs w:val="24"/>
        </w:rPr>
      </w:pPr>
    </w:p>
    <w:p w:rsidR="00CA342A" w:rsidRPr="00651D52" w:rsidRDefault="00CA342A" w:rsidP="00CA342A">
      <w:pPr>
        <w:pStyle w:val="Standarduser"/>
        <w:rPr>
          <w:color w:val="000000" w:themeColor="text1"/>
          <w:szCs w:val="24"/>
        </w:rPr>
      </w:pPr>
      <w:r w:rsidRPr="00651D52">
        <w:rPr>
          <w:color w:val="000000" w:themeColor="text1"/>
          <w:szCs w:val="24"/>
        </w:rPr>
        <w:t>Sulla base della documentazione a disposizione, la Commissione gestione e finanze invita il Parlamento ad approvare il messaggio n. 7688 del 10 luglio 2019</w:t>
      </w:r>
      <w:r>
        <w:rPr>
          <w:color w:val="000000" w:themeColor="text1"/>
          <w:szCs w:val="24"/>
        </w:rPr>
        <w:t xml:space="preserve"> ed ad accogliere il DL allegato al medesimo. </w:t>
      </w:r>
    </w:p>
    <w:p w:rsidR="00CA342A" w:rsidRDefault="00CA342A" w:rsidP="00CA342A">
      <w:pPr>
        <w:pStyle w:val="Standarduser"/>
        <w:rPr>
          <w:color w:val="000000" w:themeColor="text1"/>
          <w:szCs w:val="24"/>
        </w:rPr>
      </w:pPr>
    </w:p>
    <w:p w:rsidR="00673903" w:rsidRPr="00651D52" w:rsidRDefault="00673903" w:rsidP="00CA342A">
      <w:pPr>
        <w:pStyle w:val="Standarduser"/>
        <w:rPr>
          <w:color w:val="000000" w:themeColor="text1"/>
          <w:szCs w:val="24"/>
        </w:rPr>
      </w:pPr>
    </w:p>
    <w:p w:rsidR="00CA342A" w:rsidRPr="00651D52" w:rsidRDefault="00CA342A" w:rsidP="00CA342A">
      <w:pPr>
        <w:pStyle w:val="Standarduser"/>
        <w:rPr>
          <w:color w:val="000000" w:themeColor="text1"/>
          <w:szCs w:val="24"/>
        </w:rPr>
      </w:pPr>
    </w:p>
    <w:p w:rsidR="00CA342A" w:rsidRPr="00651D52" w:rsidRDefault="00CA342A" w:rsidP="00CA342A">
      <w:pPr>
        <w:pStyle w:val="Standarduser"/>
        <w:spacing w:after="120"/>
        <w:rPr>
          <w:color w:val="000000" w:themeColor="text1"/>
          <w:szCs w:val="24"/>
        </w:rPr>
      </w:pPr>
      <w:r w:rsidRPr="00651D52">
        <w:rPr>
          <w:color w:val="000000" w:themeColor="text1"/>
          <w:szCs w:val="24"/>
        </w:rPr>
        <w:t>Per la Commissione gestione e finanze:</w:t>
      </w:r>
    </w:p>
    <w:p w:rsidR="00CA342A" w:rsidRPr="00651D52" w:rsidRDefault="00CA342A" w:rsidP="00CA342A">
      <w:pPr>
        <w:pStyle w:val="Standarduser"/>
        <w:rPr>
          <w:color w:val="000000" w:themeColor="text1"/>
        </w:rPr>
      </w:pPr>
      <w:bookmarkStart w:id="4" w:name="OLE_LINK1"/>
      <w:bookmarkStart w:id="5" w:name="OLE_LINK2"/>
      <w:bookmarkEnd w:id="4"/>
      <w:bookmarkEnd w:id="5"/>
      <w:r w:rsidRPr="00651D52">
        <w:rPr>
          <w:color w:val="000000" w:themeColor="text1"/>
        </w:rPr>
        <w:t>Boris Bignasca, relatore</w:t>
      </w:r>
    </w:p>
    <w:p w:rsidR="00673903" w:rsidRDefault="00673903" w:rsidP="00673903">
      <w:pPr>
        <w:rPr>
          <w:rFonts w:cs="Arial"/>
        </w:rPr>
      </w:pPr>
      <w:r>
        <w:rPr>
          <w:rFonts w:cs="Arial"/>
        </w:rPr>
        <w:t xml:space="preserve">Agustoni - Biscossa - Bourgoin - Caprara - </w:t>
      </w:r>
    </w:p>
    <w:p w:rsidR="00673903" w:rsidRDefault="00673903" w:rsidP="00673903">
      <w:pPr>
        <w:rPr>
          <w:rFonts w:cs="Arial"/>
        </w:rPr>
      </w:pPr>
      <w:r>
        <w:rPr>
          <w:rFonts w:cs="Arial"/>
        </w:rPr>
        <w:t xml:space="preserve">Dadò - Durisch - Ferrara - Foletti - Fonio - </w:t>
      </w:r>
    </w:p>
    <w:p w:rsidR="00673903" w:rsidRDefault="00673903" w:rsidP="00673903">
      <w:pPr>
        <w:rPr>
          <w:rFonts w:cs="Arial"/>
        </w:rPr>
      </w:pPr>
      <w:r>
        <w:rPr>
          <w:rFonts w:cs="Arial"/>
        </w:rPr>
        <w:t>Guerra - Pini - Quadranti - Storni</w:t>
      </w:r>
    </w:p>
    <w:bookmarkEnd w:id="1"/>
    <w:p w:rsidR="00CA342A" w:rsidRPr="00BB33EF" w:rsidRDefault="00CA342A" w:rsidP="00CA342A">
      <w:pPr>
        <w:pStyle w:val="Standarduser"/>
      </w:pPr>
    </w:p>
    <w:sectPr w:rsidR="00CA342A" w:rsidRPr="00BB33EF"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57" w:rsidRDefault="00DD4F57" w:rsidP="008E77C6">
      <w:r>
        <w:separator/>
      </w:r>
    </w:p>
  </w:endnote>
  <w:endnote w:type="continuationSeparator" w:id="0">
    <w:p w:rsidR="00DD4F57" w:rsidRDefault="00DD4F5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23B6C" w:rsidRPr="00323B6C">
          <w:rPr>
            <w:noProof/>
            <w:sz w:val="20"/>
            <w:szCs w:val="20"/>
            <w:lang w:val="it-IT"/>
          </w:rPr>
          <w:t>7</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57" w:rsidRDefault="00DD4F57" w:rsidP="008E77C6">
      <w:r>
        <w:separator/>
      </w:r>
    </w:p>
  </w:footnote>
  <w:footnote w:type="continuationSeparator" w:id="0">
    <w:p w:rsidR="00DD4F57" w:rsidRDefault="00DD4F5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BD4460"/>
    <w:multiLevelType w:val="hybridMultilevel"/>
    <w:tmpl w:val="A2C616C4"/>
    <w:lvl w:ilvl="0" w:tplc="CCE65202">
      <w:start w:val="1"/>
      <w:numFmt w:val="decimal"/>
      <w:pStyle w:val="Titolo1"/>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E65A42"/>
    <w:multiLevelType w:val="multilevel"/>
    <w:tmpl w:val="910871A4"/>
    <w:styleLink w:val="WWNum9"/>
    <w:lvl w:ilvl="0">
      <w:start w:val="1"/>
      <w:numFmt w:val="decimal"/>
      <w:lvlText w:val="%1."/>
      <w:lvlJc w:val="left"/>
      <w:pPr>
        <w:ind w:left="720" w:firstLine="0"/>
      </w:pPr>
    </w:lvl>
    <w:lvl w:ilvl="1">
      <w:start w:val="1"/>
      <w:numFmt w:val="lowerLetter"/>
      <w:lvlText w:val="%2."/>
      <w:lvlJc w:val="left"/>
      <w:pPr>
        <w:ind w:left="1080" w:firstLine="0"/>
      </w:pPr>
    </w:lvl>
    <w:lvl w:ilvl="2">
      <w:start w:val="1"/>
      <w:numFmt w:val="lowerRoman"/>
      <w:lvlText w:val="%3."/>
      <w:lvlJc w:val="righ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righ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lowerRoman"/>
      <w:lvlText w:val="%9."/>
      <w:lvlJc w:val="right"/>
      <w:pPr>
        <w:ind w:left="3600" w:firstLine="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FD9738B"/>
    <w:multiLevelType w:val="hybridMultilevel"/>
    <w:tmpl w:val="37F2BAC8"/>
    <w:lvl w:ilvl="0" w:tplc="40EAAA48">
      <w:start w:val="756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1"/>
  </w:num>
  <w:num w:numId="4">
    <w:abstractNumId w:val="1"/>
  </w:num>
  <w:num w:numId="5">
    <w:abstractNumId w:val="4"/>
  </w:num>
  <w:num w:numId="6">
    <w:abstractNumId w:val="0"/>
  </w:num>
  <w:num w:numId="7">
    <w:abstractNumId w:val="10"/>
  </w:num>
  <w:num w:numId="8">
    <w:abstractNumId w:val="2"/>
  </w:num>
  <w:num w:numId="9">
    <w:abstractNumId w:val="7"/>
  </w:num>
  <w:num w:numId="10">
    <w:abstractNumId w:val="5"/>
  </w:num>
  <w:num w:numId="11">
    <w:abstractNumId w:val="3"/>
  </w:num>
  <w:num w:numId="12">
    <w:abstractNumId w:val="9"/>
  </w:num>
  <w:num w:numId="13">
    <w:abstractNumId w:val="9"/>
    <w:lvlOverride w:ilvl="0">
      <w:startOverride w:val="1"/>
      <w:lvl w:ilvl="0">
        <w:start w:val="1"/>
        <w:numFmt w:val="decimal"/>
        <w:lvlText w:val="%1."/>
        <w:lvlJc w:val="left"/>
        <w:pPr>
          <w:ind w:left="720" w:firstLine="0"/>
        </w:pPr>
      </w:lvl>
    </w:lvlOverride>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677DC"/>
    <w:rsid w:val="002E5E40"/>
    <w:rsid w:val="00323B6C"/>
    <w:rsid w:val="0052425A"/>
    <w:rsid w:val="00586A8D"/>
    <w:rsid w:val="00673903"/>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70B1A"/>
    <w:rsid w:val="00B860C2"/>
    <w:rsid w:val="00BC4C95"/>
    <w:rsid w:val="00BD5944"/>
    <w:rsid w:val="00CA342A"/>
    <w:rsid w:val="00CF6858"/>
    <w:rsid w:val="00D377B5"/>
    <w:rsid w:val="00D93B31"/>
    <w:rsid w:val="00DD4F5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73903"/>
    <w:pPr>
      <w:keepNext/>
      <w:widowControl w:val="0"/>
      <w:numPr>
        <w:numId w:val="15"/>
      </w:numPr>
      <w:suppressAutoHyphens/>
      <w:autoSpaceDN w:val="0"/>
      <w:spacing w:after="120"/>
      <w:ind w:left="567" w:hanging="567"/>
      <w:textAlignment w:val="baseline"/>
      <w:outlineLvl w:val="0"/>
    </w:pPr>
    <w:rPr>
      <w:b/>
      <w:caps/>
      <w:szCs w:val="24"/>
      <w:lang w:val="it-IT" w:eastAsia="it-IT"/>
    </w:rPr>
  </w:style>
  <w:style w:type="paragraph" w:styleId="Titolo2">
    <w:name w:val="heading 2"/>
    <w:basedOn w:val="Normale"/>
    <w:next w:val="Normale"/>
    <w:link w:val="Titolo2Carattere"/>
    <w:autoRedefine/>
    <w:qFormat/>
    <w:rsid w:val="00673903"/>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73903"/>
    <w:rPr>
      <w:rFonts w:ascii="Arial" w:hAnsi="Arial"/>
      <w:b/>
      <w:caps/>
      <w:sz w:val="24"/>
      <w:szCs w:val="24"/>
      <w:lang w:val="it-IT" w:eastAsia="it-IT"/>
    </w:rPr>
  </w:style>
  <w:style w:type="character" w:customStyle="1" w:styleId="Titolo2Carattere">
    <w:name w:val="Titolo 2 Carattere"/>
    <w:basedOn w:val="Carpredefinitoparagrafo"/>
    <w:link w:val="Titolo2"/>
    <w:rsid w:val="0067390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Standarduser">
    <w:name w:val="Standard (user)"/>
    <w:rsid w:val="00CA342A"/>
    <w:pPr>
      <w:suppressAutoHyphens/>
      <w:autoSpaceDN w:val="0"/>
      <w:textAlignment w:val="baseline"/>
    </w:pPr>
    <w:rPr>
      <w:rFonts w:ascii="Arial" w:eastAsia="Arial" w:hAnsi="Arial" w:cs="Arial"/>
      <w:sz w:val="24"/>
    </w:rPr>
  </w:style>
  <w:style w:type="numbering" w:customStyle="1" w:styleId="WWNum9">
    <w:name w:val="WWNum9"/>
    <w:basedOn w:val="Nessunelenco"/>
    <w:rsid w:val="00CA342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73903"/>
    <w:pPr>
      <w:keepNext/>
      <w:widowControl w:val="0"/>
      <w:numPr>
        <w:numId w:val="15"/>
      </w:numPr>
      <w:suppressAutoHyphens/>
      <w:autoSpaceDN w:val="0"/>
      <w:spacing w:after="120"/>
      <w:ind w:left="567" w:hanging="567"/>
      <w:textAlignment w:val="baseline"/>
      <w:outlineLvl w:val="0"/>
    </w:pPr>
    <w:rPr>
      <w:b/>
      <w:caps/>
      <w:szCs w:val="24"/>
      <w:lang w:val="it-IT" w:eastAsia="it-IT"/>
    </w:rPr>
  </w:style>
  <w:style w:type="paragraph" w:styleId="Titolo2">
    <w:name w:val="heading 2"/>
    <w:basedOn w:val="Normale"/>
    <w:next w:val="Normale"/>
    <w:link w:val="Titolo2Carattere"/>
    <w:autoRedefine/>
    <w:qFormat/>
    <w:rsid w:val="00673903"/>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73903"/>
    <w:rPr>
      <w:rFonts w:ascii="Arial" w:hAnsi="Arial"/>
      <w:b/>
      <w:caps/>
      <w:sz w:val="24"/>
      <w:szCs w:val="24"/>
      <w:lang w:val="it-IT" w:eastAsia="it-IT"/>
    </w:rPr>
  </w:style>
  <w:style w:type="character" w:customStyle="1" w:styleId="Titolo2Carattere">
    <w:name w:val="Titolo 2 Carattere"/>
    <w:basedOn w:val="Carpredefinitoparagrafo"/>
    <w:link w:val="Titolo2"/>
    <w:rsid w:val="00673903"/>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Standarduser">
    <w:name w:val="Standard (user)"/>
    <w:rsid w:val="00CA342A"/>
    <w:pPr>
      <w:suppressAutoHyphens/>
      <w:autoSpaceDN w:val="0"/>
      <w:textAlignment w:val="baseline"/>
    </w:pPr>
    <w:rPr>
      <w:rFonts w:ascii="Arial" w:eastAsia="Arial" w:hAnsi="Arial" w:cs="Arial"/>
      <w:sz w:val="24"/>
    </w:rPr>
  </w:style>
  <w:style w:type="numbering" w:customStyle="1" w:styleId="WWNum9">
    <w:name w:val="WWNum9"/>
    <w:basedOn w:val="Nessunelenco"/>
    <w:rsid w:val="00CA342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4300-446F-4E8A-B820-B4AB1058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2344</Words>
  <Characters>13365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2019-11-26T14:29:00Z</cp:lastPrinted>
  <dcterms:created xsi:type="dcterms:W3CDTF">2019-11-26T14:15:00Z</dcterms:created>
  <dcterms:modified xsi:type="dcterms:W3CDTF">2019-11-27T11:35:00Z</dcterms:modified>
</cp:coreProperties>
</file>