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E5" w:rsidRPr="005C669B" w:rsidRDefault="001A50F3" w:rsidP="00F242E5">
      <w:pPr>
        <w:tabs>
          <w:tab w:val="left" w:pos="2495"/>
        </w:tabs>
        <w:spacing w:before="80" w:after="40"/>
        <w:rPr>
          <w:rFonts w:ascii="Gill Sans MT" w:hAnsi="Gill Sans MT"/>
          <w:b/>
          <w:sz w:val="56"/>
          <w:szCs w:val="56"/>
        </w:rPr>
      </w:pPr>
      <w:r w:rsidRPr="00270118">
        <w:rPr>
          <w:rFonts w:ascii="Gill Sans MT" w:hAnsi="Gill Sans MT"/>
          <w:b/>
          <w:sz w:val="52"/>
          <w:szCs w:val="52"/>
        </w:rPr>
        <w:t>Rapporto</w:t>
      </w:r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1A50F3" w:rsidRDefault="001A50F3" w:rsidP="00F242E5">
      <w:pPr>
        <w:pStyle w:val="Intestazione"/>
        <w:tabs>
          <w:tab w:val="clear" w:pos="4819"/>
          <w:tab w:val="clear" w:pos="9638"/>
        </w:tabs>
      </w:pPr>
      <w:bookmarkStart w:id="0" w:name="_GoBack"/>
      <w:bookmarkEnd w:id="0"/>
    </w:p>
    <w:p w:rsidR="00F242E5" w:rsidRDefault="00F242E5" w:rsidP="00F242E5">
      <w:pPr>
        <w:pStyle w:val="Intestazione"/>
        <w:tabs>
          <w:tab w:val="clear" w:pos="4819"/>
          <w:tab w:val="clear" w:pos="9638"/>
        </w:tabs>
      </w:pPr>
    </w:p>
    <w:p w:rsidR="00F242E5" w:rsidRDefault="00F242E5" w:rsidP="00F242E5">
      <w:pPr>
        <w:tabs>
          <w:tab w:val="left" w:pos="2098"/>
          <w:tab w:val="left" w:pos="4962"/>
        </w:tabs>
        <w:rPr>
          <w:position w:val="4"/>
        </w:rPr>
      </w:pPr>
      <w:r>
        <w:rPr>
          <w:position w:val="4"/>
          <w:sz w:val="28"/>
        </w:rPr>
        <w:tab/>
      </w:r>
      <w:r w:rsidR="004C3D9A">
        <w:rPr>
          <w:position w:val="4"/>
          <w:sz w:val="28"/>
        </w:rPr>
        <w:t>3 febbraio 2020</w:t>
      </w:r>
      <w:r>
        <w:rPr>
          <w:position w:val="4"/>
          <w:sz w:val="28"/>
        </w:rPr>
        <w:tab/>
      </w:r>
      <w:r w:rsidR="007A30D7">
        <w:rPr>
          <w:position w:val="4"/>
          <w:sz w:val="28"/>
        </w:rPr>
        <w:t>ISTITUZIONI</w:t>
      </w:r>
    </w:p>
    <w:p w:rsidR="00F242E5" w:rsidRDefault="00F242E5" w:rsidP="00F242E5"/>
    <w:p w:rsidR="00F242E5" w:rsidRDefault="00F242E5" w:rsidP="00F242E5"/>
    <w:p w:rsidR="00F242E5" w:rsidRDefault="00F242E5" w:rsidP="00F242E5"/>
    <w:p w:rsidR="007A30D7" w:rsidRPr="006E2487" w:rsidRDefault="007A30D7" w:rsidP="006E2487">
      <w:pPr>
        <w:rPr>
          <w:b/>
          <w:snapToGrid w:val="0"/>
          <w:sz w:val="28"/>
          <w:szCs w:val="28"/>
        </w:rPr>
      </w:pPr>
      <w:r w:rsidRPr="006E2487">
        <w:rPr>
          <w:b/>
          <w:snapToGrid w:val="0"/>
          <w:sz w:val="28"/>
          <w:szCs w:val="28"/>
        </w:rPr>
        <w:t>della Commissione giustizia e diritti</w:t>
      </w:r>
    </w:p>
    <w:p w:rsidR="007A30D7" w:rsidRPr="006E2487" w:rsidRDefault="007A30D7" w:rsidP="006E2487">
      <w:pPr>
        <w:rPr>
          <w:b/>
          <w:sz w:val="28"/>
          <w:szCs w:val="28"/>
        </w:rPr>
      </w:pPr>
      <w:bookmarkStart w:id="1" w:name="_Toc151192545"/>
      <w:bookmarkStart w:id="2" w:name="_Toc151192911"/>
      <w:r w:rsidRPr="006E2487">
        <w:rPr>
          <w:b/>
          <w:sz w:val="28"/>
          <w:szCs w:val="28"/>
        </w:rPr>
        <w:t>sull'iniziativa parlamentare 21 gennaio 20</w:t>
      </w:r>
      <w:r w:rsidR="004C3D9A">
        <w:rPr>
          <w:b/>
          <w:sz w:val="28"/>
          <w:szCs w:val="28"/>
        </w:rPr>
        <w:t>1</w:t>
      </w:r>
      <w:r w:rsidRPr="006E2487">
        <w:rPr>
          <w:b/>
          <w:sz w:val="28"/>
          <w:szCs w:val="28"/>
        </w:rPr>
        <w:t>9 presentata nella forma generica da Nicholas Mar</w:t>
      </w:r>
      <w:r w:rsidR="002432D6">
        <w:rPr>
          <w:b/>
          <w:sz w:val="28"/>
          <w:szCs w:val="28"/>
        </w:rPr>
        <w:t>ioli (ripresa da Omar Balli e Se</w:t>
      </w:r>
      <w:r w:rsidRPr="006E2487">
        <w:rPr>
          <w:b/>
          <w:sz w:val="28"/>
          <w:szCs w:val="28"/>
        </w:rPr>
        <w:t>m</w:t>
      </w:r>
      <w:r w:rsidR="008F1A62">
        <w:rPr>
          <w:b/>
          <w:sz w:val="28"/>
          <w:szCs w:val="28"/>
        </w:rPr>
        <w:t xml:space="preserve"> Genini per il Gruppo Lega dei T</w:t>
      </w:r>
      <w:r w:rsidRPr="006E2487">
        <w:rPr>
          <w:b/>
          <w:sz w:val="28"/>
          <w:szCs w:val="28"/>
        </w:rPr>
        <w:t xml:space="preserve">icinesi) </w:t>
      </w:r>
      <w:r w:rsidR="005807A6">
        <w:rPr>
          <w:b/>
          <w:sz w:val="28"/>
          <w:szCs w:val="28"/>
        </w:rPr>
        <w:t>per la m</w:t>
      </w:r>
      <w:r w:rsidRPr="006E2487">
        <w:rPr>
          <w:b/>
          <w:sz w:val="28"/>
          <w:szCs w:val="28"/>
        </w:rPr>
        <w:t>odifica della Legge sulla cittadinanza ticinese e sull'attinenza comunale (LCCit)</w:t>
      </w:r>
      <w:r w:rsidR="005807A6">
        <w:rPr>
          <w:b/>
          <w:sz w:val="28"/>
          <w:szCs w:val="28"/>
        </w:rPr>
        <w:t xml:space="preserve"> -</w:t>
      </w:r>
      <w:r w:rsidRPr="006E2487">
        <w:rPr>
          <w:b/>
          <w:sz w:val="28"/>
          <w:szCs w:val="28"/>
        </w:rPr>
        <w:t xml:space="preserve"> Inserimento del criterio di rimborso delle prestazioni assistenziali percepite negli ultimi dieci anni</w:t>
      </w:r>
    </w:p>
    <w:p w:rsidR="007A30D7" w:rsidRDefault="007A30D7" w:rsidP="006E2487">
      <w:pPr>
        <w:rPr>
          <w:rFonts w:cs="Arial"/>
        </w:rPr>
      </w:pPr>
    </w:p>
    <w:p w:rsidR="007A30D7" w:rsidRPr="004D78B1" w:rsidRDefault="007A30D7" w:rsidP="006E2487">
      <w:pPr>
        <w:rPr>
          <w:rFonts w:cs="Arial"/>
        </w:rPr>
      </w:pPr>
    </w:p>
    <w:p w:rsidR="007A30D7" w:rsidRDefault="007A30D7" w:rsidP="006E2487">
      <w:pPr>
        <w:rPr>
          <w:rFonts w:cs="Arial"/>
        </w:rPr>
      </w:pPr>
    </w:p>
    <w:bookmarkEnd w:id="1"/>
    <w:bookmarkEnd w:id="2"/>
    <w:p w:rsidR="007A30D7" w:rsidRPr="0011212D" w:rsidRDefault="007A30D7" w:rsidP="002432D6">
      <w:pPr>
        <w:spacing w:after="160"/>
        <w:ind w:left="567" w:right="-1" w:hanging="567"/>
        <w:rPr>
          <w:rFonts w:ascii="Arial Grassetto" w:eastAsia="MS Mincho" w:hAnsi="Arial Grassetto" w:cs="Arial" w:hint="eastAsia"/>
          <w:b/>
          <w:caps/>
        </w:rPr>
      </w:pPr>
      <w:r>
        <w:rPr>
          <w:rFonts w:ascii="Arial Grassetto" w:eastAsia="MS Mincho" w:hAnsi="Arial Grassetto" w:cs="Arial"/>
          <w:b/>
          <w:caps/>
        </w:rPr>
        <w:t>I.</w:t>
      </w:r>
      <w:r>
        <w:rPr>
          <w:rFonts w:ascii="Arial Grassetto" w:eastAsia="MS Mincho" w:hAnsi="Arial Grassetto" w:cs="Arial"/>
          <w:b/>
          <w:caps/>
        </w:rPr>
        <w:tab/>
        <w:t>l'atto parlamentare</w:t>
      </w:r>
    </w:p>
    <w:p w:rsidR="007A30D7" w:rsidRPr="002C2DC9" w:rsidRDefault="007A30D7" w:rsidP="007A30D7">
      <w:pPr>
        <w:tabs>
          <w:tab w:val="left" w:pos="1985"/>
          <w:tab w:val="left" w:pos="4933"/>
        </w:tabs>
        <w:ind w:right="-1"/>
        <w:rPr>
          <w:rFonts w:cs="Arial"/>
        </w:rPr>
      </w:pPr>
      <w:r>
        <w:t xml:space="preserve">Con l’atto parlamentare </w:t>
      </w:r>
      <w:r w:rsidR="002432D6">
        <w:t xml:space="preserve">in oggetto </w:t>
      </w:r>
      <w:r>
        <w:t xml:space="preserve">i deputati del gruppo della Lega dei ticinesi chiedono la modifica della Legge sulla cittadinanza ticinese e </w:t>
      </w:r>
      <w:r w:rsidR="002432D6">
        <w:t>sull’attinenza comunale (LCCit)</w:t>
      </w:r>
      <w:r>
        <w:t xml:space="preserve"> e</w:t>
      </w:r>
      <w:r w:rsidR="002432D6">
        <w:t>,</w:t>
      </w:r>
      <w:r>
        <w:t xml:space="preserve"> in particolare</w:t>
      </w:r>
      <w:r w:rsidR="002432D6">
        <w:t>,</w:t>
      </w:r>
      <w:r>
        <w:t xml:space="preserve"> l’inserimento del criterio di rimborso delle prestazioni assistenziali percepite negli ultimi dieci anni.</w:t>
      </w:r>
    </w:p>
    <w:p w:rsidR="007A30D7" w:rsidRPr="002C2DC9" w:rsidRDefault="007A30D7" w:rsidP="007A30D7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7A30D7" w:rsidRDefault="007A30D7" w:rsidP="007A30D7">
      <w:pPr>
        <w:tabs>
          <w:tab w:val="left" w:pos="1985"/>
          <w:tab w:val="left" w:pos="4933"/>
        </w:tabs>
        <w:ind w:right="-1"/>
        <w:rPr>
          <w:rFonts w:cs="Arial"/>
        </w:rPr>
      </w:pPr>
      <w:r w:rsidRPr="00D34991">
        <w:rPr>
          <w:rFonts w:cs="Arial"/>
        </w:rPr>
        <w:t xml:space="preserve">Il 15 febbraio 2018 sono entrate in vigore le modifiche previste nell’Ordinanza sulla cittadinanza svizzera (OCit), a seguito delle nuove disposizioni della Legge federale </w:t>
      </w:r>
      <w:r>
        <w:rPr>
          <w:rFonts w:cs="Arial"/>
        </w:rPr>
        <w:t>in materia di naturalizzazioni.</w:t>
      </w:r>
    </w:p>
    <w:p w:rsidR="007A30D7" w:rsidRDefault="007A30D7" w:rsidP="007A30D7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7A30D7" w:rsidRPr="00D34991" w:rsidRDefault="007A30D7" w:rsidP="007A30D7">
      <w:pPr>
        <w:tabs>
          <w:tab w:val="left" w:pos="1985"/>
          <w:tab w:val="left" w:pos="4933"/>
        </w:tabs>
        <w:ind w:right="-1"/>
        <w:rPr>
          <w:rFonts w:cs="Arial"/>
        </w:rPr>
      </w:pPr>
      <w:r w:rsidRPr="00D34991">
        <w:rPr>
          <w:rFonts w:cs="Arial"/>
        </w:rPr>
        <w:t>L’art. 7 cpv. 3 recita:</w:t>
      </w:r>
    </w:p>
    <w:p w:rsidR="007A30D7" w:rsidRPr="006E2487" w:rsidRDefault="007A30D7" w:rsidP="007A30D7">
      <w:pPr>
        <w:ind w:left="567" w:right="560"/>
        <w:rPr>
          <w:rFonts w:cs="Arial"/>
          <w:sz w:val="12"/>
          <w:szCs w:val="12"/>
        </w:rPr>
      </w:pPr>
    </w:p>
    <w:p w:rsidR="007A30D7" w:rsidRPr="006E2487" w:rsidRDefault="005807A6" w:rsidP="007A30D7">
      <w:pPr>
        <w:ind w:left="567" w:right="560"/>
        <w:rPr>
          <w:rFonts w:cs="Arial"/>
          <w:b/>
          <w:i/>
          <w:sz w:val="22"/>
        </w:rPr>
      </w:pPr>
      <w:r w:rsidRPr="005807A6">
        <w:rPr>
          <w:rFonts w:cs="Arial"/>
          <w:b/>
          <w:i/>
          <w:sz w:val="22"/>
          <w:vertAlign w:val="superscript"/>
        </w:rPr>
        <w:t>3</w:t>
      </w:r>
      <w:r w:rsidR="007A30D7" w:rsidRPr="006E2487">
        <w:rPr>
          <w:rFonts w:cs="Arial"/>
          <w:b/>
          <w:i/>
          <w:sz w:val="22"/>
        </w:rPr>
        <w:t>Chi nei tre anni immediatamente precedenti la domanda o durante la procedura di naturalizzazione percepisce prestazioni dell’aiuto sociale non soddisfa l’esigenza della partecipazione alla vita economica o dell’acquisizione di una formazione, salvo che le prestazioni dell’aiuto sociale percepite siano interamente restituite.</w:t>
      </w:r>
    </w:p>
    <w:p w:rsidR="007A30D7" w:rsidRPr="00D34991" w:rsidRDefault="007A30D7" w:rsidP="007A30D7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7A30D7" w:rsidRPr="00D34991" w:rsidRDefault="007A30D7" w:rsidP="007A30D7">
      <w:pPr>
        <w:tabs>
          <w:tab w:val="left" w:pos="1985"/>
          <w:tab w:val="left" w:pos="4933"/>
        </w:tabs>
        <w:ind w:right="-1"/>
        <w:rPr>
          <w:rFonts w:cs="Arial"/>
          <w:b/>
        </w:rPr>
      </w:pPr>
      <w:r w:rsidRPr="00D34991">
        <w:rPr>
          <w:rFonts w:cs="Arial"/>
          <w:b/>
        </w:rPr>
        <w:t>I Cantoni hanno la possibilità di prevedere nella propria legge cantonale misure più restrittive.</w:t>
      </w:r>
    </w:p>
    <w:p w:rsidR="007A30D7" w:rsidRPr="00D34991" w:rsidRDefault="007A30D7" w:rsidP="007A30D7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7A30D7" w:rsidRPr="00D34991" w:rsidRDefault="007A30D7" w:rsidP="007A30D7">
      <w:pPr>
        <w:tabs>
          <w:tab w:val="left" w:pos="1985"/>
          <w:tab w:val="left" w:pos="4933"/>
        </w:tabs>
        <w:ind w:right="-1"/>
        <w:rPr>
          <w:rFonts w:cs="Arial"/>
        </w:rPr>
      </w:pPr>
      <w:r w:rsidRPr="00D34991">
        <w:rPr>
          <w:rFonts w:cs="Arial"/>
        </w:rPr>
        <w:t xml:space="preserve">Negli scorsi mesi i </w:t>
      </w:r>
      <w:r>
        <w:rPr>
          <w:rFonts w:cs="Arial"/>
        </w:rPr>
        <w:t>P</w:t>
      </w:r>
      <w:r w:rsidRPr="00D34991">
        <w:rPr>
          <w:rFonts w:cs="Arial"/>
        </w:rPr>
        <w:t>arlamenti del Canton</w:t>
      </w:r>
      <w:r>
        <w:rPr>
          <w:rFonts w:cs="Arial"/>
        </w:rPr>
        <w:t>i di</w:t>
      </w:r>
      <w:r w:rsidRPr="00D34991">
        <w:rPr>
          <w:rFonts w:cs="Arial"/>
        </w:rPr>
        <w:t xml:space="preserve"> Argovia e dei Grigioni hanno modificato le rispettive leggi pre</w:t>
      </w:r>
      <w:r>
        <w:rPr>
          <w:rFonts w:cs="Arial"/>
        </w:rPr>
        <w:t>vedendo, in materia di idoneità</w:t>
      </w:r>
      <w:r w:rsidRPr="00D34991">
        <w:rPr>
          <w:rFonts w:cs="Arial"/>
        </w:rPr>
        <w:t xml:space="preserve">, che il richiedente </w:t>
      </w:r>
      <w:r>
        <w:rPr>
          <w:rFonts w:cs="Arial"/>
        </w:rPr>
        <w:t>«</w:t>
      </w:r>
      <w:r w:rsidRPr="008C5379">
        <w:rPr>
          <w:rFonts w:cs="Arial"/>
          <w:i/>
        </w:rPr>
        <w:t>abbia rimborsato le prestazioni assistenziali percepite negli ultimi dieci anni»</w:t>
      </w:r>
      <w:r w:rsidRPr="00D34991">
        <w:rPr>
          <w:rFonts w:cs="Arial"/>
        </w:rPr>
        <w:t>.</w:t>
      </w:r>
    </w:p>
    <w:p w:rsidR="007A30D7" w:rsidRDefault="007A30D7" w:rsidP="007A30D7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6E2487" w:rsidRDefault="006E2487" w:rsidP="007A30D7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7A30D7" w:rsidRDefault="007A30D7" w:rsidP="007A30D7">
      <w:pPr>
        <w:tabs>
          <w:tab w:val="left" w:pos="1985"/>
          <w:tab w:val="left" w:pos="4933"/>
        </w:tabs>
        <w:ind w:right="-1"/>
        <w:rPr>
          <w:rFonts w:cs="Arial"/>
        </w:rPr>
      </w:pPr>
    </w:p>
    <w:p w:rsidR="007A30D7" w:rsidRPr="0011212D" w:rsidRDefault="007A30D7" w:rsidP="002432D6">
      <w:pPr>
        <w:spacing w:after="160"/>
        <w:ind w:left="567" w:right="-1" w:hanging="567"/>
        <w:rPr>
          <w:rFonts w:ascii="Arial Grassetto" w:eastAsia="MS Mincho" w:hAnsi="Arial Grassetto" w:cs="Arial" w:hint="eastAsia"/>
          <w:b/>
          <w:caps/>
        </w:rPr>
      </w:pPr>
      <w:r>
        <w:rPr>
          <w:rFonts w:ascii="Arial Grassetto" w:eastAsia="MS Mincho" w:hAnsi="Arial Grassetto" w:cs="Arial"/>
          <w:b/>
          <w:caps/>
        </w:rPr>
        <w:t>II.</w:t>
      </w:r>
      <w:r>
        <w:rPr>
          <w:rFonts w:ascii="Arial Grassetto" w:eastAsia="MS Mincho" w:hAnsi="Arial Grassetto" w:cs="Arial"/>
          <w:b/>
          <w:caps/>
        </w:rPr>
        <w:tab/>
        <w:t>la posizione del consiglio di stato</w:t>
      </w:r>
    </w:p>
    <w:p w:rsidR="007A30D7" w:rsidRPr="000F49AB" w:rsidRDefault="007A30D7" w:rsidP="007A30D7">
      <w:pPr>
        <w:tabs>
          <w:tab w:val="left" w:pos="1985"/>
          <w:tab w:val="left" w:pos="4933"/>
        </w:tabs>
        <w:ind w:right="-1"/>
        <w:rPr>
          <w:rFonts w:cs="Arial"/>
        </w:rPr>
      </w:pPr>
      <w:r>
        <w:t>Il Governo con una breve nota ha significato che prenderà posizione solo a seguito di una eventuale approvazione dell’iniziativa da parte del Gran Consiglio.</w:t>
      </w:r>
    </w:p>
    <w:p w:rsidR="007A30D7" w:rsidRDefault="007A30D7" w:rsidP="007A30D7"/>
    <w:p w:rsidR="006E2487" w:rsidRDefault="006E2487" w:rsidP="007A30D7"/>
    <w:p w:rsidR="006E2487" w:rsidRDefault="006E2487">
      <w:pPr>
        <w:rPr>
          <w:rFonts w:ascii="Arial Grassetto" w:eastAsia="MS Mincho" w:hAnsi="Arial Grassetto" w:cs="Arial" w:hint="eastAsia"/>
          <w:b/>
          <w:caps/>
        </w:rPr>
      </w:pPr>
      <w:r>
        <w:rPr>
          <w:rFonts w:ascii="Arial Grassetto" w:eastAsia="MS Mincho" w:hAnsi="Arial Grassetto" w:cs="Arial" w:hint="eastAsia"/>
          <w:b/>
          <w:caps/>
        </w:rPr>
        <w:br w:type="page"/>
      </w:r>
    </w:p>
    <w:p w:rsidR="007A30D7" w:rsidRPr="0011212D" w:rsidRDefault="007A30D7" w:rsidP="002432D6">
      <w:pPr>
        <w:tabs>
          <w:tab w:val="left" w:pos="567"/>
        </w:tabs>
        <w:spacing w:after="160"/>
        <w:ind w:left="567" w:right="-1" w:hanging="567"/>
        <w:rPr>
          <w:rFonts w:ascii="Arial Grassetto" w:eastAsia="MS Mincho" w:hAnsi="Arial Grassetto" w:cs="Arial" w:hint="eastAsia"/>
          <w:b/>
          <w:caps/>
        </w:rPr>
      </w:pPr>
      <w:r>
        <w:rPr>
          <w:rFonts w:ascii="Arial Grassetto" w:eastAsia="MS Mincho" w:hAnsi="Arial Grassetto" w:cs="Arial"/>
          <w:b/>
          <w:caps/>
        </w:rPr>
        <w:lastRenderedPageBreak/>
        <w:t>Iii.</w:t>
      </w:r>
      <w:r>
        <w:rPr>
          <w:rFonts w:ascii="Arial Grassetto" w:eastAsia="MS Mincho" w:hAnsi="Arial Grassetto" w:cs="Arial"/>
          <w:b/>
          <w:caps/>
        </w:rPr>
        <w:tab/>
        <w:t>considerazioni commissionali</w:t>
      </w:r>
    </w:p>
    <w:p w:rsidR="007A30D7" w:rsidRPr="008C5379" w:rsidRDefault="007A30D7" w:rsidP="007A30D7">
      <w:pPr>
        <w:rPr>
          <w:rFonts w:cs="Arial"/>
          <w:color w:val="000000" w:themeColor="text1"/>
        </w:rPr>
      </w:pPr>
      <w:r w:rsidRPr="008C5379">
        <w:rPr>
          <w:rFonts w:cs="Arial"/>
          <w:color w:val="000000" w:themeColor="text1"/>
        </w:rPr>
        <w:t>La Commissione giustizia e diritti ha sentito in audizione i colleghi Omar Balli e Sem Genini</w:t>
      </w:r>
      <w:r>
        <w:rPr>
          <w:rFonts w:cs="Arial"/>
          <w:color w:val="000000" w:themeColor="text1"/>
        </w:rPr>
        <w:t>,</w:t>
      </w:r>
      <w:r w:rsidRPr="008C5379">
        <w:rPr>
          <w:rFonts w:cs="Arial"/>
          <w:color w:val="000000" w:themeColor="text1"/>
        </w:rPr>
        <w:t xml:space="preserve"> che hanno confermato e sostenuto l’atto parlamentare presentato dall’ex collega Nicholas Marioli.</w:t>
      </w:r>
    </w:p>
    <w:p w:rsidR="007A30D7" w:rsidRPr="002432D6" w:rsidRDefault="007A30D7" w:rsidP="007A30D7">
      <w:pPr>
        <w:rPr>
          <w:rFonts w:cs="Arial"/>
          <w:color w:val="000000" w:themeColor="text1"/>
          <w:sz w:val="20"/>
          <w:szCs w:val="20"/>
        </w:rPr>
      </w:pPr>
    </w:p>
    <w:p w:rsidR="007A30D7" w:rsidRDefault="007A30D7" w:rsidP="007A30D7">
      <w:pPr>
        <w:rPr>
          <w:rFonts w:cs="Arial"/>
          <w:color w:val="000000" w:themeColor="text1"/>
        </w:rPr>
      </w:pPr>
      <w:r w:rsidRPr="008C5379">
        <w:rPr>
          <w:rFonts w:cs="Arial"/>
          <w:color w:val="000000" w:themeColor="text1"/>
        </w:rPr>
        <w:t>Attualmente il Canton Ticino applica il minimo previsto dall’Ordinanza federale sulla cittadinanza svizzera</w:t>
      </w:r>
      <w:r>
        <w:rPr>
          <w:rFonts w:cs="Arial"/>
          <w:color w:val="000000" w:themeColor="text1"/>
        </w:rPr>
        <w:t>;</w:t>
      </w:r>
      <w:r w:rsidRPr="008C5379">
        <w:rPr>
          <w:rFonts w:cs="Arial"/>
          <w:color w:val="000000" w:themeColor="text1"/>
        </w:rPr>
        <w:t xml:space="preserve"> il Regolamento della </w:t>
      </w:r>
      <w:r>
        <w:rPr>
          <w:rFonts w:cs="Arial"/>
          <w:color w:val="000000" w:themeColor="text1"/>
        </w:rPr>
        <w:t>l</w:t>
      </w:r>
      <w:r w:rsidRPr="008C5379">
        <w:rPr>
          <w:rFonts w:cs="Arial"/>
          <w:color w:val="000000" w:themeColor="text1"/>
        </w:rPr>
        <w:t xml:space="preserve">egge sulla cittadinanza ticinese prevede, all’art.5 cpv. </w:t>
      </w:r>
      <w:r>
        <w:rPr>
          <w:rFonts w:cs="Arial"/>
          <w:color w:val="000000" w:themeColor="text1"/>
        </w:rPr>
        <w:t>1,</w:t>
      </w:r>
      <w:r w:rsidRPr="008C5379">
        <w:rPr>
          <w:rFonts w:cs="Arial"/>
          <w:color w:val="000000" w:themeColor="text1"/>
        </w:rPr>
        <w:t xml:space="preserve"> che il richiedente debba presentare una dichiarazione delle competenti autorità circa l’eventuale erogazione di aiuti sociali concernenti gli ultimi </w:t>
      </w:r>
      <w:r>
        <w:rPr>
          <w:rFonts w:cs="Arial"/>
          <w:color w:val="000000" w:themeColor="text1"/>
        </w:rPr>
        <w:t>tre</w:t>
      </w:r>
      <w:r w:rsidRPr="008C537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anni.</w:t>
      </w:r>
    </w:p>
    <w:p w:rsidR="007A30D7" w:rsidRPr="002432D6" w:rsidRDefault="007A30D7" w:rsidP="007A30D7">
      <w:pPr>
        <w:rPr>
          <w:rFonts w:cs="Arial"/>
          <w:color w:val="000000" w:themeColor="text1"/>
          <w:sz w:val="20"/>
          <w:szCs w:val="20"/>
        </w:rPr>
      </w:pPr>
    </w:p>
    <w:p w:rsidR="007A30D7" w:rsidRDefault="007A30D7" w:rsidP="007A30D7">
      <w:pPr>
        <w:rPr>
          <w:rFonts w:cs="Arial"/>
          <w:color w:val="000000" w:themeColor="text1"/>
        </w:rPr>
      </w:pPr>
      <w:r w:rsidRPr="008C5379">
        <w:rPr>
          <w:rFonts w:cs="Arial"/>
          <w:color w:val="000000" w:themeColor="text1"/>
        </w:rPr>
        <w:t>La Legge sulla cittadinanza ticinese e sull’attinenza comunale attualmente in vigore non prevede invece un dispositivo particolare in questo contesto.</w:t>
      </w:r>
    </w:p>
    <w:p w:rsidR="007A30D7" w:rsidRPr="002432D6" w:rsidRDefault="007A30D7" w:rsidP="007A30D7">
      <w:pPr>
        <w:rPr>
          <w:rFonts w:cs="Arial"/>
          <w:color w:val="000000" w:themeColor="text1"/>
          <w:sz w:val="20"/>
          <w:szCs w:val="20"/>
        </w:rPr>
      </w:pPr>
    </w:p>
    <w:p w:rsidR="007A30D7" w:rsidRPr="008C5379" w:rsidRDefault="007A30D7" w:rsidP="007A30D7">
      <w:pPr>
        <w:rPr>
          <w:rFonts w:cs="Arial"/>
          <w:color w:val="000000" w:themeColor="text1"/>
        </w:rPr>
      </w:pPr>
      <w:r w:rsidRPr="008C5379">
        <w:rPr>
          <w:rFonts w:cs="Arial"/>
          <w:color w:val="000000" w:themeColor="text1"/>
        </w:rPr>
        <w:t xml:space="preserve">La </w:t>
      </w:r>
      <w:r>
        <w:rPr>
          <w:rFonts w:cs="Arial"/>
          <w:color w:val="000000" w:themeColor="text1"/>
        </w:rPr>
        <w:t>C</w:t>
      </w:r>
      <w:r w:rsidRPr="008C5379">
        <w:rPr>
          <w:rFonts w:cs="Arial"/>
          <w:color w:val="000000" w:themeColor="text1"/>
        </w:rPr>
        <w:t>ommissione ritiene che un periodo di tre anni sia insufficiente per valutare l’idoneità di una persona che richiede la naturalizzazione che è, senza ombra di dubbio, un passo importante e significativo. Questo lasso di tempo si presta anche ad abusi</w:t>
      </w:r>
      <w:r>
        <w:rPr>
          <w:rFonts w:cs="Arial"/>
          <w:color w:val="000000" w:themeColor="text1"/>
        </w:rPr>
        <w:t>,</w:t>
      </w:r>
      <w:r w:rsidRPr="008C5379">
        <w:rPr>
          <w:rFonts w:cs="Arial"/>
          <w:color w:val="000000" w:themeColor="text1"/>
        </w:rPr>
        <w:t xml:space="preserve"> considerato come un’attesa relativamente corta non incit</w:t>
      </w:r>
      <w:r>
        <w:rPr>
          <w:rFonts w:cs="Arial"/>
          <w:color w:val="000000" w:themeColor="text1"/>
        </w:rPr>
        <w:t>i</w:t>
      </w:r>
      <w:r w:rsidRPr="008C5379">
        <w:rPr>
          <w:rFonts w:cs="Arial"/>
          <w:color w:val="000000" w:themeColor="text1"/>
        </w:rPr>
        <w:t xml:space="preserve"> a voler procedere al rimborso anche se nel frattempo la situazione finanziaria del richiedente è mutata.</w:t>
      </w:r>
    </w:p>
    <w:p w:rsidR="007A30D7" w:rsidRPr="002432D6" w:rsidRDefault="007A30D7" w:rsidP="007A30D7">
      <w:pPr>
        <w:rPr>
          <w:rFonts w:cs="Arial"/>
          <w:color w:val="000000" w:themeColor="text1"/>
          <w:sz w:val="20"/>
          <w:szCs w:val="20"/>
        </w:rPr>
      </w:pPr>
    </w:p>
    <w:p w:rsidR="007A30D7" w:rsidRDefault="007A30D7" w:rsidP="007A30D7">
      <w:pPr>
        <w:rPr>
          <w:rFonts w:cs="Arial"/>
          <w:color w:val="000000" w:themeColor="text1"/>
        </w:rPr>
      </w:pPr>
      <w:r w:rsidRPr="008C5379">
        <w:rPr>
          <w:rFonts w:cs="Arial"/>
          <w:color w:val="000000" w:themeColor="text1"/>
        </w:rPr>
        <w:t xml:space="preserve">Sono previste invece norme legislative molto più incisive nella Legge federale sugli stranieri e la loro integrazione </w:t>
      </w:r>
      <w:r>
        <w:rPr>
          <w:rFonts w:cs="Arial"/>
          <w:color w:val="000000" w:themeColor="text1"/>
        </w:rPr>
        <w:t>(LStrI),</w:t>
      </w:r>
      <w:r w:rsidRPr="008C5379">
        <w:rPr>
          <w:rFonts w:cs="Arial"/>
          <w:color w:val="000000" w:themeColor="text1"/>
        </w:rPr>
        <w:t xml:space="preserve"> per quanto attiene alla revoca dei permessi:</w:t>
      </w:r>
      <w:r>
        <w:rPr>
          <w:rFonts w:cs="Arial"/>
          <w:color w:val="000000" w:themeColor="text1"/>
        </w:rPr>
        <w:t xml:space="preserve"> </w:t>
      </w:r>
      <w:r w:rsidRPr="008C5379">
        <w:rPr>
          <w:rFonts w:cs="Arial"/>
          <w:color w:val="000000" w:themeColor="text1"/>
        </w:rPr>
        <w:t>l’art. 62</w:t>
      </w:r>
      <w:r>
        <w:rPr>
          <w:rFonts w:cs="Arial"/>
          <w:color w:val="000000" w:themeColor="text1"/>
        </w:rPr>
        <w:t xml:space="preserve"> cpv. 1 </w:t>
      </w:r>
      <w:r w:rsidR="002432D6">
        <w:rPr>
          <w:rFonts w:cs="Arial"/>
          <w:color w:val="000000" w:themeColor="text1"/>
        </w:rPr>
        <w:br/>
      </w:r>
      <w:r>
        <w:rPr>
          <w:rFonts w:cs="Arial"/>
          <w:color w:val="000000" w:themeColor="text1"/>
        </w:rPr>
        <w:t>lett. e (</w:t>
      </w:r>
      <w:r w:rsidRPr="008C5379">
        <w:rPr>
          <w:rFonts w:cs="Arial"/>
          <w:color w:val="000000" w:themeColor="text1"/>
        </w:rPr>
        <w:t xml:space="preserve">revoca </w:t>
      </w:r>
      <w:r>
        <w:rPr>
          <w:rFonts w:cs="Arial"/>
          <w:color w:val="000000" w:themeColor="text1"/>
        </w:rPr>
        <w:t>di</w:t>
      </w:r>
      <w:r w:rsidRPr="008C5379">
        <w:rPr>
          <w:rFonts w:cs="Arial"/>
          <w:color w:val="000000" w:themeColor="text1"/>
        </w:rPr>
        <w:t xml:space="preserve"> permessi </w:t>
      </w:r>
      <w:r>
        <w:rPr>
          <w:rFonts w:cs="Arial"/>
          <w:color w:val="000000" w:themeColor="text1"/>
        </w:rPr>
        <w:t>e di altre decisioni)</w:t>
      </w:r>
      <w:r w:rsidRPr="008C5379">
        <w:rPr>
          <w:rFonts w:cs="Arial"/>
          <w:color w:val="000000" w:themeColor="text1"/>
        </w:rPr>
        <w:t xml:space="preserve"> recita:</w:t>
      </w:r>
    </w:p>
    <w:p w:rsidR="007A30D7" w:rsidRPr="002432D6" w:rsidRDefault="007A30D7" w:rsidP="007A30D7">
      <w:pPr>
        <w:rPr>
          <w:rFonts w:cs="Arial"/>
          <w:color w:val="000000" w:themeColor="text1"/>
          <w:sz w:val="12"/>
          <w:szCs w:val="12"/>
        </w:rPr>
      </w:pPr>
    </w:p>
    <w:p w:rsidR="007A30D7" w:rsidRPr="002432D6" w:rsidRDefault="007A30D7" w:rsidP="007A30D7">
      <w:pPr>
        <w:ind w:left="567" w:right="560"/>
        <w:rPr>
          <w:rFonts w:cs="Arial"/>
          <w:i/>
          <w:color w:val="000000" w:themeColor="text1"/>
          <w:sz w:val="23"/>
          <w:szCs w:val="23"/>
        </w:rPr>
      </w:pPr>
      <w:r w:rsidRPr="002432D6">
        <w:rPr>
          <w:rFonts w:cs="Arial"/>
          <w:i/>
          <w:color w:val="000000" w:themeColor="text1"/>
          <w:sz w:val="23"/>
          <w:szCs w:val="23"/>
          <w:vertAlign w:val="superscript"/>
        </w:rPr>
        <w:t>1</w:t>
      </w:r>
      <w:r w:rsidRPr="002432D6">
        <w:rPr>
          <w:rFonts w:cs="Arial"/>
          <w:i/>
          <w:color w:val="000000" w:themeColor="text1"/>
          <w:sz w:val="23"/>
          <w:szCs w:val="23"/>
        </w:rPr>
        <w:t>L’autorità competente può revocare i permessi, eccetto quelli di domicilio, e le altre decisioni giusta la presente legge se:</w:t>
      </w:r>
    </w:p>
    <w:p w:rsidR="007A30D7" w:rsidRPr="002432D6" w:rsidRDefault="007A30D7" w:rsidP="002432D6">
      <w:pPr>
        <w:ind w:left="567" w:right="561"/>
        <w:rPr>
          <w:rFonts w:cs="Arial"/>
          <w:i/>
          <w:color w:val="000000" w:themeColor="text1"/>
          <w:sz w:val="12"/>
          <w:szCs w:val="12"/>
        </w:rPr>
      </w:pPr>
      <w:r w:rsidRPr="002432D6">
        <w:rPr>
          <w:rFonts w:cs="Arial"/>
          <w:i/>
          <w:color w:val="000000" w:themeColor="text1"/>
          <w:sz w:val="20"/>
          <w:szCs w:val="20"/>
        </w:rPr>
        <w:t>...</w:t>
      </w:r>
    </w:p>
    <w:p w:rsidR="007A30D7" w:rsidRPr="002432D6" w:rsidRDefault="007A30D7" w:rsidP="002432D6">
      <w:pPr>
        <w:ind w:left="993" w:right="560" w:hanging="426"/>
        <w:rPr>
          <w:rFonts w:cs="Arial"/>
          <w:i/>
          <w:color w:val="000000" w:themeColor="text1"/>
          <w:sz w:val="23"/>
          <w:szCs w:val="23"/>
        </w:rPr>
      </w:pPr>
      <w:r w:rsidRPr="002432D6">
        <w:rPr>
          <w:rFonts w:cs="Arial"/>
          <w:i/>
          <w:color w:val="000000" w:themeColor="text1"/>
          <w:sz w:val="23"/>
          <w:szCs w:val="23"/>
        </w:rPr>
        <w:t>e.</w:t>
      </w:r>
      <w:r w:rsidRPr="002432D6">
        <w:rPr>
          <w:rFonts w:cs="Arial"/>
          <w:i/>
          <w:color w:val="000000" w:themeColor="text1"/>
          <w:sz w:val="23"/>
          <w:szCs w:val="23"/>
        </w:rPr>
        <w:tab/>
        <w:t>lo straniero o una persona a suo carico dipende dall’aiuto sociale;</w:t>
      </w:r>
    </w:p>
    <w:p w:rsidR="007A30D7" w:rsidRPr="002432D6" w:rsidRDefault="007A30D7" w:rsidP="007A30D7">
      <w:pPr>
        <w:rPr>
          <w:rFonts w:cs="Arial"/>
          <w:color w:val="000000" w:themeColor="text1"/>
          <w:sz w:val="20"/>
          <w:szCs w:val="20"/>
        </w:rPr>
      </w:pPr>
    </w:p>
    <w:p w:rsidR="007A30D7" w:rsidRDefault="007A30D7" w:rsidP="007A30D7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</w:t>
      </w:r>
      <w:r w:rsidRPr="008C5379">
        <w:rPr>
          <w:rFonts w:cs="Arial"/>
          <w:color w:val="000000" w:themeColor="text1"/>
        </w:rPr>
        <w:t>’art. 63</w:t>
      </w:r>
      <w:r>
        <w:rPr>
          <w:rFonts w:cs="Arial"/>
          <w:color w:val="000000" w:themeColor="text1"/>
        </w:rPr>
        <w:t xml:space="preserve"> cpv. 1 lett. c</w:t>
      </w:r>
      <w:r w:rsidRPr="008C5379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LStrI (</w:t>
      </w:r>
      <w:r w:rsidRPr="008C5379">
        <w:rPr>
          <w:rFonts w:cs="Arial"/>
          <w:color w:val="000000" w:themeColor="text1"/>
        </w:rPr>
        <w:t>revoca del permesso di domicilio</w:t>
      </w:r>
      <w:r>
        <w:rPr>
          <w:rFonts w:cs="Arial"/>
          <w:color w:val="000000" w:themeColor="text1"/>
        </w:rPr>
        <w:t>)</w:t>
      </w:r>
      <w:r w:rsidRPr="008C5379">
        <w:rPr>
          <w:rFonts w:cs="Arial"/>
          <w:color w:val="000000" w:themeColor="text1"/>
        </w:rPr>
        <w:t xml:space="preserve"> recita:</w:t>
      </w:r>
    </w:p>
    <w:p w:rsidR="007A30D7" w:rsidRPr="002432D6" w:rsidRDefault="007A30D7" w:rsidP="007A30D7">
      <w:pPr>
        <w:rPr>
          <w:rFonts w:cs="Arial"/>
          <w:color w:val="000000" w:themeColor="text1"/>
          <w:sz w:val="12"/>
          <w:szCs w:val="12"/>
        </w:rPr>
      </w:pPr>
    </w:p>
    <w:p w:rsidR="007A30D7" w:rsidRPr="002432D6" w:rsidRDefault="007A30D7" w:rsidP="002432D6">
      <w:pPr>
        <w:ind w:left="993" w:right="560" w:hanging="426"/>
        <w:rPr>
          <w:rFonts w:cs="Arial"/>
          <w:i/>
          <w:color w:val="000000" w:themeColor="text1"/>
          <w:sz w:val="23"/>
          <w:szCs w:val="23"/>
        </w:rPr>
      </w:pPr>
      <w:r w:rsidRPr="002432D6">
        <w:rPr>
          <w:rFonts w:cs="Arial"/>
          <w:i/>
          <w:color w:val="000000" w:themeColor="text1"/>
          <w:sz w:val="23"/>
          <w:szCs w:val="23"/>
        </w:rPr>
        <w:t>c.</w:t>
      </w:r>
      <w:r w:rsidRPr="002432D6">
        <w:rPr>
          <w:rFonts w:cs="Arial"/>
          <w:i/>
          <w:color w:val="000000" w:themeColor="text1"/>
          <w:sz w:val="23"/>
          <w:szCs w:val="23"/>
        </w:rPr>
        <w:tab/>
        <w:t>lo straniero o una persona a suo carico dipende dall’aiuto sociale in maniera durevole e considerevole.</w:t>
      </w:r>
    </w:p>
    <w:p w:rsidR="007A30D7" w:rsidRPr="002432D6" w:rsidRDefault="007A30D7" w:rsidP="007A30D7">
      <w:pPr>
        <w:rPr>
          <w:rFonts w:cs="Arial"/>
          <w:color w:val="000000" w:themeColor="text1"/>
          <w:sz w:val="20"/>
          <w:szCs w:val="20"/>
        </w:rPr>
      </w:pPr>
    </w:p>
    <w:p w:rsidR="007A30D7" w:rsidRDefault="007A30D7" w:rsidP="007A30D7">
      <w:pPr>
        <w:rPr>
          <w:rFonts w:cs="Arial"/>
          <w:color w:val="000000" w:themeColor="text1"/>
        </w:rPr>
      </w:pPr>
      <w:r w:rsidRPr="008C5379">
        <w:rPr>
          <w:rFonts w:cs="Arial"/>
          <w:color w:val="000000" w:themeColor="text1"/>
        </w:rPr>
        <w:t xml:space="preserve">Una recentissima sentenza del Tribunale </w:t>
      </w:r>
      <w:r>
        <w:rPr>
          <w:rFonts w:cs="Arial"/>
          <w:color w:val="000000" w:themeColor="text1"/>
        </w:rPr>
        <w:t>f</w:t>
      </w:r>
      <w:r w:rsidRPr="008C5379">
        <w:rPr>
          <w:rFonts w:cs="Arial"/>
          <w:color w:val="000000" w:themeColor="text1"/>
        </w:rPr>
        <w:t xml:space="preserve">ederale ha confermato la decisione del Tribunale </w:t>
      </w:r>
      <w:r>
        <w:rPr>
          <w:rFonts w:cs="Arial"/>
          <w:color w:val="000000" w:themeColor="text1"/>
        </w:rPr>
        <w:t>a</w:t>
      </w:r>
      <w:r w:rsidRPr="008C5379">
        <w:rPr>
          <w:rFonts w:cs="Arial"/>
          <w:color w:val="000000" w:themeColor="text1"/>
        </w:rPr>
        <w:t xml:space="preserve">mministrativo </w:t>
      </w:r>
      <w:r>
        <w:rPr>
          <w:rFonts w:cs="Arial"/>
          <w:color w:val="000000" w:themeColor="text1"/>
        </w:rPr>
        <w:t>c</w:t>
      </w:r>
      <w:r w:rsidRPr="008C5379">
        <w:rPr>
          <w:rFonts w:cs="Arial"/>
          <w:color w:val="000000" w:themeColor="text1"/>
        </w:rPr>
        <w:t>antonale (TRAM) che ha rifiutato il rinnovo di un permesso di dimora con la motivazione che il richiedente era indebitato e dipendente dagli aiuti sociali.</w:t>
      </w:r>
    </w:p>
    <w:p w:rsidR="007A30D7" w:rsidRPr="002432D6" w:rsidRDefault="007A30D7" w:rsidP="007A30D7">
      <w:pPr>
        <w:rPr>
          <w:rFonts w:cs="Arial"/>
          <w:color w:val="000000" w:themeColor="text1"/>
          <w:sz w:val="20"/>
          <w:szCs w:val="20"/>
        </w:rPr>
      </w:pPr>
    </w:p>
    <w:p w:rsidR="007A30D7" w:rsidRPr="008C5379" w:rsidRDefault="007A30D7" w:rsidP="007A30D7">
      <w:pPr>
        <w:rPr>
          <w:rFonts w:cs="Arial"/>
          <w:color w:val="000000" w:themeColor="text1"/>
        </w:rPr>
      </w:pPr>
      <w:r w:rsidRPr="008C5379">
        <w:rPr>
          <w:rFonts w:cs="Arial"/>
          <w:color w:val="000000" w:themeColor="text1"/>
        </w:rPr>
        <w:t xml:space="preserve">Se la massima </w:t>
      </w:r>
      <w:r>
        <w:rPr>
          <w:rFonts w:cs="Arial"/>
          <w:color w:val="000000" w:themeColor="text1"/>
        </w:rPr>
        <w:t>a</w:t>
      </w:r>
      <w:r w:rsidRPr="008C5379">
        <w:rPr>
          <w:rFonts w:cs="Arial"/>
          <w:color w:val="000000" w:themeColor="text1"/>
        </w:rPr>
        <w:t>utorità federale ha sancito il mancato rinnovo di un semplice permesso di dimora</w:t>
      </w:r>
      <w:r>
        <w:rPr>
          <w:rFonts w:cs="Arial"/>
          <w:color w:val="000000" w:themeColor="text1"/>
        </w:rPr>
        <w:t>,</w:t>
      </w:r>
      <w:r w:rsidRPr="008C5379">
        <w:rPr>
          <w:rFonts w:cs="Arial"/>
          <w:color w:val="000000" w:themeColor="text1"/>
        </w:rPr>
        <w:t xml:space="preserve"> a maggior ragione, a mente dei commissari della </w:t>
      </w:r>
      <w:r>
        <w:rPr>
          <w:rFonts w:cs="Arial"/>
          <w:color w:val="000000" w:themeColor="text1"/>
        </w:rPr>
        <w:t>C</w:t>
      </w:r>
      <w:r w:rsidRPr="008C5379">
        <w:rPr>
          <w:rFonts w:cs="Arial"/>
          <w:color w:val="000000" w:themeColor="text1"/>
        </w:rPr>
        <w:t>ommissione giustizia e diritti, in materia di naturalizzazione si deve essere più ristrettivi.</w:t>
      </w:r>
    </w:p>
    <w:p w:rsidR="007A30D7" w:rsidRDefault="007A30D7" w:rsidP="007A30D7">
      <w:pPr>
        <w:rPr>
          <w:rFonts w:cs="Arial"/>
          <w:color w:val="000000" w:themeColor="text1"/>
        </w:rPr>
      </w:pPr>
    </w:p>
    <w:p w:rsidR="006E2487" w:rsidRDefault="006E2487" w:rsidP="007A30D7">
      <w:pPr>
        <w:rPr>
          <w:rFonts w:cs="Arial"/>
          <w:color w:val="000000" w:themeColor="text1"/>
        </w:rPr>
      </w:pPr>
    </w:p>
    <w:p w:rsidR="007A30D7" w:rsidRPr="009B1200" w:rsidRDefault="007A30D7" w:rsidP="002432D6">
      <w:pPr>
        <w:spacing w:after="160"/>
        <w:ind w:left="567" w:right="-1" w:hanging="567"/>
        <w:rPr>
          <w:rFonts w:ascii="Arial Grassetto" w:eastAsia="MS Mincho" w:hAnsi="Arial Grassetto" w:cs="Arial" w:hint="eastAsia"/>
          <w:b/>
          <w:caps/>
        </w:rPr>
      </w:pPr>
      <w:r>
        <w:rPr>
          <w:rFonts w:ascii="Arial Grassetto" w:eastAsia="MS Mincho" w:hAnsi="Arial Grassetto" w:cs="Arial"/>
          <w:b/>
          <w:caps/>
        </w:rPr>
        <w:t>iV.</w:t>
      </w:r>
      <w:r>
        <w:rPr>
          <w:rFonts w:ascii="Arial Grassetto" w:eastAsia="MS Mincho" w:hAnsi="Arial Grassetto" w:cs="Arial"/>
          <w:b/>
          <w:caps/>
        </w:rPr>
        <w:tab/>
      </w:r>
      <w:r w:rsidRPr="009B1200">
        <w:rPr>
          <w:rFonts w:ascii="Arial Grassetto" w:eastAsia="MS Mincho" w:hAnsi="Arial Grassetto" w:cs="Arial"/>
          <w:b/>
          <w:caps/>
        </w:rPr>
        <w:t>Conclusioni</w:t>
      </w:r>
    </w:p>
    <w:p w:rsidR="007A30D7" w:rsidRDefault="007A30D7" w:rsidP="007A30D7">
      <w:pPr>
        <w:ind w:firstLine="1"/>
        <w:rPr>
          <w:rFonts w:cs="Arial"/>
        </w:rPr>
      </w:pPr>
      <w:r>
        <w:t>Sulla scorta delle considerazioni suesposte la Commissione giustizia e diritti invita il Gran Consiglio a voler modificare la Legge sulla cittadinanza ticinese e sull’attinenza comunale (LCCit) inserendo il criterio di rimborso delle prestazioni assistenziali percepite negli ultimi dieci anni per l’ottenimento della cittadinanza cantonale.</w:t>
      </w:r>
    </w:p>
    <w:p w:rsidR="007A30D7" w:rsidRDefault="007A30D7" w:rsidP="007A30D7">
      <w:pPr>
        <w:rPr>
          <w:rFonts w:cs="Arial"/>
          <w:color w:val="000000" w:themeColor="text1"/>
        </w:rPr>
      </w:pPr>
    </w:p>
    <w:p w:rsidR="007A30D7" w:rsidRDefault="007A30D7" w:rsidP="007A30D7">
      <w:pPr>
        <w:rPr>
          <w:rFonts w:cs="Arial"/>
          <w:color w:val="000000" w:themeColor="text1"/>
        </w:rPr>
      </w:pPr>
    </w:p>
    <w:p w:rsidR="00CB127C" w:rsidRPr="008219F2" w:rsidRDefault="00CB127C" w:rsidP="00CB127C">
      <w:pPr>
        <w:spacing w:after="120"/>
        <w:rPr>
          <w:rFonts w:cs="Arial"/>
        </w:rPr>
      </w:pPr>
      <w:r w:rsidRPr="008219F2">
        <w:rPr>
          <w:rFonts w:cs="Arial"/>
        </w:rPr>
        <w:t xml:space="preserve">Per la Commissione </w:t>
      </w:r>
      <w:r w:rsidR="006E2487">
        <w:rPr>
          <w:rFonts w:cs="Arial"/>
        </w:rPr>
        <w:t>giustizia e diritti</w:t>
      </w:r>
      <w:r w:rsidRPr="008219F2">
        <w:rPr>
          <w:rFonts w:cs="Arial"/>
        </w:rPr>
        <w:t>:</w:t>
      </w:r>
    </w:p>
    <w:p w:rsidR="00CB127C" w:rsidRPr="008219F2" w:rsidRDefault="006E2487" w:rsidP="00CB127C">
      <w:pPr>
        <w:rPr>
          <w:rFonts w:cs="Arial"/>
        </w:rPr>
      </w:pPr>
      <w:r>
        <w:rPr>
          <w:szCs w:val="24"/>
        </w:rPr>
        <w:t>Giorgio Galusero</w:t>
      </w:r>
      <w:r w:rsidR="00CB127C">
        <w:rPr>
          <w:rFonts w:cs="Arial"/>
        </w:rPr>
        <w:t>, relat</w:t>
      </w:r>
      <w:r w:rsidR="005F4380">
        <w:rPr>
          <w:rFonts w:cs="Arial"/>
        </w:rPr>
        <w:t>o</w:t>
      </w:r>
      <w:r w:rsidR="00CB127C" w:rsidRPr="008219F2">
        <w:rPr>
          <w:rFonts w:cs="Arial"/>
        </w:rPr>
        <w:t>re</w:t>
      </w:r>
    </w:p>
    <w:p w:rsidR="006E2487" w:rsidRPr="005807A6" w:rsidRDefault="000F478B" w:rsidP="006E2487">
      <w:pPr>
        <w:autoSpaceDE w:val="0"/>
        <w:autoSpaceDN w:val="0"/>
        <w:adjustRightInd w:val="0"/>
        <w:rPr>
          <w:rFonts w:eastAsia="Cambria" w:cs="Arial"/>
        </w:rPr>
      </w:pPr>
      <w:r w:rsidRPr="005807A6">
        <w:rPr>
          <w:rFonts w:eastAsia="Cambria" w:cs="Arial"/>
        </w:rPr>
        <w:t xml:space="preserve">Aldi - </w:t>
      </w:r>
      <w:r w:rsidR="006E2487" w:rsidRPr="005807A6">
        <w:rPr>
          <w:rFonts w:eastAsia="Cambria" w:cs="Arial"/>
        </w:rPr>
        <w:t xml:space="preserve">Bertoli - Dadò - Gendotti - </w:t>
      </w:r>
      <w:r w:rsidR="002432D6" w:rsidRPr="005807A6">
        <w:rPr>
          <w:rFonts w:eastAsia="Cambria" w:cs="Arial"/>
        </w:rPr>
        <w:t xml:space="preserve">Guscio - </w:t>
      </w:r>
    </w:p>
    <w:p w:rsidR="00CB127C" w:rsidRPr="005807A6" w:rsidRDefault="006E2487" w:rsidP="002432D6">
      <w:pPr>
        <w:autoSpaceDE w:val="0"/>
        <w:autoSpaceDN w:val="0"/>
        <w:adjustRightInd w:val="0"/>
      </w:pPr>
      <w:r w:rsidRPr="005807A6">
        <w:rPr>
          <w:rFonts w:eastAsia="Cambria" w:cs="Arial"/>
        </w:rPr>
        <w:t xml:space="preserve">Maderni - </w:t>
      </w:r>
      <w:r w:rsidR="000F478B" w:rsidRPr="005807A6">
        <w:rPr>
          <w:rFonts w:eastAsia="Cambria" w:cs="Arial"/>
        </w:rPr>
        <w:t xml:space="preserve">Minotti - </w:t>
      </w:r>
      <w:r w:rsidRPr="005807A6">
        <w:rPr>
          <w:rFonts w:eastAsia="Cambria" w:cs="Arial"/>
        </w:rPr>
        <w:t>Pagani - Petrini - Ris - Soldati</w:t>
      </w:r>
    </w:p>
    <w:sectPr w:rsidR="00CB127C" w:rsidRPr="005807A6" w:rsidSect="002432D6">
      <w:footerReference w:type="default" r:id="rId8"/>
      <w:pgSz w:w="11906" w:h="16838" w:code="9"/>
      <w:pgMar w:top="1134" w:right="1021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Grassetto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1A50F3" w:rsidRPr="001A50F3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9AE"/>
    <w:multiLevelType w:val="hybridMultilevel"/>
    <w:tmpl w:val="F9888982"/>
    <w:lvl w:ilvl="0" w:tplc="3A32EC04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71514E"/>
    <w:multiLevelType w:val="hybridMultilevel"/>
    <w:tmpl w:val="53F69038"/>
    <w:lvl w:ilvl="0" w:tplc="EA2C3A1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965C65"/>
    <w:multiLevelType w:val="hybridMultilevel"/>
    <w:tmpl w:val="DE3431A4"/>
    <w:lvl w:ilvl="0" w:tplc="8E4091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5D3C"/>
    <w:multiLevelType w:val="hybridMultilevel"/>
    <w:tmpl w:val="2496F944"/>
    <w:lvl w:ilvl="0" w:tplc="09A2E7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24418B"/>
    <w:multiLevelType w:val="hybridMultilevel"/>
    <w:tmpl w:val="4220162A"/>
    <w:lvl w:ilvl="0" w:tplc="1B4A4F6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1620F0"/>
    <w:multiLevelType w:val="hybridMultilevel"/>
    <w:tmpl w:val="57107804"/>
    <w:lvl w:ilvl="0" w:tplc="97063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52F91"/>
    <w:multiLevelType w:val="hybridMultilevel"/>
    <w:tmpl w:val="F4D8C652"/>
    <w:lvl w:ilvl="0" w:tplc="B294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7043"/>
    <w:multiLevelType w:val="hybridMultilevel"/>
    <w:tmpl w:val="1D56D6A4"/>
    <w:lvl w:ilvl="0" w:tplc="8A5684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C64E9E"/>
    <w:multiLevelType w:val="hybridMultilevel"/>
    <w:tmpl w:val="37EA8088"/>
    <w:lvl w:ilvl="0" w:tplc="30A69B2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4A068F"/>
    <w:multiLevelType w:val="hybridMultilevel"/>
    <w:tmpl w:val="2B86088E"/>
    <w:lvl w:ilvl="0" w:tplc="ED0A27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E4171E"/>
    <w:multiLevelType w:val="hybridMultilevel"/>
    <w:tmpl w:val="86088168"/>
    <w:lvl w:ilvl="0" w:tplc="EA9E3FF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2148" w:hanging="360"/>
      </w:pPr>
    </w:lvl>
    <w:lvl w:ilvl="2" w:tplc="0810001B" w:tentative="1">
      <w:start w:val="1"/>
      <w:numFmt w:val="lowerRoman"/>
      <w:lvlText w:val="%3."/>
      <w:lvlJc w:val="right"/>
      <w:pPr>
        <w:ind w:left="2868" w:hanging="180"/>
      </w:pPr>
    </w:lvl>
    <w:lvl w:ilvl="3" w:tplc="0810000F" w:tentative="1">
      <w:start w:val="1"/>
      <w:numFmt w:val="decimal"/>
      <w:lvlText w:val="%4."/>
      <w:lvlJc w:val="left"/>
      <w:pPr>
        <w:ind w:left="3588" w:hanging="360"/>
      </w:pPr>
    </w:lvl>
    <w:lvl w:ilvl="4" w:tplc="08100019" w:tentative="1">
      <w:start w:val="1"/>
      <w:numFmt w:val="lowerLetter"/>
      <w:lvlText w:val="%5."/>
      <w:lvlJc w:val="left"/>
      <w:pPr>
        <w:ind w:left="4308" w:hanging="360"/>
      </w:pPr>
    </w:lvl>
    <w:lvl w:ilvl="5" w:tplc="0810001B" w:tentative="1">
      <w:start w:val="1"/>
      <w:numFmt w:val="lowerRoman"/>
      <w:lvlText w:val="%6."/>
      <w:lvlJc w:val="right"/>
      <w:pPr>
        <w:ind w:left="5028" w:hanging="180"/>
      </w:pPr>
    </w:lvl>
    <w:lvl w:ilvl="6" w:tplc="0810000F" w:tentative="1">
      <w:start w:val="1"/>
      <w:numFmt w:val="decimal"/>
      <w:lvlText w:val="%7."/>
      <w:lvlJc w:val="left"/>
      <w:pPr>
        <w:ind w:left="5748" w:hanging="360"/>
      </w:pPr>
    </w:lvl>
    <w:lvl w:ilvl="7" w:tplc="08100019" w:tentative="1">
      <w:start w:val="1"/>
      <w:numFmt w:val="lowerLetter"/>
      <w:lvlText w:val="%8."/>
      <w:lvlJc w:val="left"/>
      <w:pPr>
        <w:ind w:left="6468" w:hanging="360"/>
      </w:pPr>
    </w:lvl>
    <w:lvl w:ilvl="8" w:tplc="08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8C87670"/>
    <w:multiLevelType w:val="hybridMultilevel"/>
    <w:tmpl w:val="5C2457A6"/>
    <w:lvl w:ilvl="0" w:tplc="4AB6A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15CB3"/>
    <w:multiLevelType w:val="hybridMultilevel"/>
    <w:tmpl w:val="AABEAD84"/>
    <w:lvl w:ilvl="0" w:tplc="9856B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4E4B7B"/>
    <w:multiLevelType w:val="hybridMultilevel"/>
    <w:tmpl w:val="158CF016"/>
    <w:lvl w:ilvl="0" w:tplc="A440938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BC74B3"/>
    <w:multiLevelType w:val="hybridMultilevel"/>
    <w:tmpl w:val="BB8EA900"/>
    <w:lvl w:ilvl="0" w:tplc="0D7E05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7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15"/>
  </w:num>
  <w:num w:numId="16">
    <w:abstractNumId w:val="0"/>
  </w:num>
  <w:num w:numId="17">
    <w:abstractNumId w:val="1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0B2940"/>
    <w:rsid w:val="000F478B"/>
    <w:rsid w:val="001A50F3"/>
    <w:rsid w:val="002432D6"/>
    <w:rsid w:val="002E5E40"/>
    <w:rsid w:val="003B7935"/>
    <w:rsid w:val="004C3D9A"/>
    <w:rsid w:val="0052425A"/>
    <w:rsid w:val="0057039F"/>
    <w:rsid w:val="005807A6"/>
    <w:rsid w:val="00586A8D"/>
    <w:rsid w:val="005F4380"/>
    <w:rsid w:val="006D7A3B"/>
    <w:rsid w:val="006E2487"/>
    <w:rsid w:val="007A30D7"/>
    <w:rsid w:val="007B5462"/>
    <w:rsid w:val="008034BD"/>
    <w:rsid w:val="00876352"/>
    <w:rsid w:val="008B4137"/>
    <w:rsid w:val="008C767A"/>
    <w:rsid w:val="008E77C6"/>
    <w:rsid w:val="008F1A62"/>
    <w:rsid w:val="009770BB"/>
    <w:rsid w:val="009E008D"/>
    <w:rsid w:val="00A5465F"/>
    <w:rsid w:val="00A77678"/>
    <w:rsid w:val="00BC4C95"/>
    <w:rsid w:val="00BD5944"/>
    <w:rsid w:val="00CB127C"/>
    <w:rsid w:val="00CF6858"/>
    <w:rsid w:val="00D377B5"/>
    <w:rsid w:val="00D93B31"/>
    <w:rsid w:val="00F2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D601D"/>
  <w15:docId w15:val="{4DA7BC55-03B3-4578-A764-BA0B6799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CB127C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B127C"/>
    <w:rPr>
      <w:rFonts w:ascii="Arial" w:eastAsia="Times New Roman" w:hAnsi="Arial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27C"/>
    <w:rPr>
      <w:rFonts w:eastAsia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127C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127C"/>
    <w:rPr>
      <w:vertAlign w:val="superscript"/>
    </w:rPr>
  </w:style>
  <w:style w:type="paragraph" w:customStyle="1" w:styleId="Default">
    <w:name w:val="Default"/>
    <w:rsid w:val="00CB127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B127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B12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7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8F48-7B8F-4389-BB6D-50EB0F22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2</cp:revision>
  <cp:lastPrinted>2020-02-03T14:35:00Z</cp:lastPrinted>
  <dcterms:created xsi:type="dcterms:W3CDTF">2020-02-05T09:47:00Z</dcterms:created>
  <dcterms:modified xsi:type="dcterms:W3CDTF">2020-02-05T09:47:00Z</dcterms:modified>
</cp:coreProperties>
</file>