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0C2" w:rsidRDefault="00C37EDA" w:rsidP="00B860C2">
      <w:r w:rsidRPr="00E11A9C">
        <w:rPr>
          <w:rFonts w:ascii="Gill Sans MT" w:hAnsi="Gill Sans MT"/>
          <w:b/>
          <w:sz w:val="56"/>
          <w:szCs w:val="56"/>
        </w:rPr>
        <w:t>Rapporto</w:t>
      </w:r>
      <w:bookmarkStart w:id="0" w:name="_GoBack"/>
      <w:bookmarkEnd w:id="0"/>
    </w:p>
    <w:p w:rsidR="00B860C2" w:rsidRDefault="00B860C2" w:rsidP="00B860C2">
      <w:pPr>
        <w:rPr>
          <w:rFonts w:cs="Arial"/>
          <w:szCs w:val="24"/>
        </w:rPr>
      </w:pPr>
    </w:p>
    <w:p w:rsidR="00080146" w:rsidRDefault="00080146" w:rsidP="00B860C2">
      <w:pPr>
        <w:rPr>
          <w:rFonts w:cs="Arial"/>
          <w:szCs w:val="24"/>
        </w:rPr>
      </w:pPr>
    </w:p>
    <w:p w:rsidR="00B860C2" w:rsidRDefault="00B860C2" w:rsidP="00B860C2">
      <w:pPr>
        <w:rPr>
          <w:rFonts w:cs="Arial"/>
          <w:szCs w:val="24"/>
        </w:rPr>
      </w:pPr>
    </w:p>
    <w:p w:rsidR="00B860C2" w:rsidRDefault="00D84D91" w:rsidP="00B860C2">
      <w:pPr>
        <w:tabs>
          <w:tab w:val="left" w:pos="2098"/>
          <w:tab w:val="left" w:pos="4933"/>
        </w:tabs>
        <w:rPr>
          <w:rFonts w:cs="Arial"/>
          <w:szCs w:val="24"/>
        </w:rPr>
      </w:pPr>
      <w:r>
        <w:rPr>
          <w:rFonts w:cs="Arial"/>
          <w:b/>
          <w:sz w:val="32"/>
          <w:szCs w:val="32"/>
        </w:rPr>
        <w:t>7523</w:t>
      </w:r>
      <w:r w:rsidR="00B860C2" w:rsidRPr="008B4137">
        <w:rPr>
          <w:rFonts w:cs="Arial"/>
          <w:b/>
          <w:sz w:val="32"/>
          <w:szCs w:val="32"/>
        </w:rPr>
        <w:t xml:space="preserve"> R</w:t>
      </w:r>
      <w:r w:rsidR="00B860C2" w:rsidRPr="008B4137">
        <w:rPr>
          <w:rFonts w:cs="Arial"/>
          <w:sz w:val="28"/>
          <w:szCs w:val="28"/>
        </w:rPr>
        <w:tab/>
      </w:r>
      <w:r>
        <w:rPr>
          <w:rFonts w:cs="Arial"/>
          <w:sz w:val="28"/>
          <w:szCs w:val="28"/>
        </w:rPr>
        <w:t>30 marzo 2020</w:t>
      </w:r>
      <w:r w:rsidR="00B860C2" w:rsidRPr="008B4137">
        <w:rPr>
          <w:rFonts w:cs="Arial"/>
          <w:sz w:val="28"/>
          <w:szCs w:val="28"/>
        </w:rPr>
        <w:tab/>
      </w:r>
      <w:r w:rsidRPr="00935B19">
        <w:rPr>
          <w:rFonts w:cs="Arial"/>
          <w:sz w:val="28"/>
        </w:rPr>
        <w:t>EDUCAZIONE, CULTURA E SPORT</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D84D91" w:rsidRPr="00935B19" w:rsidRDefault="00D84D91" w:rsidP="00D84D91">
      <w:pPr>
        <w:rPr>
          <w:rFonts w:cs="Arial"/>
          <w:b/>
          <w:bCs/>
          <w:sz w:val="28"/>
          <w:szCs w:val="28"/>
        </w:rPr>
      </w:pPr>
      <w:r w:rsidRPr="00935B19">
        <w:rPr>
          <w:rFonts w:cs="Arial"/>
          <w:b/>
          <w:bCs/>
          <w:sz w:val="28"/>
          <w:szCs w:val="28"/>
        </w:rPr>
        <w:t>della Commissione formazione e cultura</w:t>
      </w:r>
    </w:p>
    <w:p w:rsidR="00D84D91" w:rsidRPr="00935B19" w:rsidRDefault="00D84D91" w:rsidP="00D84D91">
      <w:pPr>
        <w:rPr>
          <w:rFonts w:cs="Arial"/>
          <w:b/>
          <w:bCs/>
          <w:sz w:val="28"/>
          <w:szCs w:val="28"/>
        </w:rPr>
      </w:pPr>
      <w:r w:rsidRPr="00935B19">
        <w:rPr>
          <w:rFonts w:cs="Arial"/>
          <w:b/>
          <w:bCs/>
          <w:sz w:val="28"/>
          <w:szCs w:val="28"/>
        </w:rPr>
        <w:t xml:space="preserve">sulla mozione </w:t>
      </w:r>
      <w:r w:rsidRPr="005F1C18">
        <w:rPr>
          <w:rFonts w:cs="Arial"/>
          <w:b/>
          <w:bCs/>
          <w:sz w:val="28"/>
          <w:szCs w:val="28"/>
        </w:rPr>
        <w:t>16 ottobre 2017 presentata da Massimiliano Ay “Valorizziamo</w:t>
      </w:r>
      <w:r>
        <w:rPr>
          <w:rFonts w:cs="Arial"/>
          <w:b/>
          <w:bCs/>
          <w:sz w:val="28"/>
          <w:szCs w:val="28"/>
        </w:rPr>
        <w:t xml:space="preserve"> i corsi passerella per accedere</w:t>
      </w:r>
      <w:r w:rsidRPr="005F1C18">
        <w:rPr>
          <w:rFonts w:cs="Arial"/>
          <w:b/>
          <w:bCs/>
        </w:rPr>
        <w:t xml:space="preserve"> </w:t>
      </w:r>
      <w:r w:rsidRPr="005F1C18">
        <w:rPr>
          <w:rFonts w:cs="Arial"/>
          <w:b/>
          <w:bCs/>
          <w:sz w:val="28"/>
          <w:szCs w:val="28"/>
        </w:rPr>
        <w:t>all'università</w:t>
      </w:r>
      <w:r w:rsidRPr="005F1C18">
        <w:rPr>
          <w:rFonts w:cs="Arial"/>
          <w:b/>
          <w:bCs/>
        </w:rPr>
        <w:t>”</w:t>
      </w:r>
    </w:p>
    <w:p w:rsidR="00D84D91" w:rsidRPr="00935B19" w:rsidRDefault="00D84D91" w:rsidP="00D84D91">
      <w:pPr>
        <w:spacing w:before="100"/>
        <w:rPr>
          <w:rFonts w:cs="Arial"/>
          <w:b/>
          <w:bCs/>
          <w:sz w:val="26"/>
          <w:szCs w:val="26"/>
        </w:rPr>
      </w:pPr>
      <w:r>
        <w:rPr>
          <w:rFonts w:cs="Arial"/>
          <w:b/>
          <w:bCs/>
          <w:sz w:val="26"/>
          <w:szCs w:val="26"/>
        </w:rPr>
        <w:t>(v. messaggio 10</w:t>
      </w:r>
      <w:r w:rsidRPr="00935B19">
        <w:rPr>
          <w:rFonts w:cs="Arial"/>
          <w:b/>
          <w:bCs/>
          <w:sz w:val="26"/>
          <w:szCs w:val="26"/>
        </w:rPr>
        <w:t xml:space="preserve"> aprile 201</w:t>
      </w:r>
      <w:r>
        <w:rPr>
          <w:rFonts w:cs="Arial"/>
          <w:b/>
          <w:bCs/>
          <w:sz w:val="26"/>
          <w:szCs w:val="26"/>
        </w:rPr>
        <w:t>8</w:t>
      </w:r>
      <w:r w:rsidRPr="00935B19">
        <w:rPr>
          <w:rFonts w:cs="Arial"/>
          <w:b/>
          <w:bCs/>
          <w:sz w:val="26"/>
          <w:szCs w:val="26"/>
        </w:rPr>
        <w:t xml:space="preserve"> n. </w:t>
      </w:r>
      <w:r>
        <w:rPr>
          <w:rFonts w:cs="Arial"/>
          <w:b/>
          <w:bCs/>
          <w:sz w:val="26"/>
          <w:szCs w:val="26"/>
        </w:rPr>
        <w:t>7523</w:t>
      </w:r>
      <w:r w:rsidRPr="00935B19">
        <w:rPr>
          <w:rFonts w:cs="Arial"/>
          <w:b/>
          <w:bCs/>
          <w:sz w:val="26"/>
          <w:szCs w:val="26"/>
        </w:rPr>
        <w:t>)</w:t>
      </w:r>
    </w:p>
    <w:p w:rsidR="00B860C2" w:rsidRDefault="00B860C2" w:rsidP="00B860C2">
      <w:pPr>
        <w:rPr>
          <w:rFonts w:cs="Arial"/>
          <w:szCs w:val="24"/>
        </w:rPr>
      </w:pPr>
    </w:p>
    <w:p w:rsidR="00B860C2" w:rsidRDefault="00B860C2" w:rsidP="00B860C2">
      <w:pPr>
        <w:rPr>
          <w:rFonts w:cs="Arial"/>
          <w:szCs w:val="24"/>
        </w:rPr>
      </w:pPr>
    </w:p>
    <w:p w:rsidR="00B860C2" w:rsidRDefault="00B860C2" w:rsidP="00B860C2">
      <w:pPr>
        <w:rPr>
          <w:rFonts w:cs="Arial"/>
          <w:szCs w:val="24"/>
        </w:rPr>
      </w:pPr>
    </w:p>
    <w:p w:rsidR="00827C5D" w:rsidRPr="00F27C9B" w:rsidRDefault="00827C5D" w:rsidP="00F943B7">
      <w:pPr>
        <w:pStyle w:val="Titolo1"/>
      </w:pPr>
      <w:bookmarkStart w:id="1" w:name="_Toc532286235"/>
      <w:r w:rsidRPr="00F27C9B">
        <w:t>Introduzione</w:t>
      </w:r>
    </w:p>
    <w:p w:rsidR="00827C5D" w:rsidRPr="00F943B7" w:rsidRDefault="00827C5D" w:rsidP="00F943B7">
      <w:pPr>
        <w:rPr>
          <w:b/>
          <w:sz w:val="23"/>
          <w:szCs w:val="23"/>
        </w:rPr>
      </w:pPr>
      <w:r w:rsidRPr="00F943B7">
        <w:rPr>
          <w:b/>
          <w:sz w:val="23"/>
          <w:szCs w:val="23"/>
        </w:rPr>
        <w:t xml:space="preserve">L'esame complementare passerella “maturità professionale/maturità specializzata </w:t>
      </w:r>
      <w:r w:rsidR="00F943B7">
        <w:rPr>
          <w:b/>
          <w:sz w:val="23"/>
          <w:szCs w:val="23"/>
        </w:rPr>
        <w:t>-</w:t>
      </w:r>
      <w:r w:rsidRPr="00F943B7">
        <w:rPr>
          <w:b/>
          <w:sz w:val="23"/>
          <w:szCs w:val="23"/>
        </w:rPr>
        <w:t xml:space="preserve"> scuole universitarie” è posto sotto la responsabilità della Commissione svizzera di maturità (CSM). L’esame può essere sostenuto nell’ambito delle due sessioni ordinarie dell'esame svizzero di maturità, organizzate dalla Segreteria di Stato per la formazione, la ricerca e l’innovazione (SEFRI) ogni anno nelle tre regioni linguistiche, oppure in una scuola di maturità riconosciuta, autorizzata dalla CSM a proporlo.</w:t>
      </w:r>
    </w:p>
    <w:p w:rsidR="00F943B7" w:rsidRDefault="00F943B7" w:rsidP="00F943B7"/>
    <w:p w:rsidR="00827C5D" w:rsidRDefault="00827C5D" w:rsidP="00F943B7">
      <w:r w:rsidRPr="00F27C9B">
        <w:t>La preparazione all’esame organizzato dalla SEFRI è libera: i candidati possono prepararsi da autodidatti oppure seguendo corsi preparatori proposti da scuole private non riconosciute. Nelle scuole di maturità riconosciute, l’esame può essere sostenuto al termine di un corso preparatorio di un anno.</w:t>
      </w:r>
    </w:p>
    <w:p w:rsidR="00D84D91" w:rsidRDefault="00D84D91" w:rsidP="00F943B7"/>
    <w:p w:rsidR="00F943B7" w:rsidRDefault="00F943B7" w:rsidP="00F943B7"/>
    <w:p w:rsidR="00F943B7" w:rsidRPr="00F27C9B" w:rsidRDefault="00F943B7" w:rsidP="00F943B7"/>
    <w:p w:rsidR="00827C5D" w:rsidRPr="00ED6B02" w:rsidRDefault="00827C5D" w:rsidP="00F943B7">
      <w:pPr>
        <w:pStyle w:val="Titolo1"/>
      </w:pPr>
      <w:r w:rsidRPr="00ED6B02">
        <w:t>Programmi e procedure d’esame</w:t>
      </w:r>
    </w:p>
    <w:p w:rsidR="00827C5D" w:rsidRDefault="00827C5D" w:rsidP="00F943B7">
      <w:r w:rsidRPr="00F27C9B">
        <w:t>Gli aspetti essenziali dell'esame (materie, programmi, procedure, criteri di valutazione, ecc.) sono disciplinati dall’Ordinanza</w:t>
      </w:r>
      <w:r w:rsidRPr="00660D8F">
        <w:rPr>
          <w:rStyle w:val="Rimandonotaapidipagina"/>
          <w:rFonts w:cs="Arial"/>
          <w:sz w:val="20"/>
          <w:szCs w:val="20"/>
        </w:rPr>
        <w:footnoteReference w:id="1"/>
      </w:r>
      <w:r>
        <w:t xml:space="preserve"> </w:t>
      </w:r>
      <w:r w:rsidRPr="00F27C9B">
        <w:t xml:space="preserve">e dalle direttive. </w:t>
      </w:r>
    </w:p>
    <w:p w:rsidR="00827C5D" w:rsidRPr="00F27C9B" w:rsidRDefault="00827C5D" w:rsidP="00F943B7"/>
    <w:p w:rsidR="00827C5D" w:rsidRDefault="00827C5D" w:rsidP="00F943B7">
      <w:r w:rsidRPr="00F27C9B">
        <w:t>Per tutti i candidati vigono le stesse condizioni, indipendentemente dal tipo di maturità professionale o di maturità specializzata conseguita.</w:t>
      </w:r>
    </w:p>
    <w:p w:rsidR="00F943B7" w:rsidRPr="00F27C9B" w:rsidRDefault="00F943B7" w:rsidP="00F943B7"/>
    <w:p w:rsidR="00827C5D" w:rsidRPr="00F27C9B" w:rsidRDefault="00827C5D" w:rsidP="00F943B7">
      <w:bookmarkStart w:id="2" w:name="id-1"/>
      <w:bookmarkEnd w:id="2"/>
      <w:r w:rsidRPr="00F27C9B">
        <w:t>L’attestato di superamento dell’esame complementare, assieme all’attestato federale di maturità professionale o all’attestato di maturità specializzata riconosciuto a livello svizzero, vale come attestato equivalente alla maturità liceale svizzera o riconosciuta dalla Confederazione. In quanto tale, dà diritto all’ammissione:</w:t>
      </w:r>
    </w:p>
    <w:p w:rsidR="00827C5D" w:rsidRPr="00F943B7" w:rsidRDefault="00827C5D" w:rsidP="00F943B7">
      <w:pPr>
        <w:tabs>
          <w:tab w:val="left" w:pos="426"/>
        </w:tabs>
        <w:spacing w:before="100"/>
        <w:ind w:left="425" w:hanging="425"/>
        <w:rPr>
          <w:rFonts w:eastAsia="Times New Roman" w:cs="Arial"/>
          <w:szCs w:val="24"/>
        </w:rPr>
      </w:pPr>
      <w:r w:rsidRPr="00F943B7">
        <w:rPr>
          <w:rFonts w:eastAsia="Times New Roman" w:cs="Arial"/>
          <w:szCs w:val="24"/>
        </w:rPr>
        <w:t>a.</w:t>
      </w:r>
      <w:r w:rsidRPr="00F943B7">
        <w:rPr>
          <w:rFonts w:eastAsia="Times New Roman" w:cs="Arial"/>
          <w:szCs w:val="24"/>
        </w:rPr>
        <w:tab/>
        <w:t>ai politecnici federali secondo la legge del 4 ottobre 1991 sui PF;</w:t>
      </w:r>
    </w:p>
    <w:p w:rsidR="00827C5D" w:rsidRPr="00F943B7" w:rsidRDefault="00827C5D" w:rsidP="00F943B7">
      <w:pPr>
        <w:tabs>
          <w:tab w:val="left" w:pos="426"/>
        </w:tabs>
        <w:spacing w:before="100"/>
        <w:ind w:left="425" w:hanging="425"/>
        <w:rPr>
          <w:rFonts w:eastAsia="Times New Roman" w:cs="Arial"/>
          <w:szCs w:val="24"/>
        </w:rPr>
      </w:pPr>
      <w:r w:rsidRPr="00F943B7">
        <w:rPr>
          <w:rFonts w:eastAsia="Times New Roman" w:cs="Arial"/>
          <w:szCs w:val="24"/>
        </w:rPr>
        <w:t>b.</w:t>
      </w:r>
      <w:r w:rsidRPr="00F943B7">
        <w:rPr>
          <w:rFonts w:eastAsia="Times New Roman" w:cs="Arial"/>
          <w:szCs w:val="24"/>
        </w:rPr>
        <w:tab/>
        <w:t>agli esami federali per le professioni mediche secondo la legge del 23 giugno 2006 sulle professioni mediche.</w:t>
      </w:r>
    </w:p>
    <w:p w:rsidR="00827C5D" w:rsidRDefault="00827C5D" w:rsidP="00827C5D">
      <w:pPr>
        <w:rPr>
          <w:rFonts w:eastAsia="Times New Roman" w:cs="Arial"/>
        </w:rPr>
      </w:pPr>
    </w:p>
    <w:p w:rsidR="00F943B7" w:rsidRPr="00F943B7" w:rsidRDefault="00F943B7" w:rsidP="00827C5D">
      <w:pPr>
        <w:rPr>
          <w:rFonts w:eastAsia="Times New Roman" w:cs="Arial"/>
        </w:rPr>
      </w:pPr>
    </w:p>
    <w:p w:rsidR="00827C5D" w:rsidRPr="00AB6C06" w:rsidRDefault="00827C5D" w:rsidP="00F943B7">
      <w:pPr>
        <w:pStyle w:val="Titolo1"/>
      </w:pPr>
      <w:r w:rsidRPr="00AB6C06">
        <w:lastRenderedPageBreak/>
        <w:t>La Mozione di Massimiliano Ay</w:t>
      </w:r>
    </w:p>
    <w:p w:rsidR="00827C5D" w:rsidRDefault="00827C5D" w:rsidP="00F943B7">
      <w:r w:rsidRPr="00F27C9B">
        <w:t>Dopo questa introduzione necessaria soprattutto a chiarire che il Corso passerella è un percorso di studi fortemente codificato e molto impegnativo per chi lo segue</w:t>
      </w:r>
      <w:r>
        <w:t>,</w:t>
      </w:r>
      <w:r w:rsidRPr="00F27C9B">
        <w:t xml:space="preserve"> entriamo nel merito della Mozione di</w:t>
      </w:r>
      <w:r>
        <w:t xml:space="preserve"> Massimiliano Ay e cofirmatari.</w:t>
      </w:r>
    </w:p>
    <w:p w:rsidR="00827C5D" w:rsidRDefault="00827C5D" w:rsidP="00F943B7"/>
    <w:p w:rsidR="00827C5D" w:rsidRDefault="00827C5D" w:rsidP="00F943B7">
      <w:r>
        <w:t>Nel merito con questa mozione si chiede:</w:t>
      </w:r>
    </w:p>
    <w:p w:rsidR="00827C5D" w:rsidRPr="00F943B7" w:rsidRDefault="00827C5D" w:rsidP="00F943B7">
      <w:pPr>
        <w:rPr>
          <w:b/>
          <w:sz w:val="23"/>
          <w:szCs w:val="23"/>
        </w:rPr>
      </w:pPr>
    </w:p>
    <w:p w:rsidR="00827C5D" w:rsidRPr="00F943B7" w:rsidRDefault="00827C5D" w:rsidP="00827C5D">
      <w:pPr>
        <w:spacing w:after="120"/>
        <w:rPr>
          <w:rFonts w:cs="Arial"/>
          <w:b/>
          <w:i/>
          <w:sz w:val="23"/>
          <w:szCs w:val="23"/>
        </w:rPr>
      </w:pPr>
      <w:r w:rsidRPr="00F943B7">
        <w:rPr>
          <w:rFonts w:cs="Arial"/>
          <w:b/>
          <w:i/>
          <w:sz w:val="23"/>
          <w:szCs w:val="23"/>
        </w:rPr>
        <w:t>“Proposte della mozione</w:t>
      </w:r>
    </w:p>
    <w:p w:rsidR="00827C5D" w:rsidRDefault="00F943B7" w:rsidP="00827C5D">
      <w:pPr>
        <w:rPr>
          <w:rFonts w:cs="Arial"/>
          <w:i/>
          <w:sz w:val="23"/>
          <w:szCs w:val="23"/>
        </w:rPr>
      </w:pPr>
      <w:r w:rsidRPr="00F943B7">
        <w:rPr>
          <w:rFonts w:cs="Arial"/>
          <w:i/>
          <w:sz w:val="23"/>
          <w:szCs w:val="23"/>
        </w:rPr>
        <w:t>…</w:t>
      </w:r>
    </w:p>
    <w:p w:rsidR="00F943B7" w:rsidRPr="00F943B7" w:rsidRDefault="00F943B7" w:rsidP="00827C5D">
      <w:pPr>
        <w:rPr>
          <w:rFonts w:cs="Arial"/>
          <w:i/>
          <w:sz w:val="12"/>
          <w:szCs w:val="12"/>
        </w:rPr>
      </w:pPr>
    </w:p>
    <w:p w:rsidR="00827C5D" w:rsidRPr="00F943B7" w:rsidRDefault="00827C5D" w:rsidP="00827C5D">
      <w:pPr>
        <w:rPr>
          <w:rFonts w:cs="Arial"/>
          <w:i/>
          <w:sz w:val="23"/>
          <w:szCs w:val="23"/>
        </w:rPr>
      </w:pPr>
      <w:r w:rsidRPr="00F943B7">
        <w:rPr>
          <w:rFonts w:cs="Arial"/>
          <w:i/>
          <w:sz w:val="23"/>
          <w:szCs w:val="23"/>
        </w:rPr>
        <w:t>È abolito il numero chiuso al corso passerella (introdotto nell’anno scolastico 2010/2011), così da incrementare i posti di studio disponibili in base alla domanda effettiva.</w:t>
      </w:r>
    </w:p>
    <w:p w:rsidR="00827C5D" w:rsidRPr="00F943B7" w:rsidRDefault="00827C5D" w:rsidP="00827C5D">
      <w:pPr>
        <w:rPr>
          <w:rFonts w:cs="Arial"/>
          <w:i/>
          <w:sz w:val="12"/>
          <w:szCs w:val="12"/>
        </w:rPr>
      </w:pPr>
    </w:p>
    <w:p w:rsidR="00827C5D" w:rsidRPr="00F943B7" w:rsidRDefault="00827C5D" w:rsidP="00827C5D">
      <w:pPr>
        <w:rPr>
          <w:rFonts w:cs="Arial"/>
          <w:i/>
          <w:sz w:val="23"/>
          <w:szCs w:val="23"/>
        </w:rPr>
      </w:pPr>
      <w:r w:rsidRPr="00F943B7">
        <w:rPr>
          <w:rFonts w:cs="Arial"/>
          <w:i/>
          <w:sz w:val="23"/>
          <w:szCs w:val="23"/>
        </w:rPr>
        <w:t xml:space="preserve">Conseguentemente all’incremento di interesse per questa soluzione formativa, si propone che il corso passerella non sia più offerto esclusivamente al Liceo di Bellinzona, ma che esso venga diffuso almeno in un’altra sede, meglio se nel </w:t>
      </w:r>
      <w:proofErr w:type="spellStart"/>
      <w:r w:rsidRPr="00F943B7">
        <w:rPr>
          <w:rFonts w:cs="Arial"/>
          <w:i/>
          <w:sz w:val="23"/>
          <w:szCs w:val="23"/>
        </w:rPr>
        <w:t>Sottoceneri</w:t>
      </w:r>
      <w:proofErr w:type="spellEnd"/>
      <w:r w:rsidRPr="00F943B7">
        <w:rPr>
          <w:rFonts w:cs="Arial"/>
          <w:i/>
          <w:sz w:val="23"/>
          <w:szCs w:val="23"/>
        </w:rPr>
        <w:t>.”</w:t>
      </w:r>
    </w:p>
    <w:p w:rsidR="00827C5D" w:rsidRPr="00F943B7" w:rsidRDefault="00827C5D" w:rsidP="00827C5D">
      <w:pPr>
        <w:rPr>
          <w:rFonts w:eastAsia="Times New Roman" w:cs="Arial"/>
          <w:szCs w:val="24"/>
        </w:rPr>
      </w:pPr>
    </w:p>
    <w:p w:rsidR="00827C5D" w:rsidRPr="00F943B7" w:rsidRDefault="00827C5D" w:rsidP="00827C5D">
      <w:pPr>
        <w:rPr>
          <w:rFonts w:eastAsia="Times New Roman" w:cs="Arial"/>
          <w:szCs w:val="24"/>
        </w:rPr>
      </w:pPr>
      <w:r w:rsidRPr="00F943B7">
        <w:rPr>
          <w:rFonts w:eastAsia="Times New Roman" w:cs="Arial"/>
          <w:szCs w:val="24"/>
        </w:rPr>
        <w:t>La Commissione ha ascoltato le motivazioni e le ragioni di Massimiliano Ay, l’ultima volta nell’audizione del 13 gennaio 2020.</w:t>
      </w:r>
    </w:p>
    <w:p w:rsidR="00827C5D" w:rsidRDefault="00827C5D" w:rsidP="00827C5D">
      <w:pPr>
        <w:rPr>
          <w:rFonts w:eastAsia="Times New Roman" w:cs="Arial"/>
          <w:szCs w:val="24"/>
        </w:rPr>
      </w:pPr>
    </w:p>
    <w:p w:rsidR="00F943B7" w:rsidRPr="00F943B7" w:rsidRDefault="00F943B7" w:rsidP="00827C5D">
      <w:pPr>
        <w:rPr>
          <w:rFonts w:eastAsia="Times New Roman" w:cs="Arial"/>
          <w:szCs w:val="24"/>
        </w:rPr>
      </w:pPr>
    </w:p>
    <w:p w:rsidR="00827C5D" w:rsidRPr="00F943B7" w:rsidRDefault="00827C5D" w:rsidP="00827C5D">
      <w:pPr>
        <w:rPr>
          <w:rFonts w:eastAsia="Times New Roman" w:cs="Arial"/>
          <w:szCs w:val="24"/>
        </w:rPr>
      </w:pPr>
      <w:r w:rsidRPr="00836198">
        <w:rPr>
          <w:rFonts w:eastAsia="Times New Roman" w:cs="Arial"/>
          <w:b/>
          <w:sz w:val="23"/>
          <w:szCs w:val="23"/>
        </w:rPr>
        <w:t>Sulla prima proposta avanzata dalla Mozione, e cioè l’abolizione del numero chiuso,</w:t>
      </w:r>
      <w:r w:rsidRPr="00836198">
        <w:rPr>
          <w:rFonts w:eastAsia="Times New Roman" w:cs="Arial"/>
          <w:sz w:val="23"/>
          <w:szCs w:val="23"/>
        </w:rPr>
        <w:t xml:space="preserve"> </w:t>
      </w:r>
      <w:r w:rsidRPr="00F943B7">
        <w:rPr>
          <w:rFonts w:eastAsia="Times New Roman" w:cs="Arial"/>
          <w:szCs w:val="24"/>
        </w:rPr>
        <w:t xml:space="preserve">la Commissione aderisce alla proposta, ritenendo che le giovani e i giovani che si avviano verso </w:t>
      </w:r>
      <w:r w:rsidR="00836198" w:rsidRPr="00F943B7">
        <w:rPr>
          <w:rFonts w:eastAsia="Times New Roman" w:cs="Arial"/>
          <w:szCs w:val="24"/>
        </w:rPr>
        <w:t>questo</w:t>
      </w:r>
      <w:r w:rsidRPr="00F943B7">
        <w:rPr>
          <w:rFonts w:eastAsia="Times New Roman" w:cs="Arial"/>
          <w:szCs w:val="24"/>
        </w:rPr>
        <w:t xml:space="preserve"> percorso formativo dovrebbero avere la necessaria motivazione e maturità per meritare di poter quanto meno provare il raggiungimento di un titolo equivalente alla maturità liceale che dia accesso alle Università e ai Politecnici svizzeri.</w:t>
      </w:r>
    </w:p>
    <w:p w:rsidR="00827C5D" w:rsidRPr="00F943B7" w:rsidRDefault="00827C5D" w:rsidP="00827C5D">
      <w:pPr>
        <w:rPr>
          <w:rFonts w:eastAsia="Times New Roman" w:cs="Arial"/>
          <w:szCs w:val="24"/>
        </w:rPr>
      </w:pPr>
    </w:p>
    <w:p w:rsidR="00827C5D" w:rsidRPr="00F943B7" w:rsidRDefault="00827C5D" w:rsidP="00827C5D">
      <w:pPr>
        <w:rPr>
          <w:rFonts w:eastAsia="Times New Roman" w:cs="Arial"/>
          <w:szCs w:val="24"/>
        </w:rPr>
      </w:pPr>
      <w:r w:rsidRPr="00F943B7">
        <w:rPr>
          <w:rFonts w:eastAsia="Times New Roman" w:cs="Arial"/>
          <w:szCs w:val="24"/>
        </w:rPr>
        <w:t>In tal senso va ricordato che l’</w:t>
      </w:r>
      <w:r w:rsidRPr="00F943B7">
        <w:rPr>
          <w:rFonts w:eastAsia="Times New Roman" w:cs="Arial"/>
          <w:i/>
          <w:iCs/>
          <w:szCs w:val="24"/>
        </w:rPr>
        <w:t>Ordinanza concernente l’esame complementare per l’ammissione dei titolari di un attestato di maturità professionale federale o di un attestato di maturità specializzata riconosciuto a livello nazionale alle università cantonali e ai politecnici federali</w:t>
      </w:r>
      <w:r w:rsidR="00836198">
        <w:rPr>
          <w:rFonts w:eastAsia="Times New Roman" w:cs="Arial"/>
          <w:b/>
          <w:bCs/>
          <w:szCs w:val="24"/>
        </w:rPr>
        <w:t xml:space="preserve"> </w:t>
      </w:r>
      <w:r w:rsidRPr="00F943B7">
        <w:rPr>
          <w:rFonts w:eastAsia="Times New Roman" w:cs="Arial"/>
          <w:szCs w:val="24"/>
        </w:rPr>
        <w:t>del 2 febbraio 2011 non pone alcuna condizione aggiuntiva al possesso di una maturità professionale o specializzata per essere ammessi all’esame stesso (art. 1 e art. 2 cpv. 1)</w:t>
      </w:r>
    </w:p>
    <w:p w:rsidR="00827C5D" w:rsidRPr="00F943B7" w:rsidRDefault="00827C5D" w:rsidP="00827C5D">
      <w:pPr>
        <w:rPr>
          <w:rFonts w:eastAsia="Times New Roman" w:cs="Arial"/>
          <w:szCs w:val="24"/>
        </w:rPr>
      </w:pPr>
    </w:p>
    <w:p w:rsidR="00827C5D" w:rsidRPr="00F943B7" w:rsidRDefault="00827C5D" w:rsidP="00827C5D">
      <w:pPr>
        <w:rPr>
          <w:rFonts w:eastAsia="Times New Roman" w:cs="Arial"/>
          <w:szCs w:val="24"/>
        </w:rPr>
      </w:pPr>
      <w:r w:rsidRPr="00F943B7">
        <w:rPr>
          <w:rFonts w:eastAsia="Times New Roman" w:cs="Arial"/>
          <w:szCs w:val="24"/>
        </w:rPr>
        <w:t xml:space="preserve">Nonostante ciò, siamo coscienti che, per le importanti difficoltà del percorso, il tasso di insuccessi, nonostante il numero chiuso e con alcune fluttuazioni nel tempo, è oggi molto elevato. </w:t>
      </w:r>
    </w:p>
    <w:p w:rsidR="00827C5D" w:rsidRPr="00F943B7" w:rsidRDefault="00827C5D" w:rsidP="00827C5D">
      <w:pPr>
        <w:rPr>
          <w:rFonts w:eastAsia="Times New Roman" w:cs="Arial"/>
          <w:sz w:val="18"/>
          <w:szCs w:val="18"/>
        </w:rPr>
      </w:pPr>
    </w:p>
    <w:p w:rsidR="00827C5D" w:rsidRPr="00F943B7" w:rsidRDefault="00827C5D" w:rsidP="00827C5D">
      <w:pPr>
        <w:rPr>
          <w:rFonts w:eastAsia="Times New Roman" w:cs="Arial"/>
          <w:sz w:val="18"/>
          <w:szCs w:val="18"/>
        </w:rPr>
      </w:pPr>
    </w:p>
    <w:tbl>
      <w:tblPr>
        <w:tblW w:w="0" w:type="auto"/>
        <w:tblInd w:w="85" w:type="dxa"/>
        <w:tblLook w:val="04A0" w:firstRow="1" w:lastRow="0" w:firstColumn="1" w:lastColumn="0" w:noHBand="0" w:noVBand="1"/>
      </w:tblPr>
      <w:tblGrid>
        <w:gridCol w:w="2072"/>
        <w:gridCol w:w="1247"/>
        <w:gridCol w:w="1359"/>
        <w:gridCol w:w="1249"/>
        <w:gridCol w:w="1249"/>
      </w:tblGrid>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DE0E4D">
              <w:rPr>
                <w:w w:val="110"/>
                <w:sz w:val="18"/>
                <w:szCs w:val="18"/>
              </w:rPr>
              <w:t>Anno</w:t>
            </w:r>
          </w:p>
        </w:tc>
        <w:tc>
          <w:tcPr>
            <w:tcW w:w="1247" w:type="dxa"/>
            <w:shd w:val="clear" w:color="auto" w:fill="auto"/>
          </w:tcPr>
          <w:p w:rsidR="00827C5D" w:rsidRPr="00F76B95" w:rsidRDefault="00827C5D" w:rsidP="00556F83">
            <w:pPr>
              <w:pStyle w:val="Default"/>
              <w:jc w:val="both"/>
              <w:rPr>
                <w:w w:val="122"/>
                <w:sz w:val="18"/>
                <w:szCs w:val="18"/>
              </w:rPr>
            </w:pPr>
            <w:r w:rsidRPr="00F76B95">
              <w:rPr>
                <w:w w:val="110"/>
                <w:sz w:val="18"/>
                <w:szCs w:val="18"/>
              </w:rPr>
              <w:t>I</w:t>
            </w:r>
            <w:r w:rsidRPr="00DE0E4D">
              <w:rPr>
                <w:w w:val="115"/>
                <w:sz w:val="18"/>
                <w:szCs w:val="18"/>
              </w:rPr>
              <w:t>scritti</w:t>
            </w:r>
            <w:r w:rsidRPr="00DE0E4D">
              <w:rPr>
                <w:w w:val="122"/>
                <w:sz w:val="18"/>
                <w:szCs w:val="18"/>
              </w:rPr>
              <w:t xml:space="preserve"> </w:t>
            </w:r>
          </w:p>
          <w:p w:rsidR="00827C5D" w:rsidRPr="00F76B95" w:rsidRDefault="00827C5D" w:rsidP="00556F83">
            <w:pPr>
              <w:pStyle w:val="Default"/>
              <w:jc w:val="both"/>
              <w:rPr>
                <w:sz w:val="18"/>
                <w:szCs w:val="18"/>
              </w:rPr>
            </w:pPr>
            <w:r w:rsidRPr="00DE0E4D">
              <w:rPr>
                <w:sz w:val="18"/>
                <w:szCs w:val="18"/>
              </w:rPr>
              <w:t>DFA+SU</w:t>
            </w:r>
          </w:p>
        </w:tc>
        <w:tc>
          <w:tcPr>
            <w:tcW w:w="1359" w:type="dxa"/>
            <w:shd w:val="clear" w:color="auto" w:fill="auto"/>
          </w:tcPr>
          <w:p w:rsidR="00827C5D" w:rsidRPr="00F76B95" w:rsidRDefault="00827C5D" w:rsidP="00556F83">
            <w:pPr>
              <w:pStyle w:val="Default"/>
              <w:ind w:right="-108"/>
              <w:jc w:val="both"/>
              <w:rPr>
                <w:sz w:val="18"/>
                <w:szCs w:val="18"/>
              </w:rPr>
            </w:pPr>
            <w:r w:rsidRPr="00F76B95">
              <w:rPr>
                <w:w w:val="110"/>
                <w:sz w:val="18"/>
                <w:szCs w:val="18"/>
              </w:rPr>
              <w:t>A</w:t>
            </w:r>
            <w:r w:rsidRPr="00DE0E4D">
              <w:rPr>
                <w:w w:val="110"/>
                <w:sz w:val="18"/>
                <w:szCs w:val="18"/>
              </w:rPr>
              <w:t>mmessi</w:t>
            </w:r>
          </w:p>
        </w:tc>
        <w:tc>
          <w:tcPr>
            <w:tcW w:w="1249" w:type="dxa"/>
            <w:shd w:val="clear" w:color="auto" w:fill="auto"/>
          </w:tcPr>
          <w:p w:rsidR="00827C5D" w:rsidRPr="00F76B95" w:rsidRDefault="00827C5D" w:rsidP="00556F83">
            <w:pPr>
              <w:pStyle w:val="Default"/>
              <w:jc w:val="both"/>
              <w:rPr>
                <w:w w:val="110"/>
                <w:sz w:val="18"/>
                <w:szCs w:val="18"/>
              </w:rPr>
            </w:pPr>
            <w:r w:rsidRPr="00F76B95">
              <w:rPr>
                <w:w w:val="105"/>
                <w:sz w:val="18"/>
                <w:szCs w:val="18"/>
              </w:rPr>
              <w:t>A</w:t>
            </w:r>
            <w:r w:rsidRPr="00DE0E4D">
              <w:rPr>
                <w:w w:val="110"/>
                <w:sz w:val="18"/>
                <w:szCs w:val="18"/>
              </w:rPr>
              <w:t>mmessi</w:t>
            </w:r>
          </w:p>
          <w:p w:rsidR="00827C5D" w:rsidRPr="00F76B95" w:rsidRDefault="00827C5D" w:rsidP="00556F83">
            <w:pPr>
              <w:pStyle w:val="Default"/>
              <w:jc w:val="both"/>
              <w:rPr>
                <w:sz w:val="18"/>
                <w:szCs w:val="18"/>
              </w:rPr>
            </w:pPr>
            <w:r w:rsidRPr="00F76B95">
              <w:rPr>
                <w:w w:val="110"/>
                <w:sz w:val="18"/>
                <w:szCs w:val="18"/>
              </w:rPr>
              <w:t>%</w:t>
            </w:r>
          </w:p>
        </w:tc>
        <w:tc>
          <w:tcPr>
            <w:tcW w:w="1249" w:type="dxa"/>
            <w:shd w:val="clear" w:color="auto" w:fill="auto"/>
          </w:tcPr>
          <w:p w:rsidR="00827C5D" w:rsidRPr="00F76B95" w:rsidRDefault="00827C5D" w:rsidP="00556F83">
            <w:pPr>
              <w:pStyle w:val="Default"/>
              <w:jc w:val="both"/>
              <w:rPr>
                <w:w w:val="110"/>
                <w:sz w:val="18"/>
                <w:szCs w:val="18"/>
              </w:rPr>
            </w:pPr>
            <w:r w:rsidRPr="00F76B95">
              <w:rPr>
                <w:w w:val="105"/>
                <w:sz w:val="18"/>
                <w:szCs w:val="18"/>
              </w:rPr>
              <w:t>Promo</w:t>
            </w:r>
            <w:r w:rsidRPr="00DE0E4D">
              <w:rPr>
                <w:w w:val="110"/>
                <w:sz w:val="18"/>
                <w:szCs w:val="18"/>
              </w:rPr>
              <w:t>ssi</w:t>
            </w:r>
          </w:p>
          <w:p w:rsidR="00827C5D" w:rsidRDefault="00827C5D" w:rsidP="00556F83">
            <w:pPr>
              <w:pStyle w:val="Default"/>
              <w:jc w:val="both"/>
              <w:rPr>
                <w:w w:val="110"/>
                <w:sz w:val="18"/>
                <w:szCs w:val="18"/>
              </w:rPr>
            </w:pPr>
            <w:r w:rsidRPr="00F76B95">
              <w:rPr>
                <w:w w:val="110"/>
                <w:sz w:val="18"/>
                <w:szCs w:val="18"/>
              </w:rPr>
              <w:t>%</w:t>
            </w:r>
          </w:p>
          <w:p w:rsidR="00827C5D" w:rsidRPr="00F76B95" w:rsidRDefault="00827C5D" w:rsidP="00556F83">
            <w:pPr>
              <w:pStyle w:val="Default"/>
              <w:jc w:val="both"/>
              <w:rPr>
                <w:sz w:val="18"/>
                <w:szCs w:val="18"/>
              </w:rPr>
            </w:pP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2005/2006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68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46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68% </w:t>
            </w:r>
          </w:p>
        </w:tc>
        <w:tc>
          <w:tcPr>
            <w:tcW w:w="1249" w:type="dxa"/>
            <w:shd w:val="clear" w:color="auto" w:fill="auto"/>
          </w:tcPr>
          <w:p w:rsidR="00827C5D" w:rsidRPr="00F76B95" w:rsidRDefault="00827C5D" w:rsidP="00556F83">
            <w:pPr>
              <w:pStyle w:val="Default"/>
              <w:jc w:val="both"/>
              <w:rPr>
                <w:sz w:val="18"/>
                <w:szCs w:val="18"/>
              </w:rPr>
            </w:pP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2006/2007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46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39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85% </w:t>
            </w:r>
          </w:p>
        </w:tc>
        <w:tc>
          <w:tcPr>
            <w:tcW w:w="1249" w:type="dxa"/>
            <w:shd w:val="clear" w:color="auto" w:fill="auto"/>
          </w:tcPr>
          <w:p w:rsidR="00827C5D" w:rsidRPr="00F76B95" w:rsidRDefault="00827C5D" w:rsidP="00556F83">
            <w:pPr>
              <w:pStyle w:val="Default"/>
              <w:jc w:val="both"/>
              <w:rPr>
                <w:sz w:val="18"/>
                <w:szCs w:val="18"/>
              </w:rPr>
            </w:pP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2007/2008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55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48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87% </w:t>
            </w:r>
          </w:p>
        </w:tc>
        <w:tc>
          <w:tcPr>
            <w:tcW w:w="1249" w:type="dxa"/>
            <w:shd w:val="clear" w:color="auto" w:fill="auto"/>
          </w:tcPr>
          <w:p w:rsidR="00827C5D" w:rsidRPr="00F76B95" w:rsidRDefault="00827C5D" w:rsidP="00556F83">
            <w:pPr>
              <w:pStyle w:val="Default"/>
              <w:jc w:val="both"/>
              <w:rPr>
                <w:sz w:val="18"/>
                <w:szCs w:val="18"/>
              </w:rPr>
            </w:pP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2008/2009 </w:t>
            </w:r>
          </w:p>
        </w:tc>
        <w:tc>
          <w:tcPr>
            <w:tcW w:w="1247" w:type="dxa"/>
            <w:shd w:val="clear" w:color="auto" w:fill="auto"/>
          </w:tcPr>
          <w:p w:rsidR="00827C5D" w:rsidRPr="00F76B95" w:rsidRDefault="00827C5D" w:rsidP="00556F83">
            <w:pPr>
              <w:pStyle w:val="Default"/>
              <w:ind w:right="775"/>
              <w:jc w:val="both"/>
              <w:rPr>
                <w:sz w:val="18"/>
                <w:szCs w:val="18"/>
              </w:rPr>
            </w:pPr>
            <w:r w:rsidRPr="00F76B95">
              <w:rPr>
                <w:sz w:val="18"/>
                <w:szCs w:val="18"/>
              </w:rPr>
              <w:t xml:space="preserve">46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37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80% </w:t>
            </w:r>
          </w:p>
        </w:tc>
        <w:tc>
          <w:tcPr>
            <w:tcW w:w="1249" w:type="dxa"/>
            <w:shd w:val="clear" w:color="auto" w:fill="auto"/>
          </w:tcPr>
          <w:p w:rsidR="00827C5D" w:rsidRPr="00F76B95" w:rsidRDefault="00827C5D" w:rsidP="00556F83">
            <w:pPr>
              <w:pStyle w:val="Default"/>
              <w:jc w:val="both"/>
              <w:rPr>
                <w:sz w:val="18"/>
                <w:szCs w:val="18"/>
              </w:rPr>
            </w:pP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2009/2010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47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25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53%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58% </w:t>
            </w: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2010/2011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40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26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65%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74% </w:t>
            </w: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2011/2012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36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26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72%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56% </w:t>
            </w: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2012/2013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71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25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35%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52% </w:t>
            </w: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2013/2014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52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25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48%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68% </w:t>
            </w: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2014/2015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55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25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45%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64% </w:t>
            </w: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2015/2016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66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25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38%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76% </w:t>
            </w: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2016/2017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79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25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32%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64% </w:t>
            </w: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2017/2018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83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25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30%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68% </w:t>
            </w:r>
          </w:p>
        </w:tc>
      </w:tr>
      <w:tr w:rsidR="00827C5D" w:rsidRPr="001F3693" w:rsidTr="00556F83">
        <w:tc>
          <w:tcPr>
            <w:tcW w:w="2072" w:type="dxa"/>
            <w:shd w:val="clear" w:color="auto" w:fill="auto"/>
          </w:tcPr>
          <w:p w:rsidR="00827C5D" w:rsidRPr="00F76B95" w:rsidRDefault="00827C5D" w:rsidP="00556F83">
            <w:pPr>
              <w:pStyle w:val="Default"/>
              <w:ind w:left="544"/>
              <w:jc w:val="both"/>
              <w:rPr>
                <w:sz w:val="18"/>
                <w:szCs w:val="18"/>
              </w:rPr>
            </w:pPr>
            <w:r w:rsidRPr="00F76B95">
              <w:rPr>
                <w:sz w:val="18"/>
                <w:szCs w:val="18"/>
              </w:rPr>
              <w:t xml:space="preserve">2018/2019 </w:t>
            </w:r>
          </w:p>
        </w:tc>
        <w:tc>
          <w:tcPr>
            <w:tcW w:w="1247" w:type="dxa"/>
            <w:shd w:val="clear" w:color="auto" w:fill="auto"/>
          </w:tcPr>
          <w:p w:rsidR="00827C5D" w:rsidRPr="00F76B95" w:rsidRDefault="00827C5D" w:rsidP="00556F83">
            <w:pPr>
              <w:pStyle w:val="Default"/>
              <w:jc w:val="both"/>
              <w:rPr>
                <w:sz w:val="18"/>
                <w:szCs w:val="18"/>
              </w:rPr>
            </w:pPr>
            <w:r w:rsidRPr="00F76B95">
              <w:rPr>
                <w:sz w:val="18"/>
                <w:szCs w:val="18"/>
              </w:rPr>
              <w:t xml:space="preserve">108 </w:t>
            </w:r>
          </w:p>
        </w:tc>
        <w:tc>
          <w:tcPr>
            <w:tcW w:w="1359" w:type="dxa"/>
            <w:shd w:val="clear" w:color="auto" w:fill="auto"/>
          </w:tcPr>
          <w:p w:rsidR="00827C5D" w:rsidRPr="00F76B95" w:rsidRDefault="00827C5D" w:rsidP="00556F83">
            <w:pPr>
              <w:pStyle w:val="Default"/>
              <w:ind w:right="-108"/>
              <w:jc w:val="both"/>
              <w:rPr>
                <w:sz w:val="18"/>
                <w:szCs w:val="18"/>
              </w:rPr>
            </w:pPr>
            <w:r w:rsidRPr="00F76B95">
              <w:rPr>
                <w:sz w:val="18"/>
                <w:szCs w:val="18"/>
              </w:rPr>
              <w:t xml:space="preserve">50 </w:t>
            </w:r>
          </w:p>
        </w:tc>
        <w:tc>
          <w:tcPr>
            <w:tcW w:w="1249" w:type="dxa"/>
            <w:shd w:val="clear" w:color="auto" w:fill="auto"/>
          </w:tcPr>
          <w:p w:rsidR="00827C5D" w:rsidRPr="00F76B95" w:rsidRDefault="00827C5D" w:rsidP="00556F83">
            <w:pPr>
              <w:pStyle w:val="Default"/>
              <w:jc w:val="both"/>
              <w:rPr>
                <w:sz w:val="18"/>
                <w:szCs w:val="18"/>
              </w:rPr>
            </w:pPr>
            <w:r w:rsidRPr="00F76B95">
              <w:rPr>
                <w:sz w:val="18"/>
                <w:szCs w:val="18"/>
              </w:rPr>
              <w:t xml:space="preserve">46% </w:t>
            </w:r>
          </w:p>
        </w:tc>
        <w:tc>
          <w:tcPr>
            <w:tcW w:w="1249" w:type="dxa"/>
            <w:shd w:val="clear" w:color="auto" w:fill="auto"/>
          </w:tcPr>
          <w:p w:rsidR="00827C5D" w:rsidRPr="00F76B95" w:rsidRDefault="00827C5D" w:rsidP="00556F83">
            <w:pPr>
              <w:pStyle w:val="Default"/>
              <w:jc w:val="both"/>
              <w:rPr>
                <w:sz w:val="18"/>
                <w:szCs w:val="18"/>
              </w:rPr>
            </w:pPr>
          </w:p>
        </w:tc>
      </w:tr>
    </w:tbl>
    <w:p w:rsidR="00827C5D" w:rsidRDefault="00827C5D" w:rsidP="00827C5D">
      <w:pPr>
        <w:rPr>
          <w:rFonts w:eastAsia="Times New Roman" w:cs="Arial"/>
          <w:sz w:val="20"/>
          <w:szCs w:val="20"/>
        </w:rPr>
      </w:pPr>
    </w:p>
    <w:p w:rsidR="00827C5D" w:rsidRPr="00F943B7" w:rsidRDefault="00827C5D" w:rsidP="00827C5D">
      <w:pPr>
        <w:rPr>
          <w:rFonts w:eastAsia="Times New Roman" w:cs="Arial"/>
          <w:szCs w:val="24"/>
        </w:rPr>
      </w:pPr>
      <w:r w:rsidRPr="00F943B7">
        <w:rPr>
          <w:rFonts w:eastAsia="Times New Roman" w:cs="Arial"/>
          <w:szCs w:val="24"/>
        </w:rPr>
        <w:lastRenderedPageBreak/>
        <w:t xml:space="preserve">In base a questi dati, la Commissione chiede il potenziamento dell’informazione presso le Scuole di maturità professionale, le Scuole specializzate, l’Ufficio dell’Orientamento professionale </w:t>
      </w:r>
      <w:proofErr w:type="gramStart"/>
      <w:r w:rsidRPr="00F943B7">
        <w:rPr>
          <w:rFonts w:eastAsia="Times New Roman" w:cs="Arial"/>
          <w:szCs w:val="24"/>
        </w:rPr>
        <w:t>e “</w:t>
      </w:r>
      <w:proofErr w:type="gramEnd"/>
      <w:r w:rsidRPr="00F943B7">
        <w:rPr>
          <w:rFonts w:eastAsia="Times New Roman" w:cs="Arial"/>
          <w:szCs w:val="24"/>
        </w:rPr>
        <w:t>La città del mestieri” perché i potenziali candidati del Corso passerella siano informati adeguatamente e capillarmente sulla difficoltà del percorso che intendono intraprendere e sulla mole di lavoro che lo stesso comporta.</w:t>
      </w:r>
    </w:p>
    <w:p w:rsidR="00827C5D" w:rsidRPr="00F943B7" w:rsidRDefault="00827C5D" w:rsidP="00827C5D">
      <w:pPr>
        <w:rPr>
          <w:rFonts w:eastAsia="Times New Roman" w:cs="Arial"/>
          <w:szCs w:val="24"/>
        </w:rPr>
      </w:pPr>
      <w:r w:rsidRPr="00F943B7">
        <w:rPr>
          <w:rFonts w:eastAsia="Times New Roman" w:cs="Arial"/>
          <w:szCs w:val="24"/>
        </w:rPr>
        <w:t xml:space="preserve">Questo per evitar loro di affrontare una formazione che in troppi casi, in base ai risultati, non permette loro di raggiungere l’obiettivo sperato. </w:t>
      </w:r>
    </w:p>
    <w:p w:rsidR="00827C5D" w:rsidRPr="00F943B7" w:rsidRDefault="00827C5D" w:rsidP="00827C5D">
      <w:pPr>
        <w:rPr>
          <w:rFonts w:eastAsia="Times New Roman" w:cs="Arial"/>
          <w:szCs w:val="24"/>
        </w:rPr>
      </w:pPr>
    </w:p>
    <w:p w:rsidR="00827C5D" w:rsidRPr="00F943B7" w:rsidRDefault="00827C5D" w:rsidP="00827C5D">
      <w:pPr>
        <w:rPr>
          <w:rFonts w:eastAsia="Times New Roman" w:cs="Arial"/>
          <w:szCs w:val="24"/>
        </w:rPr>
      </w:pPr>
      <w:r w:rsidRPr="00F943B7">
        <w:rPr>
          <w:rFonts w:eastAsia="Times New Roman" w:cs="Arial"/>
          <w:szCs w:val="24"/>
        </w:rPr>
        <w:t>Inoltre la Commissione ritiene opportuno richiedere una valutazione sull’esito dei risultati ottenuti dai candidati del Corso Passerella dopo due anni dalla cancellazione del numero chiuso e questo per verificare se e in che misura la cancellazione dello stesso abbia contribuito o meno all’aumento percentuale degli insuccessi.</w:t>
      </w:r>
    </w:p>
    <w:p w:rsidR="00827C5D" w:rsidRDefault="00827C5D" w:rsidP="00827C5D">
      <w:pPr>
        <w:rPr>
          <w:rFonts w:eastAsia="Times New Roman" w:cs="Arial"/>
          <w:szCs w:val="24"/>
        </w:rPr>
      </w:pPr>
    </w:p>
    <w:p w:rsidR="00F943B7" w:rsidRPr="00F943B7" w:rsidRDefault="00F943B7" w:rsidP="00827C5D">
      <w:pPr>
        <w:rPr>
          <w:rFonts w:eastAsia="Times New Roman" w:cs="Arial"/>
          <w:szCs w:val="24"/>
        </w:rPr>
      </w:pPr>
    </w:p>
    <w:p w:rsidR="00827C5D" w:rsidRPr="00F943B7" w:rsidRDefault="00827C5D" w:rsidP="00827C5D">
      <w:pPr>
        <w:rPr>
          <w:rFonts w:eastAsia="Times New Roman" w:cs="Arial"/>
          <w:szCs w:val="24"/>
        </w:rPr>
      </w:pPr>
      <w:r w:rsidRPr="00836198">
        <w:rPr>
          <w:rFonts w:eastAsia="Times New Roman" w:cs="Arial"/>
          <w:b/>
          <w:sz w:val="23"/>
          <w:szCs w:val="23"/>
        </w:rPr>
        <w:t xml:space="preserve">Sulla seconda proposta contenuta nella Mozione, e cioè la creazione di una seconda sede eventualmente nel </w:t>
      </w:r>
      <w:proofErr w:type="spellStart"/>
      <w:r w:rsidRPr="00836198">
        <w:rPr>
          <w:rFonts w:eastAsia="Times New Roman" w:cs="Arial"/>
          <w:b/>
          <w:sz w:val="23"/>
          <w:szCs w:val="23"/>
        </w:rPr>
        <w:t>Sottoceneri</w:t>
      </w:r>
      <w:proofErr w:type="spellEnd"/>
      <w:r w:rsidRPr="00F943B7">
        <w:rPr>
          <w:rFonts w:eastAsia="Times New Roman" w:cs="Arial"/>
          <w:b/>
          <w:szCs w:val="24"/>
        </w:rPr>
        <w:t xml:space="preserve">, </w:t>
      </w:r>
      <w:r w:rsidRPr="00F943B7">
        <w:rPr>
          <w:rFonts w:eastAsia="Times New Roman" w:cs="Arial"/>
          <w:szCs w:val="24"/>
        </w:rPr>
        <w:t>si ritiene prematuro entrare oggi nel merito della proposta, ritenendo utile verificare l’effettivo aumento del numero delle candidate e dei candidati che si iscriveranno al Corso Passerella quando verrà tolto il numero chiuso, così da poter valutare, in modo più fondato di quanto si possa fare oggi, l’effettivo bisogno di una seconda sede.</w:t>
      </w:r>
    </w:p>
    <w:p w:rsidR="00827C5D" w:rsidRPr="00F943B7" w:rsidRDefault="00827C5D" w:rsidP="00827C5D">
      <w:pPr>
        <w:rPr>
          <w:rFonts w:eastAsia="Times New Roman" w:cs="Arial"/>
          <w:szCs w:val="24"/>
        </w:rPr>
      </w:pPr>
    </w:p>
    <w:p w:rsidR="00827C5D" w:rsidRPr="00F943B7" w:rsidRDefault="00827C5D" w:rsidP="00827C5D">
      <w:pPr>
        <w:rPr>
          <w:rFonts w:eastAsia="Times New Roman" w:cs="Arial"/>
          <w:szCs w:val="24"/>
        </w:rPr>
      </w:pPr>
      <w:r w:rsidRPr="00F943B7">
        <w:rPr>
          <w:rFonts w:eastAsia="Times New Roman" w:cs="Arial"/>
          <w:szCs w:val="24"/>
        </w:rPr>
        <w:t>A questo proposito, e in aggiunta a quanto sopra ricordato, la Commissione ritiene anche che l’esperienza pedagogico-didattica acquisita dai Docenti che insegnano ormai da diversi anni nel Corso Passerella a Bellinzona sia preziosa e non così facilmente “clonabile” su altre sedi in modo automatico.</w:t>
      </w:r>
    </w:p>
    <w:p w:rsidR="00827C5D" w:rsidRPr="00F943B7" w:rsidRDefault="00827C5D" w:rsidP="00827C5D">
      <w:pPr>
        <w:rPr>
          <w:rFonts w:eastAsia="Times New Roman" w:cs="Arial"/>
          <w:szCs w:val="24"/>
        </w:rPr>
      </w:pPr>
    </w:p>
    <w:p w:rsidR="00827C5D" w:rsidRPr="00F943B7" w:rsidRDefault="00827C5D" w:rsidP="00827C5D">
      <w:pPr>
        <w:rPr>
          <w:rFonts w:eastAsia="Times New Roman" w:cs="Arial"/>
          <w:szCs w:val="24"/>
        </w:rPr>
      </w:pPr>
      <w:r w:rsidRPr="00F943B7">
        <w:rPr>
          <w:rFonts w:eastAsia="Times New Roman" w:cs="Arial"/>
          <w:szCs w:val="24"/>
        </w:rPr>
        <w:t xml:space="preserve">Alla luce di quanto precede, tenuto conto anche di questo importante ultimo aspetto, riteniamo opportuno attendere l’evoluzione del numero di candidati prima di entrare nel merito di un raddoppio di sede per il Corso Passerella, eventualmente nel </w:t>
      </w:r>
      <w:proofErr w:type="spellStart"/>
      <w:r w:rsidRPr="00F943B7">
        <w:rPr>
          <w:rFonts w:eastAsia="Times New Roman" w:cs="Arial"/>
          <w:szCs w:val="24"/>
        </w:rPr>
        <w:t>Sottoceneri</w:t>
      </w:r>
      <w:proofErr w:type="spellEnd"/>
      <w:r w:rsidRPr="00F943B7">
        <w:rPr>
          <w:rFonts w:eastAsia="Times New Roman" w:cs="Arial"/>
          <w:szCs w:val="24"/>
        </w:rPr>
        <w:t>.</w:t>
      </w:r>
    </w:p>
    <w:p w:rsidR="00827C5D" w:rsidRPr="00F943B7" w:rsidRDefault="00827C5D" w:rsidP="00827C5D">
      <w:pPr>
        <w:rPr>
          <w:rFonts w:eastAsia="Times New Roman" w:cs="Arial"/>
          <w:szCs w:val="24"/>
        </w:rPr>
      </w:pPr>
    </w:p>
    <w:p w:rsidR="00827C5D" w:rsidRDefault="00827C5D" w:rsidP="00827C5D">
      <w:pPr>
        <w:rPr>
          <w:rFonts w:eastAsia="Times New Roman" w:cs="Arial"/>
          <w:b/>
          <w:szCs w:val="24"/>
        </w:rPr>
      </w:pPr>
    </w:p>
    <w:p w:rsidR="00F943B7" w:rsidRPr="00F943B7" w:rsidRDefault="00F943B7" w:rsidP="00827C5D">
      <w:pPr>
        <w:rPr>
          <w:rFonts w:eastAsia="Times New Roman" w:cs="Arial"/>
          <w:b/>
          <w:szCs w:val="24"/>
        </w:rPr>
      </w:pPr>
    </w:p>
    <w:p w:rsidR="00827C5D" w:rsidRPr="00AB6C06" w:rsidRDefault="00827C5D" w:rsidP="00F943B7">
      <w:pPr>
        <w:pStyle w:val="Titolo1"/>
      </w:pPr>
      <w:r w:rsidRPr="00AB6C06">
        <w:t>CONCLUSIONI</w:t>
      </w:r>
    </w:p>
    <w:p w:rsidR="00827C5D" w:rsidRDefault="00827C5D" w:rsidP="00F943B7">
      <w:r w:rsidRPr="007C0118">
        <w:t xml:space="preserve">La Commissione </w:t>
      </w:r>
      <w:r>
        <w:t>alla luce di tutto quanto precede chiede al Consiglio di Stato:</w:t>
      </w:r>
    </w:p>
    <w:p w:rsidR="00827C5D" w:rsidRPr="00F943B7" w:rsidRDefault="00827C5D" w:rsidP="00F943B7">
      <w:pPr>
        <w:numPr>
          <w:ilvl w:val="0"/>
          <w:numId w:val="12"/>
        </w:numPr>
        <w:spacing w:before="80"/>
        <w:ind w:left="284" w:hanging="284"/>
        <w:rPr>
          <w:rFonts w:eastAsia="Times New Roman" w:cs="Arial"/>
          <w:sz w:val="23"/>
          <w:szCs w:val="23"/>
        </w:rPr>
      </w:pPr>
      <w:r w:rsidRPr="00F943B7">
        <w:rPr>
          <w:rFonts w:eastAsia="Times New Roman" w:cs="Arial"/>
          <w:b/>
          <w:sz w:val="23"/>
          <w:szCs w:val="23"/>
        </w:rPr>
        <w:t>l’abolizione del numero chiuso per il Corso Passerella</w:t>
      </w:r>
      <w:r w:rsidRPr="00F943B7">
        <w:rPr>
          <w:rFonts w:eastAsia="Times New Roman" w:cs="Arial"/>
          <w:sz w:val="23"/>
          <w:szCs w:val="23"/>
        </w:rPr>
        <w:t xml:space="preserve"> </w:t>
      </w:r>
      <w:r w:rsidRPr="00F943B7">
        <w:rPr>
          <w:rFonts w:eastAsia="Times New Roman" w:cs="Arial"/>
          <w:b/>
          <w:bCs/>
          <w:sz w:val="23"/>
          <w:szCs w:val="23"/>
        </w:rPr>
        <w:t>“maturità professionale/</w:t>
      </w:r>
      <w:r w:rsidR="00CD7F61">
        <w:rPr>
          <w:rFonts w:eastAsia="Times New Roman" w:cs="Arial"/>
          <w:b/>
          <w:bCs/>
          <w:sz w:val="23"/>
          <w:szCs w:val="23"/>
        </w:rPr>
        <w:br/>
      </w:r>
      <w:r w:rsidRPr="00F943B7">
        <w:rPr>
          <w:rFonts w:eastAsia="Times New Roman" w:cs="Arial"/>
          <w:b/>
          <w:bCs/>
          <w:sz w:val="23"/>
          <w:szCs w:val="23"/>
        </w:rPr>
        <w:t xml:space="preserve">maturità specializzata </w:t>
      </w:r>
      <w:r w:rsidR="00080146">
        <w:rPr>
          <w:rFonts w:eastAsia="Times New Roman" w:cs="Arial"/>
          <w:b/>
          <w:bCs/>
          <w:sz w:val="23"/>
          <w:szCs w:val="23"/>
        </w:rPr>
        <w:t>-</w:t>
      </w:r>
      <w:r w:rsidRPr="00F943B7">
        <w:rPr>
          <w:rFonts w:eastAsia="Times New Roman" w:cs="Arial"/>
          <w:b/>
          <w:bCs/>
          <w:sz w:val="23"/>
          <w:szCs w:val="23"/>
        </w:rPr>
        <w:t xml:space="preserve"> scuole universitarie”;</w:t>
      </w:r>
    </w:p>
    <w:p w:rsidR="00827C5D" w:rsidRPr="00F943B7" w:rsidRDefault="00827C5D" w:rsidP="00F943B7">
      <w:pPr>
        <w:numPr>
          <w:ilvl w:val="0"/>
          <w:numId w:val="12"/>
        </w:numPr>
        <w:spacing w:before="80"/>
        <w:ind w:left="284" w:hanging="284"/>
        <w:rPr>
          <w:rFonts w:eastAsia="Times New Roman" w:cs="Arial"/>
          <w:sz w:val="23"/>
          <w:szCs w:val="23"/>
        </w:rPr>
      </w:pPr>
      <w:r w:rsidRPr="00F943B7">
        <w:rPr>
          <w:rFonts w:eastAsia="Times New Roman" w:cs="Arial"/>
          <w:b/>
          <w:sz w:val="23"/>
          <w:szCs w:val="23"/>
        </w:rPr>
        <w:t xml:space="preserve">il potenziamento dell’informazione presso le Scuole di maturità </w:t>
      </w:r>
      <w:r w:rsidR="00F943B7" w:rsidRPr="00F943B7">
        <w:rPr>
          <w:rFonts w:eastAsia="Times New Roman" w:cs="Arial"/>
          <w:b/>
          <w:sz w:val="23"/>
          <w:szCs w:val="23"/>
        </w:rPr>
        <w:t>professionale</w:t>
      </w:r>
      <w:r w:rsidRPr="00F943B7">
        <w:rPr>
          <w:rFonts w:eastAsia="Times New Roman" w:cs="Arial"/>
          <w:b/>
          <w:sz w:val="23"/>
          <w:szCs w:val="23"/>
        </w:rPr>
        <w:t xml:space="preserve">, le Scuole specializzate, l’Ufficio dell’Orientamento professionale </w:t>
      </w:r>
      <w:proofErr w:type="gramStart"/>
      <w:r w:rsidRPr="00F943B7">
        <w:rPr>
          <w:rFonts w:eastAsia="Times New Roman" w:cs="Arial"/>
          <w:b/>
          <w:sz w:val="23"/>
          <w:szCs w:val="23"/>
        </w:rPr>
        <w:t>e “</w:t>
      </w:r>
      <w:proofErr w:type="gramEnd"/>
      <w:r w:rsidRPr="00F943B7">
        <w:rPr>
          <w:rFonts w:eastAsia="Times New Roman" w:cs="Arial"/>
          <w:b/>
          <w:sz w:val="23"/>
          <w:szCs w:val="23"/>
        </w:rPr>
        <w:t>La città del mestieri” perché i potenziali candidati del Corso passerella siano informati adeguatamente e capillarmente sulle difficoltà del percorso che intendono intraprendere e sulla mole di lavoro che lo stesso comporta;</w:t>
      </w:r>
    </w:p>
    <w:p w:rsidR="00827C5D" w:rsidRPr="00F943B7" w:rsidRDefault="00827C5D" w:rsidP="00F943B7">
      <w:pPr>
        <w:numPr>
          <w:ilvl w:val="0"/>
          <w:numId w:val="12"/>
        </w:numPr>
        <w:spacing w:before="80"/>
        <w:ind w:left="284" w:hanging="284"/>
        <w:rPr>
          <w:rFonts w:eastAsia="Times New Roman" w:cs="Arial"/>
          <w:b/>
          <w:sz w:val="23"/>
          <w:szCs w:val="23"/>
        </w:rPr>
      </w:pPr>
      <w:r w:rsidRPr="00F943B7">
        <w:rPr>
          <w:rFonts w:eastAsia="Times New Roman" w:cs="Arial"/>
          <w:b/>
          <w:sz w:val="23"/>
          <w:szCs w:val="23"/>
        </w:rPr>
        <w:t xml:space="preserve">una valutazione dopo due anni dei risultati ottenuti dagli iscritti al Corso passerella per verificare se e in che misura la cancellazione del numero chiuso abbia contribuito o meno all’aumento percentuale degli insuccessi.  Sulla base di questi risultati sarà così possibile riflettere sugli eventuali correttivi necessari per sostenere in modo più efficace le candidate e i candidati. </w:t>
      </w:r>
    </w:p>
    <w:p w:rsidR="00827C5D" w:rsidRPr="00AB6C06" w:rsidRDefault="00827C5D" w:rsidP="00F943B7"/>
    <w:p w:rsidR="00827C5D" w:rsidRDefault="00827C5D" w:rsidP="00F943B7">
      <w:r>
        <w:t xml:space="preserve">Alla luce poi degli effettivi che si iscriveranno a partire dal prossimo anno al Corso Passerella, si potrà analizzare la necessità di un raddoppio dei corsi oggi offerti, eventualmente in sedi del </w:t>
      </w:r>
      <w:proofErr w:type="spellStart"/>
      <w:r>
        <w:t>Sottoceneri</w:t>
      </w:r>
      <w:proofErr w:type="spellEnd"/>
      <w:r>
        <w:t>.</w:t>
      </w:r>
    </w:p>
    <w:p w:rsidR="00827C5D" w:rsidRDefault="00827C5D" w:rsidP="00F943B7"/>
    <w:p w:rsidR="00827C5D" w:rsidRPr="00080146" w:rsidRDefault="00827C5D" w:rsidP="00F943B7">
      <w:r>
        <w:lastRenderedPageBreak/>
        <w:t xml:space="preserve">Con questo Rapporto si ritiene evasa la Mozione </w:t>
      </w:r>
      <w:r w:rsidR="00836198">
        <w:t xml:space="preserve">16 ottobre 2017 presentata da </w:t>
      </w:r>
      <w:r>
        <w:t>Massimiliano AY</w:t>
      </w:r>
      <w:r w:rsidR="00080146">
        <w:t xml:space="preserve"> </w:t>
      </w:r>
      <w:r w:rsidR="00080146" w:rsidRPr="00080146">
        <w:t>“Valorizziamo i corsi passerella per accedere all'università”</w:t>
      </w:r>
      <w:r w:rsidRPr="00080146">
        <w:t>.</w:t>
      </w:r>
    </w:p>
    <w:p w:rsidR="00827C5D" w:rsidRDefault="00827C5D" w:rsidP="00F943B7"/>
    <w:p w:rsidR="00836198" w:rsidRDefault="00836198" w:rsidP="00F943B7"/>
    <w:p w:rsidR="00827C5D" w:rsidRDefault="00827C5D" w:rsidP="00F943B7"/>
    <w:p w:rsidR="00827C5D" w:rsidRDefault="00F943B7" w:rsidP="00F943B7">
      <w:pPr>
        <w:spacing w:after="120"/>
      </w:pPr>
      <w:r>
        <w:t>Per la Commissione formazione e c</w:t>
      </w:r>
      <w:r w:rsidR="00827C5D">
        <w:t>ultura</w:t>
      </w:r>
    </w:p>
    <w:p w:rsidR="00827C5D" w:rsidRDefault="00827C5D" w:rsidP="00827C5D">
      <w:pPr>
        <w:shd w:val="clear" w:color="auto" w:fill="FFFFFF"/>
        <w:rPr>
          <w:rFonts w:eastAsia="Times New Roman" w:cs="Arial"/>
          <w:color w:val="222222"/>
          <w:lang w:eastAsia="it-CH"/>
        </w:rPr>
      </w:pPr>
      <w:r w:rsidRPr="00935B19">
        <w:rPr>
          <w:rFonts w:eastAsia="Times New Roman" w:cs="Arial"/>
          <w:color w:val="222222"/>
          <w:lang w:eastAsia="it-CH"/>
        </w:rPr>
        <w:t>Anna Biscossa,</w:t>
      </w:r>
      <w:r>
        <w:rPr>
          <w:rFonts w:eastAsia="Times New Roman" w:cs="Arial"/>
          <w:color w:val="222222"/>
          <w:lang w:eastAsia="it-CH"/>
        </w:rPr>
        <w:t xml:space="preserve"> </w:t>
      </w:r>
      <w:r w:rsidRPr="00935B19">
        <w:rPr>
          <w:rFonts w:eastAsia="Times New Roman" w:cs="Arial"/>
          <w:color w:val="222222"/>
          <w:lang w:eastAsia="it-CH"/>
        </w:rPr>
        <w:t>relatrice</w:t>
      </w:r>
    </w:p>
    <w:p w:rsidR="00827C5D" w:rsidRPr="00935B19" w:rsidRDefault="00827C5D" w:rsidP="00827C5D">
      <w:pPr>
        <w:shd w:val="clear" w:color="auto" w:fill="FFFFFF"/>
        <w:rPr>
          <w:rFonts w:eastAsia="Times New Roman" w:cs="Arial"/>
          <w:color w:val="222222"/>
          <w:lang w:eastAsia="it-CH"/>
        </w:rPr>
      </w:pPr>
      <w:r w:rsidRPr="00935B19">
        <w:rPr>
          <w:rFonts w:eastAsia="Times New Roman" w:cs="Arial"/>
          <w:color w:val="222222"/>
          <w:lang w:eastAsia="it-CH"/>
        </w:rPr>
        <w:t>Ermotti-Lepori - Gardenghi - Ghisla -</w:t>
      </w:r>
    </w:p>
    <w:p w:rsidR="00827C5D" w:rsidRPr="00935B19" w:rsidRDefault="00827C5D" w:rsidP="00827C5D">
      <w:pPr>
        <w:shd w:val="clear" w:color="auto" w:fill="FFFFFF"/>
        <w:rPr>
          <w:rFonts w:eastAsia="Times New Roman" w:cs="Arial"/>
          <w:color w:val="222222"/>
          <w:lang w:eastAsia="it-CH"/>
        </w:rPr>
      </w:pPr>
      <w:r w:rsidRPr="00935B19">
        <w:rPr>
          <w:rFonts w:eastAsia="Times New Roman" w:cs="Arial"/>
          <w:color w:val="222222"/>
          <w:lang w:eastAsia="it-CH"/>
        </w:rPr>
        <w:t>Ghisletta - Guscio - I</w:t>
      </w:r>
      <w:r>
        <w:rPr>
          <w:rFonts w:eastAsia="Times New Roman" w:cs="Arial"/>
          <w:color w:val="222222"/>
          <w:lang w:eastAsia="it-CH"/>
        </w:rPr>
        <w:t xml:space="preserve">melli - Käppeli (con riserva) - </w:t>
      </w:r>
    </w:p>
    <w:p w:rsidR="00F943B7" w:rsidRDefault="00827C5D" w:rsidP="00827C5D">
      <w:pPr>
        <w:shd w:val="clear" w:color="auto" w:fill="FFFFFF"/>
        <w:rPr>
          <w:rFonts w:eastAsia="Times New Roman" w:cs="Arial"/>
          <w:color w:val="222222"/>
          <w:lang w:eastAsia="it-CH"/>
        </w:rPr>
      </w:pPr>
      <w:r w:rsidRPr="00935B19">
        <w:rPr>
          <w:rFonts w:eastAsia="Times New Roman" w:cs="Arial"/>
          <w:color w:val="222222"/>
          <w:lang w:eastAsia="it-CH"/>
        </w:rPr>
        <w:t>Pie</w:t>
      </w:r>
      <w:r>
        <w:rPr>
          <w:rFonts w:eastAsia="Times New Roman" w:cs="Arial"/>
          <w:color w:val="222222"/>
          <w:lang w:eastAsia="it-CH"/>
        </w:rPr>
        <w:t xml:space="preserve">zzi - Polli - Pugno Ghirlanda - </w:t>
      </w:r>
      <w:r w:rsidRPr="00935B19">
        <w:rPr>
          <w:rFonts w:eastAsia="Times New Roman" w:cs="Arial"/>
          <w:color w:val="222222"/>
          <w:lang w:eastAsia="it-CH"/>
        </w:rPr>
        <w:t xml:space="preserve">Robbiani - </w:t>
      </w:r>
    </w:p>
    <w:p w:rsidR="00827C5D" w:rsidRPr="00935B19" w:rsidRDefault="00827C5D" w:rsidP="00827C5D">
      <w:pPr>
        <w:shd w:val="clear" w:color="auto" w:fill="FFFFFF"/>
        <w:rPr>
          <w:rFonts w:eastAsia="Times New Roman" w:cs="Arial"/>
          <w:color w:val="222222"/>
          <w:lang w:eastAsia="it-CH"/>
        </w:rPr>
      </w:pPr>
      <w:r w:rsidRPr="00935B19">
        <w:rPr>
          <w:rFonts w:eastAsia="Times New Roman" w:cs="Arial"/>
          <w:color w:val="222222"/>
          <w:lang w:eastAsia="it-CH"/>
        </w:rPr>
        <w:t>Speziali - Tenconi - Tonini</w:t>
      </w:r>
    </w:p>
    <w:p w:rsidR="00B860C2" w:rsidRDefault="00B860C2" w:rsidP="00B860C2"/>
    <w:bookmarkEnd w:id="1"/>
    <w:sectPr w:rsidR="00B860C2" w:rsidSect="00080146">
      <w:footerReference w:type="default" r:id="rId8"/>
      <w:pgSz w:w="11906" w:h="16838"/>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7C6" w:rsidRDefault="008E77C6" w:rsidP="008E77C6">
      <w:r>
        <w:separator/>
      </w:r>
    </w:p>
  </w:endnote>
  <w:endnote w:type="continuationSeparator" w:id="0">
    <w:p w:rsidR="008E77C6" w:rsidRDefault="008E77C6" w:rsidP="008E7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19662"/>
      <w:docPartObj>
        <w:docPartGallery w:val="Page Numbers (Bottom of Page)"/>
        <w:docPartUnique/>
      </w:docPartObj>
    </w:sdtPr>
    <w:sdtEndPr>
      <w:rPr>
        <w:sz w:val="20"/>
        <w:szCs w:val="20"/>
      </w:rPr>
    </w:sdtEndPr>
    <w:sdtContent>
      <w:p w:rsidR="008E77C6" w:rsidRPr="008E77C6" w:rsidRDefault="008E77C6">
        <w:pPr>
          <w:pStyle w:val="Pidipagina"/>
          <w:jc w:val="center"/>
          <w:rPr>
            <w:sz w:val="20"/>
            <w:szCs w:val="20"/>
          </w:rPr>
        </w:pPr>
        <w:r w:rsidRPr="008E77C6">
          <w:rPr>
            <w:sz w:val="20"/>
            <w:szCs w:val="20"/>
          </w:rPr>
          <w:fldChar w:fldCharType="begin"/>
        </w:r>
        <w:r w:rsidRPr="008E77C6">
          <w:rPr>
            <w:sz w:val="20"/>
            <w:szCs w:val="20"/>
          </w:rPr>
          <w:instrText>PAGE   \* MERGEFORMAT</w:instrText>
        </w:r>
        <w:r w:rsidRPr="008E77C6">
          <w:rPr>
            <w:sz w:val="20"/>
            <w:szCs w:val="20"/>
          </w:rPr>
          <w:fldChar w:fldCharType="separate"/>
        </w:r>
        <w:r w:rsidR="00C37EDA" w:rsidRPr="00C37EDA">
          <w:rPr>
            <w:noProof/>
            <w:sz w:val="20"/>
            <w:szCs w:val="20"/>
            <w:lang w:val="it-IT"/>
          </w:rPr>
          <w:t>4</w:t>
        </w:r>
        <w:r w:rsidRPr="008E77C6">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7C6" w:rsidRDefault="008E77C6" w:rsidP="008E77C6">
      <w:r>
        <w:separator/>
      </w:r>
    </w:p>
  </w:footnote>
  <w:footnote w:type="continuationSeparator" w:id="0">
    <w:p w:rsidR="008E77C6" w:rsidRDefault="008E77C6" w:rsidP="008E77C6">
      <w:r>
        <w:continuationSeparator/>
      </w:r>
    </w:p>
  </w:footnote>
  <w:footnote w:id="1">
    <w:p w:rsidR="00827C5D" w:rsidRPr="000C5305" w:rsidRDefault="00827C5D" w:rsidP="00827C5D">
      <w:pPr>
        <w:pStyle w:val="Testonotaapidipagina"/>
        <w:rPr>
          <w:lang w:val="fr-FR"/>
        </w:rPr>
      </w:pPr>
      <w:r>
        <w:rPr>
          <w:rStyle w:val="Rimandonotaapidipagina"/>
        </w:rPr>
        <w:footnoteRef/>
      </w:r>
      <w:r>
        <w:t xml:space="preserve"> </w:t>
      </w:r>
      <w:r w:rsidRPr="00660D8F">
        <w:rPr>
          <w:rFonts w:ascii="Arial" w:hAnsi="Arial"/>
          <w:sz w:val="18"/>
          <w:szCs w:val="18"/>
        </w:rPr>
        <w:t>https://www.admin.ch/opc/it/classified-compilation/20101471/index.html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CA429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D355C0C"/>
    <w:multiLevelType w:val="hybridMultilevel"/>
    <w:tmpl w:val="1F8A3B46"/>
    <w:lvl w:ilvl="0" w:tplc="3FBC9440">
      <w:start w:val="1"/>
      <w:numFmt w:val="decimal"/>
      <w:pStyle w:val="Titolo1"/>
      <w:lvlText w:val="%1."/>
      <w:lvlJc w:val="left"/>
      <w:pPr>
        <w:ind w:left="927" w:hanging="360"/>
      </w:pPr>
      <w:rPr>
        <w:rFonts w:hint="default"/>
      </w:rPr>
    </w:lvl>
    <w:lvl w:ilvl="1" w:tplc="08100019" w:tentative="1">
      <w:start w:val="1"/>
      <w:numFmt w:val="lowerLetter"/>
      <w:lvlText w:val="%2."/>
      <w:lvlJc w:val="left"/>
      <w:pPr>
        <w:ind w:left="1647" w:hanging="360"/>
      </w:pPr>
    </w:lvl>
    <w:lvl w:ilvl="2" w:tplc="0810001B" w:tentative="1">
      <w:start w:val="1"/>
      <w:numFmt w:val="lowerRoman"/>
      <w:lvlText w:val="%3."/>
      <w:lvlJc w:val="right"/>
      <w:pPr>
        <w:ind w:left="2367" w:hanging="180"/>
      </w:pPr>
    </w:lvl>
    <w:lvl w:ilvl="3" w:tplc="0810000F" w:tentative="1">
      <w:start w:val="1"/>
      <w:numFmt w:val="decimal"/>
      <w:lvlText w:val="%4."/>
      <w:lvlJc w:val="left"/>
      <w:pPr>
        <w:ind w:left="3087" w:hanging="360"/>
      </w:pPr>
    </w:lvl>
    <w:lvl w:ilvl="4" w:tplc="08100019" w:tentative="1">
      <w:start w:val="1"/>
      <w:numFmt w:val="lowerLetter"/>
      <w:lvlText w:val="%5."/>
      <w:lvlJc w:val="left"/>
      <w:pPr>
        <w:ind w:left="3807" w:hanging="360"/>
      </w:pPr>
    </w:lvl>
    <w:lvl w:ilvl="5" w:tplc="0810001B" w:tentative="1">
      <w:start w:val="1"/>
      <w:numFmt w:val="lowerRoman"/>
      <w:lvlText w:val="%6."/>
      <w:lvlJc w:val="right"/>
      <w:pPr>
        <w:ind w:left="4527" w:hanging="180"/>
      </w:pPr>
    </w:lvl>
    <w:lvl w:ilvl="6" w:tplc="0810000F" w:tentative="1">
      <w:start w:val="1"/>
      <w:numFmt w:val="decimal"/>
      <w:lvlText w:val="%7."/>
      <w:lvlJc w:val="left"/>
      <w:pPr>
        <w:ind w:left="5247" w:hanging="360"/>
      </w:pPr>
    </w:lvl>
    <w:lvl w:ilvl="7" w:tplc="08100019" w:tentative="1">
      <w:start w:val="1"/>
      <w:numFmt w:val="lowerLetter"/>
      <w:lvlText w:val="%8."/>
      <w:lvlJc w:val="left"/>
      <w:pPr>
        <w:ind w:left="5967" w:hanging="360"/>
      </w:pPr>
    </w:lvl>
    <w:lvl w:ilvl="8" w:tplc="0810001B" w:tentative="1">
      <w:start w:val="1"/>
      <w:numFmt w:val="lowerRoman"/>
      <w:lvlText w:val="%9."/>
      <w:lvlJc w:val="right"/>
      <w:pPr>
        <w:ind w:left="6687" w:hanging="180"/>
      </w:pPr>
    </w:lvl>
  </w:abstractNum>
  <w:abstractNum w:abstractNumId="2" w15:restartNumberingAfterBreak="0">
    <w:nsid w:val="15A916B4"/>
    <w:multiLevelType w:val="hybridMultilevel"/>
    <w:tmpl w:val="71241184"/>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3" w15:restartNumberingAfterBreak="0">
    <w:nsid w:val="1F2453EC"/>
    <w:multiLevelType w:val="hybridMultilevel"/>
    <w:tmpl w:val="BBE02A84"/>
    <w:lvl w:ilvl="0" w:tplc="8988A65E">
      <w:start w:val="1"/>
      <w:numFmt w:val="bullet"/>
      <w:lvlText w:val="-"/>
      <w:lvlJc w:val="left"/>
      <w:pPr>
        <w:ind w:left="720" w:hanging="360"/>
      </w:pPr>
      <w:rPr>
        <w:rFonts w:ascii="Arial" w:hAnsi="Arial" w:hint="default"/>
      </w:rPr>
    </w:lvl>
    <w:lvl w:ilvl="1" w:tplc="8988A65E">
      <w:start w:val="1"/>
      <w:numFmt w:val="bullet"/>
      <w:lvlText w:val="-"/>
      <w:lvlJc w:val="left"/>
      <w:pPr>
        <w:ind w:left="1440" w:hanging="360"/>
      </w:pPr>
      <w:rPr>
        <w:rFonts w:ascii="Arial" w:hAnsi="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4" w15:restartNumberingAfterBreak="0">
    <w:nsid w:val="44901A79"/>
    <w:multiLevelType w:val="hybridMultilevel"/>
    <w:tmpl w:val="9F786C86"/>
    <w:lvl w:ilvl="0" w:tplc="3996A1A0">
      <w:numFmt w:val="bullet"/>
      <w:lvlText w:val="-"/>
      <w:lvlJc w:val="left"/>
      <w:pPr>
        <w:ind w:left="720" w:hanging="360"/>
      </w:pPr>
      <w:rPr>
        <w:rFonts w:ascii="Arial" w:eastAsia="Times New Roman" w:hAnsi="Arial" w:cs="Arial" w:hint="default"/>
      </w:rPr>
    </w:lvl>
    <w:lvl w:ilvl="1" w:tplc="AAA05160">
      <w:numFmt w:val="bullet"/>
      <w:lvlText w:val="−"/>
      <w:lvlJc w:val="left"/>
      <w:pPr>
        <w:ind w:left="1440" w:hanging="360"/>
      </w:pPr>
      <w:rPr>
        <w:rFonts w:ascii="Arial" w:eastAsia="Times New Roman" w:hAnsi="Arial" w:cs="Arial"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5" w15:restartNumberingAfterBreak="0">
    <w:nsid w:val="554E66A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A1F66EE"/>
    <w:multiLevelType w:val="hybridMultilevel"/>
    <w:tmpl w:val="2556DA38"/>
    <w:lvl w:ilvl="0" w:tplc="3996A1A0">
      <w:numFmt w:val="bullet"/>
      <w:lvlText w:val="-"/>
      <w:lvlJc w:val="left"/>
      <w:pPr>
        <w:ind w:left="720" w:hanging="360"/>
      </w:pPr>
      <w:rPr>
        <w:rFonts w:ascii="Arial" w:eastAsia="Times New Roman" w:hAnsi="Arial" w:cs="Arial" w:hint="default"/>
      </w:rPr>
    </w:lvl>
    <w:lvl w:ilvl="1" w:tplc="08100003" w:tentative="1">
      <w:start w:val="1"/>
      <w:numFmt w:val="bullet"/>
      <w:lvlText w:val="o"/>
      <w:lvlJc w:val="left"/>
      <w:pPr>
        <w:ind w:left="1440" w:hanging="360"/>
      </w:pPr>
      <w:rPr>
        <w:rFonts w:ascii="Courier New" w:hAnsi="Courier New" w:cs="Courier New" w:hint="default"/>
      </w:rPr>
    </w:lvl>
    <w:lvl w:ilvl="2" w:tplc="08100005" w:tentative="1">
      <w:start w:val="1"/>
      <w:numFmt w:val="bullet"/>
      <w:lvlText w:val=""/>
      <w:lvlJc w:val="left"/>
      <w:pPr>
        <w:ind w:left="2160" w:hanging="360"/>
      </w:pPr>
      <w:rPr>
        <w:rFonts w:ascii="Wingdings" w:hAnsi="Wingdings" w:hint="default"/>
      </w:rPr>
    </w:lvl>
    <w:lvl w:ilvl="3" w:tplc="08100001" w:tentative="1">
      <w:start w:val="1"/>
      <w:numFmt w:val="bullet"/>
      <w:lvlText w:val=""/>
      <w:lvlJc w:val="left"/>
      <w:pPr>
        <w:ind w:left="2880" w:hanging="360"/>
      </w:pPr>
      <w:rPr>
        <w:rFonts w:ascii="Symbol" w:hAnsi="Symbol" w:hint="default"/>
      </w:rPr>
    </w:lvl>
    <w:lvl w:ilvl="4" w:tplc="08100003" w:tentative="1">
      <w:start w:val="1"/>
      <w:numFmt w:val="bullet"/>
      <w:lvlText w:val="o"/>
      <w:lvlJc w:val="left"/>
      <w:pPr>
        <w:ind w:left="3600" w:hanging="360"/>
      </w:pPr>
      <w:rPr>
        <w:rFonts w:ascii="Courier New" w:hAnsi="Courier New" w:cs="Courier New" w:hint="default"/>
      </w:rPr>
    </w:lvl>
    <w:lvl w:ilvl="5" w:tplc="08100005" w:tentative="1">
      <w:start w:val="1"/>
      <w:numFmt w:val="bullet"/>
      <w:lvlText w:val=""/>
      <w:lvlJc w:val="left"/>
      <w:pPr>
        <w:ind w:left="4320" w:hanging="360"/>
      </w:pPr>
      <w:rPr>
        <w:rFonts w:ascii="Wingdings" w:hAnsi="Wingdings" w:hint="default"/>
      </w:rPr>
    </w:lvl>
    <w:lvl w:ilvl="6" w:tplc="08100001" w:tentative="1">
      <w:start w:val="1"/>
      <w:numFmt w:val="bullet"/>
      <w:lvlText w:val=""/>
      <w:lvlJc w:val="left"/>
      <w:pPr>
        <w:ind w:left="5040" w:hanging="360"/>
      </w:pPr>
      <w:rPr>
        <w:rFonts w:ascii="Symbol" w:hAnsi="Symbol" w:hint="default"/>
      </w:rPr>
    </w:lvl>
    <w:lvl w:ilvl="7" w:tplc="08100003" w:tentative="1">
      <w:start w:val="1"/>
      <w:numFmt w:val="bullet"/>
      <w:lvlText w:val="o"/>
      <w:lvlJc w:val="left"/>
      <w:pPr>
        <w:ind w:left="5760" w:hanging="360"/>
      </w:pPr>
      <w:rPr>
        <w:rFonts w:ascii="Courier New" w:hAnsi="Courier New" w:cs="Courier New" w:hint="default"/>
      </w:rPr>
    </w:lvl>
    <w:lvl w:ilvl="8" w:tplc="08100005" w:tentative="1">
      <w:start w:val="1"/>
      <w:numFmt w:val="bullet"/>
      <w:lvlText w:val=""/>
      <w:lvlJc w:val="left"/>
      <w:pPr>
        <w:ind w:left="6480" w:hanging="360"/>
      </w:pPr>
      <w:rPr>
        <w:rFonts w:ascii="Wingdings" w:hAnsi="Wingdings" w:hint="default"/>
      </w:rPr>
    </w:lvl>
  </w:abstractNum>
  <w:abstractNum w:abstractNumId="7" w15:restartNumberingAfterBreak="0">
    <w:nsid w:val="6AC26B62"/>
    <w:multiLevelType w:val="multilevel"/>
    <w:tmpl w:val="0810001D"/>
    <w:styleLink w:val="Stile1"/>
    <w:lvl w:ilvl="0">
      <w:start w:val="1"/>
      <w:numFmt w:val="decimal"/>
      <w:lvlText w:val="%1)"/>
      <w:lvlJc w:val="left"/>
      <w:pPr>
        <w:ind w:left="360" w:hanging="360"/>
      </w:pPr>
    </w:lvl>
    <w:lvl w:ilvl="1">
      <w:start w:val="1"/>
      <w:numFmt w:val="lowerLetter"/>
      <w:lvlText w:val="%2)"/>
      <w:lvlJc w:val="left"/>
      <w:pPr>
        <w:ind w:left="360" w:hanging="360"/>
      </w:pPr>
    </w:lvl>
    <w:lvl w:ilvl="2">
      <w:start w:val="1"/>
      <w:numFmt w:val="lowerRoman"/>
      <w:lvlText w:val="%3)"/>
      <w:lvlJc w:val="left"/>
      <w:pPr>
        <w:ind w:left="36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0EE38F2"/>
    <w:multiLevelType w:val="hybridMultilevel"/>
    <w:tmpl w:val="9FA4C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2A623D6"/>
    <w:multiLevelType w:val="hybridMultilevel"/>
    <w:tmpl w:val="660A06E4"/>
    <w:lvl w:ilvl="0" w:tplc="0810000F">
      <w:start w:val="1"/>
      <w:numFmt w:val="decimal"/>
      <w:lvlText w:val="%1."/>
      <w:lvlJc w:val="left"/>
      <w:pPr>
        <w:ind w:left="720" w:hanging="360"/>
      </w:p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abstractNum w:abstractNumId="10" w15:restartNumberingAfterBreak="0">
    <w:nsid w:val="77F718E1"/>
    <w:multiLevelType w:val="hybridMultilevel"/>
    <w:tmpl w:val="4F4203DC"/>
    <w:lvl w:ilvl="0" w:tplc="8D0A19FA">
      <w:start w:val="1"/>
      <w:numFmt w:val="decimal"/>
      <w:lvlText w:val="%1."/>
      <w:lvlJc w:val="left"/>
      <w:pPr>
        <w:ind w:left="720" w:hanging="360"/>
      </w:pPr>
      <w:rPr>
        <w:rFonts w:hint="default"/>
      </w:rPr>
    </w:lvl>
    <w:lvl w:ilvl="1" w:tplc="08100019" w:tentative="1">
      <w:start w:val="1"/>
      <w:numFmt w:val="lowerLetter"/>
      <w:lvlText w:val="%2."/>
      <w:lvlJc w:val="left"/>
      <w:pPr>
        <w:ind w:left="1440" w:hanging="360"/>
      </w:pPr>
    </w:lvl>
    <w:lvl w:ilvl="2" w:tplc="0810001B" w:tentative="1">
      <w:start w:val="1"/>
      <w:numFmt w:val="lowerRoman"/>
      <w:lvlText w:val="%3."/>
      <w:lvlJc w:val="right"/>
      <w:pPr>
        <w:ind w:left="2160" w:hanging="180"/>
      </w:pPr>
    </w:lvl>
    <w:lvl w:ilvl="3" w:tplc="0810000F" w:tentative="1">
      <w:start w:val="1"/>
      <w:numFmt w:val="decimal"/>
      <w:lvlText w:val="%4."/>
      <w:lvlJc w:val="left"/>
      <w:pPr>
        <w:ind w:left="2880" w:hanging="360"/>
      </w:pPr>
    </w:lvl>
    <w:lvl w:ilvl="4" w:tplc="08100019" w:tentative="1">
      <w:start w:val="1"/>
      <w:numFmt w:val="lowerLetter"/>
      <w:lvlText w:val="%5."/>
      <w:lvlJc w:val="left"/>
      <w:pPr>
        <w:ind w:left="3600" w:hanging="360"/>
      </w:pPr>
    </w:lvl>
    <w:lvl w:ilvl="5" w:tplc="0810001B" w:tentative="1">
      <w:start w:val="1"/>
      <w:numFmt w:val="lowerRoman"/>
      <w:lvlText w:val="%6."/>
      <w:lvlJc w:val="right"/>
      <w:pPr>
        <w:ind w:left="4320" w:hanging="180"/>
      </w:pPr>
    </w:lvl>
    <w:lvl w:ilvl="6" w:tplc="0810000F" w:tentative="1">
      <w:start w:val="1"/>
      <w:numFmt w:val="decimal"/>
      <w:lvlText w:val="%7."/>
      <w:lvlJc w:val="left"/>
      <w:pPr>
        <w:ind w:left="5040" w:hanging="360"/>
      </w:pPr>
    </w:lvl>
    <w:lvl w:ilvl="7" w:tplc="08100019" w:tentative="1">
      <w:start w:val="1"/>
      <w:numFmt w:val="lowerLetter"/>
      <w:lvlText w:val="%8."/>
      <w:lvlJc w:val="left"/>
      <w:pPr>
        <w:ind w:left="5760" w:hanging="360"/>
      </w:pPr>
    </w:lvl>
    <w:lvl w:ilvl="8" w:tplc="0810001B" w:tentative="1">
      <w:start w:val="1"/>
      <w:numFmt w:val="lowerRoman"/>
      <w:lvlText w:val="%9."/>
      <w:lvlJc w:val="right"/>
      <w:pPr>
        <w:ind w:left="6480" w:hanging="180"/>
      </w:pPr>
    </w:lvl>
  </w:abstractNum>
  <w:num w:numId="1">
    <w:abstractNumId w:val="7"/>
  </w:num>
  <w:num w:numId="2">
    <w:abstractNumId w:val="7"/>
  </w:num>
  <w:num w:numId="3">
    <w:abstractNumId w:val="10"/>
  </w:num>
  <w:num w:numId="4">
    <w:abstractNumId w:val="1"/>
  </w:num>
  <w:num w:numId="5">
    <w:abstractNumId w:val="4"/>
  </w:num>
  <w:num w:numId="6">
    <w:abstractNumId w:val="0"/>
  </w:num>
  <w:num w:numId="7">
    <w:abstractNumId w:val="9"/>
  </w:num>
  <w:num w:numId="8">
    <w:abstractNumId w:val="2"/>
  </w:num>
  <w:num w:numId="9">
    <w:abstractNumId w:val="6"/>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137"/>
    <w:rsid w:val="00076E70"/>
    <w:rsid w:val="00080146"/>
    <w:rsid w:val="001574D7"/>
    <w:rsid w:val="00260C8C"/>
    <w:rsid w:val="002677DC"/>
    <w:rsid w:val="002E5E40"/>
    <w:rsid w:val="0052425A"/>
    <w:rsid w:val="00586A8D"/>
    <w:rsid w:val="006C17AA"/>
    <w:rsid w:val="006D7A3B"/>
    <w:rsid w:val="006E4AE2"/>
    <w:rsid w:val="007352D3"/>
    <w:rsid w:val="007B5462"/>
    <w:rsid w:val="008034BD"/>
    <w:rsid w:val="00827C5D"/>
    <w:rsid w:val="00836198"/>
    <w:rsid w:val="00876352"/>
    <w:rsid w:val="008B2655"/>
    <w:rsid w:val="008B4137"/>
    <w:rsid w:val="008C767A"/>
    <w:rsid w:val="008E77C6"/>
    <w:rsid w:val="009770BB"/>
    <w:rsid w:val="009E008D"/>
    <w:rsid w:val="00A5465F"/>
    <w:rsid w:val="00A77678"/>
    <w:rsid w:val="00B860C2"/>
    <w:rsid w:val="00BC4C95"/>
    <w:rsid w:val="00BD5944"/>
    <w:rsid w:val="00C37EDA"/>
    <w:rsid w:val="00CD7F61"/>
    <w:rsid w:val="00CF6858"/>
    <w:rsid w:val="00D377B5"/>
    <w:rsid w:val="00D84D91"/>
    <w:rsid w:val="00D93B31"/>
    <w:rsid w:val="00E505DB"/>
    <w:rsid w:val="00E765A9"/>
    <w:rsid w:val="00F943B7"/>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F6FC2D-BC8A-47BE-8148-6E99D2C5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C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76E70"/>
    <w:rPr>
      <w:rFonts w:ascii="Arial" w:hAnsi="Arial"/>
      <w:sz w:val="24"/>
    </w:rPr>
  </w:style>
  <w:style w:type="paragraph" w:styleId="Titolo1">
    <w:name w:val="heading 1"/>
    <w:basedOn w:val="Normale"/>
    <w:next w:val="Normale"/>
    <w:link w:val="Titolo1Carattere"/>
    <w:autoRedefine/>
    <w:qFormat/>
    <w:rsid w:val="00076E70"/>
    <w:pPr>
      <w:keepNext/>
      <w:numPr>
        <w:numId w:val="4"/>
      </w:numPr>
      <w:tabs>
        <w:tab w:val="left" w:pos="567"/>
      </w:tabs>
      <w:spacing w:after="120"/>
      <w:ind w:left="567" w:hanging="567"/>
      <w:outlineLvl w:val="0"/>
    </w:pPr>
    <w:rPr>
      <w:b/>
      <w:caps/>
      <w:szCs w:val="24"/>
      <w:lang w:val="it-IT" w:eastAsia="it-IT"/>
    </w:rPr>
  </w:style>
  <w:style w:type="paragraph" w:styleId="Titolo2">
    <w:name w:val="heading 2"/>
    <w:basedOn w:val="Normale"/>
    <w:next w:val="Normale"/>
    <w:link w:val="Titolo2Carattere"/>
    <w:autoRedefine/>
    <w:qFormat/>
    <w:rsid w:val="006D7A3B"/>
    <w:pPr>
      <w:keepNext/>
      <w:tabs>
        <w:tab w:val="left" w:pos="567"/>
      </w:tabs>
      <w:spacing w:after="120"/>
      <w:outlineLvl w:val="1"/>
    </w:pPr>
    <w:rPr>
      <w:b/>
      <w:lang w:val="it-IT" w:eastAsia="it-IT"/>
    </w:rPr>
  </w:style>
  <w:style w:type="paragraph" w:styleId="Titolo3">
    <w:name w:val="heading 3"/>
    <w:basedOn w:val="Normale"/>
    <w:next w:val="Normale"/>
    <w:link w:val="Titolo3Carattere"/>
    <w:autoRedefine/>
    <w:qFormat/>
    <w:rsid w:val="006D7A3B"/>
    <w:pPr>
      <w:keepNext/>
      <w:tabs>
        <w:tab w:val="left" w:pos="709"/>
      </w:tabs>
      <w:spacing w:before="120" w:after="120"/>
      <w:outlineLvl w:val="2"/>
    </w:pPr>
    <w:rPr>
      <w:b/>
      <w:i/>
      <w:sz w:val="23"/>
      <w:szCs w:val="23"/>
      <w:lang w:val="it-IT" w:eastAsia="it-IT"/>
    </w:rPr>
  </w:style>
  <w:style w:type="paragraph" w:styleId="Titolo4">
    <w:name w:val="heading 4"/>
    <w:basedOn w:val="Normale"/>
    <w:next w:val="Normale"/>
    <w:link w:val="Titolo4Carattere"/>
    <w:uiPriority w:val="9"/>
    <w:unhideWhenUsed/>
    <w:qFormat/>
    <w:rsid w:val="00076E70"/>
    <w:pPr>
      <w:keepNext/>
      <w:keepLines/>
      <w:spacing w:before="120" w:after="120"/>
      <w:outlineLvl w:val="3"/>
    </w:pPr>
    <w:rPr>
      <w:rFonts w:eastAsiaTheme="majorEastAsia" w:cstheme="majorBidi"/>
      <w:b/>
      <w:bCs/>
      <w:iCs/>
      <w:sz w:val="22"/>
    </w:rPr>
  </w:style>
  <w:style w:type="paragraph" w:styleId="Titolo5">
    <w:name w:val="heading 5"/>
    <w:basedOn w:val="Normale"/>
    <w:next w:val="Normale"/>
    <w:link w:val="Titolo5Carattere"/>
    <w:uiPriority w:val="9"/>
    <w:unhideWhenUsed/>
    <w:qFormat/>
    <w:rsid w:val="00076E70"/>
    <w:pPr>
      <w:keepNext/>
      <w:keepLines/>
      <w:tabs>
        <w:tab w:val="left" w:pos="993"/>
      </w:tabs>
      <w:spacing w:after="120"/>
      <w:outlineLvl w:val="4"/>
    </w:pPr>
    <w:rPr>
      <w:rFonts w:eastAsiaTheme="majorEastAsia" w:cstheme="majorBidi"/>
      <w:b/>
      <w:i/>
      <w:color w:val="243F60" w:themeColor="accent1" w:themeShade="7F"/>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basedOn w:val="Normale"/>
    <w:next w:val="Normale"/>
    <w:autoRedefine/>
    <w:uiPriority w:val="39"/>
    <w:unhideWhenUsed/>
    <w:rsid w:val="0052425A"/>
    <w:pPr>
      <w:spacing w:before="240"/>
    </w:pPr>
    <w:rPr>
      <w:rFonts w:eastAsia="Calibri" w:cs="Times New Roman"/>
      <w:caps/>
      <w:szCs w:val="24"/>
      <w:lang w:val="it-IT"/>
    </w:rPr>
  </w:style>
  <w:style w:type="character" w:customStyle="1" w:styleId="Titolo1Carattere">
    <w:name w:val="Titolo 1 Carattere"/>
    <w:basedOn w:val="Carpredefinitoparagrafo"/>
    <w:link w:val="Titolo1"/>
    <w:rsid w:val="00076E70"/>
    <w:rPr>
      <w:rFonts w:ascii="Arial" w:hAnsi="Arial"/>
      <w:b/>
      <w:caps/>
      <w:sz w:val="24"/>
      <w:szCs w:val="24"/>
      <w:lang w:val="it-IT" w:eastAsia="it-IT"/>
    </w:rPr>
  </w:style>
  <w:style w:type="character" w:customStyle="1" w:styleId="Titolo2Carattere">
    <w:name w:val="Titolo 2 Carattere"/>
    <w:basedOn w:val="Carpredefinitoparagrafo"/>
    <w:link w:val="Titolo2"/>
    <w:rsid w:val="006D7A3B"/>
    <w:rPr>
      <w:rFonts w:ascii="Arial" w:hAnsi="Arial"/>
      <w:b/>
      <w:sz w:val="24"/>
      <w:lang w:val="it-IT" w:eastAsia="it-IT"/>
    </w:rPr>
  </w:style>
  <w:style w:type="character" w:customStyle="1" w:styleId="Titolo3Carattere">
    <w:name w:val="Titolo 3 Carattere"/>
    <w:basedOn w:val="Carpredefinitoparagrafo"/>
    <w:link w:val="Titolo3"/>
    <w:rsid w:val="006D7A3B"/>
    <w:rPr>
      <w:rFonts w:ascii="Arial" w:hAnsi="Arial"/>
      <w:b/>
      <w:i/>
      <w:sz w:val="23"/>
      <w:szCs w:val="23"/>
      <w:lang w:val="it-IT" w:eastAsia="it-IT"/>
    </w:rPr>
  </w:style>
  <w:style w:type="numbering" w:customStyle="1" w:styleId="Stile1">
    <w:name w:val="Stile1"/>
    <w:uiPriority w:val="99"/>
    <w:rsid w:val="0052425A"/>
    <w:pPr>
      <w:numPr>
        <w:numId w:val="1"/>
      </w:numPr>
    </w:pPr>
  </w:style>
  <w:style w:type="paragraph" w:styleId="Sommario3">
    <w:name w:val="toc 3"/>
    <w:basedOn w:val="Normale"/>
    <w:next w:val="Normale"/>
    <w:autoRedefine/>
    <w:uiPriority w:val="39"/>
    <w:unhideWhenUsed/>
    <w:rsid w:val="0052425A"/>
    <w:pPr>
      <w:spacing w:before="60"/>
    </w:pPr>
    <w:rPr>
      <w:rFonts w:eastAsia="Calibri" w:cs="Times New Roman"/>
      <w:szCs w:val="24"/>
      <w:lang w:val="it-IT"/>
    </w:rPr>
  </w:style>
  <w:style w:type="paragraph" w:styleId="Sommario2">
    <w:name w:val="toc 2"/>
    <w:basedOn w:val="Normale"/>
    <w:next w:val="Normale"/>
    <w:autoRedefine/>
    <w:uiPriority w:val="39"/>
    <w:unhideWhenUsed/>
    <w:rsid w:val="0052425A"/>
    <w:rPr>
      <w:rFonts w:eastAsia="Calibri" w:cs="Times New Roman"/>
      <w:szCs w:val="24"/>
      <w:lang w:val="it-IT"/>
    </w:rPr>
  </w:style>
  <w:style w:type="paragraph" w:styleId="Paragrafoelenco">
    <w:name w:val="List Paragraph"/>
    <w:basedOn w:val="Normale"/>
    <w:uiPriority w:val="99"/>
    <w:qFormat/>
    <w:rsid w:val="0052425A"/>
  </w:style>
  <w:style w:type="character" w:customStyle="1" w:styleId="Titolo4Carattere">
    <w:name w:val="Titolo 4 Carattere"/>
    <w:basedOn w:val="Carpredefinitoparagrafo"/>
    <w:link w:val="Titolo4"/>
    <w:uiPriority w:val="9"/>
    <w:rsid w:val="00076E70"/>
    <w:rPr>
      <w:rFonts w:ascii="Arial" w:eastAsiaTheme="majorEastAsia" w:hAnsi="Arial" w:cstheme="majorBidi"/>
      <w:b/>
      <w:bCs/>
      <w:iCs/>
    </w:rPr>
  </w:style>
  <w:style w:type="character" w:customStyle="1" w:styleId="Titolo5Carattere">
    <w:name w:val="Titolo 5 Carattere"/>
    <w:basedOn w:val="Carpredefinitoparagrafo"/>
    <w:link w:val="Titolo5"/>
    <w:uiPriority w:val="9"/>
    <w:rsid w:val="00076E70"/>
    <w:rPr>
      <w:rFonts w:ascii="Arial" w:eastAsiaTheme="majorEastAsia" w:hAnsi="Arial" w:cstheme="majorBidi"/>
      <w:b/>
      <w:i/>
      <w:color w:val="243F60" w:themeColor="accent1" w:themeShade="7F"/>
    </w:rPr>
  </w:style>
  <w:style w:type="paragraph" w:styleId="Nessunaspaziatura">
    <w:name w:val="No Spacing"/>
    <w:uiPriority w:val="1"/>
    <w:qFormat/>
    <w:rsid w:val="00076E70"/>
  </w:style>
  <w:style w:type="paragraph" w:styleId="Intestazione">
    <w:name w:val="header"/>
    <w:basedOn w:val="Normale"/>
    <w:link w:val="IntestazioneCarattere"/>
    <w:uiPriority w:val="99"/>
    <w:unhideWhenUsed/>
    <w:rsid w:val="008E77C6"/>
    <w:pPr>
      <w:tabs>
        <w:tab w:val="center" w:pos="4819"/>
        <w:tab w:val="right" w:pos="9638"/>
      </w:tabs>
    </w:pPr>
  </w:style>
  <w:style w:type="character" w:customStyle="1" w:styleId="IntestazioneCarattere">
    <w:name w:val="Intestazione Carattere"/>
    <w:basedOn w:val="Carpredefinitoparagrafo"/>
    <w:link w:val="Intestazione"/>
    <w:uiPriority w:val="99"/>
    <w:rsid w:val="008E77C6"/>
    <w:rPr>
      <w:rFonts w:ascii="Arial" w:hAnsi="Arial"/>
      <w:sz w:val="24"/>
    </w:rPr>
  </w:style>
  <w:style w:type="paragraph" w:styleId="Pidipagina">
    <w:name w:val="footer"/>
    <w:basedOn w:val="Normale"/>
    <w:link w:val="PidipaginaCarattere"/>
    <w:uiPriority w:val="99"/>
    <w:unhideWhenUsed/>
    <w:rsid w:val="008E77C6"/>
    <w:pPr>
      <w:tabs>
        <w:tab w:val="center" w:pos="4819"/>
        <w:tab w:val="right" w:pos="9638"/>
      </w:tabs>
    </w:pPr>
  </w:style>
  <w:style w:type="character" w:customStyle="1" w:styleId="PidipaginaCarattere">
    <w:name w:val="Piè di pagina Carattere"/>
    <w:basedOn w:val="Carpredefinitoparagrafo"/>
    <w:link w:val="Pidipagina"/>
    <w:uiPriority w:val="99"/>
    <w:rsid w:val="008E77C6"/>
    <w:rPr>
      <w:rFonts w:ascii="Arial" w:hAnsi="Arial"/>
      <w:sz w:val="24"/>
    </w:rPr>
  </w:style>
  <w:style w:type="table" w:styleId="Grigliatabella">
    <w:name w:val="Table Grid"/>
    <w:basedOn w:val="Tabellanormale"/>
    <w:rsid w:val="00260C8C"/>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1574D7"/>
    <w:pPr>
      <w:tabs>
        <w:tab w:val="left" w:pos="284"/>
        <w:tab w:val="left" w:pos="426"/>
        <w:tab w:val="left" w:pos="4962"/>
      </w:tabs>
    </w:pPr>
    <w:rPr>
      <w:rFonts w:eastAsia="Times New Roman" w:cs="Times New Roman"/>
      <w:szCs w:val="20"/>
      <w:lang w:val="it-IT" w:eastAsia="it-IT"/>
    </w:rPr>
  </w:style>
  <w:style w:type="character" w:customStyle="1" w:styleId="CorpotestoCarattere">
    <w:name w:val="Corpo testo Carattere"/>
    <w:basedOn w:val="Carpredefinitoparagrafo"/>
    <w:link w:val="Corpotesto"/>
    <w:rsid w:val="001574D7"/>
    <w:rPr>
      <w:rFonts w:ascii="Arial" w:eastAsia="Times New Roman" w:hAnsi="Arial" w:cs="Times New Roman"/>
      <w:sz w:val="24"/>
      <w:szCs w:val="20"/>
      <w:lang w:val="it-IT" w:eastAsia="it-IT"/>
    </w:rPr>
  </w:style>
  <w:style w:type="paragraph" w:customStyle="1" w:styleId="Default">
    <w:name w:val="Default"/>
    <w:rsid w:val="006E4AE2"/>
    <w:pPr>
      <w:autoSpaceDE w:val="0"/>
      <w:autoSpaceDN w:val="0"/>
      <w:adjustRightInd w:val="0"/>
      <w:jc w:val="left"/>
    </w:pPr>
    <w:rPr>
      <w:rFonts w:ascii="Arial" w:eastAsia="Times New Roman" w:hAnsi="Arial" w:cs="Arial"/>
      <w:color w:val="000000"/>
      <w:sz w:val="24"/>
      <w:szCs w:val="24"/>
      <w:lang w:eastAsia="it-CH"/>
    </w:rPr>
  </w:style>
  <w:style w:type="paragraph" w:styleId="Puntoelenco">
    <w:name w:val="List Bullet"/>
    <w:basedOn w:val="Normale"/>
    <w:uiPriority w:val="99"/>
    <w:unhideWhenUsed/>
    <w:rsid w:val="006E4AE2"/>
    <w:pPr>
      <w:widowControl w:val="0"/>
      <w:numPr>
        <w:numId w:val="6"/>
      </w:numPr>
      <w:contextualSpacing/>
    </w:pPr>
    <w:rPr>
      <w:rFonts w:eastAsia="Arial" w:cs="Arial"/>
      <w:color w:val="000000"/>
      <w:szCs w:val="24"/>
      <w:lang w:eastAsia="it-CH"/>
    </w:rPr>
  </w:style>
  <w:style w:type="paragraph" w:styleId="Testofumetto">
    <w:name w:val="Balloon Text"/>
    <w:basedOn w:val="Normale"/>
    <w:link w:val="TestofumettoCarattere"/>
    <w:uiPriority w:val="99"/>
    <w:semiHidden/>
    <w:unhideWhenUsed/>
    <w:rsid w:val="00B860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860C2"/>
    <w:rPr>
      <w:rFonts w:ascii="Tahoma" w:hAnsi="Tahoma" w:cs="Tahoma"/>
      <w:sz w:val="16"/>
      <w:szCs w:val="16"/>
    </w:rPr>
  </w:style>
  <w:style w:type="paragraph" w:styleId="Testonotaapidipagina">
    <w:name w:val="footnote text"/>
    <w:basedOn w:val="Normale"/>
    <w:link w:val="TestonotaapidipaginaCarattere"/>
    <w:uiPriority w:val="99"/>
    <w:unhideWhenUsed/>
    <w:rsid w:val="00827C5D"/>
    <w:pPr>
      <w:jc w:val="left"/>
    </w:pPr>
    <w:rPr>
      <w:rFonts w:ascii="Times New Roman" w:eastAsia="MS Mincho" w:hAnsi="Times New Roman" w:cs="Times New Roman"/>
      <w:szCs w:val="24"/>
      <w:lang w:val="it-IT" w:eastAsia="it-IT"/>
    </w:rPr>
  </w:style>
  <w:style w:type="character" w:customStyle="1" w:styleId="TestonotaapidipaginaCarattere">
    <w:name w:val="Testo nota a piè di pagina Carattere"/>
    <w:basedOn w:val="Carpredefinitoparagrafo"/>
    <w:link w:val="Testonotaapidipagina"/>
    <w:uiPriority w:val="99"/>
    <w:rsid w:val="00827C5D"/>
    <w:rPr>
      <w:rFonts w:ascii="Times New Roman" w:eastAsia="MS Mincho" w:hAnsi="Times New Roman" w:cs="Times New Roman"/>
      <w:sz w:val="24"/>
      <w:szCs w:val="24"/>
      <w:lang w:val="it-IT" w:eastAsia="it-IT"/>
    </w:rPr>
  </w:style>
  <w:style w:type="character" w:styleId="Rimandonotaapidipagina">
    <w:name w:val="footnote reference"/>
    <w:uiPriority w:val="99"/>
    <w:unhideWhenUsed/>
    <w:rsid w:val="00827C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A280-62D4-45C8-BE15-44B37E7C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1148</Words>
  <Characters>6722</Characters>
  <Application>Microsoft Office Word</Application>
  <DocSecurity>0</DocSecurity>
  <Lines>122</Lines>
  <Paragraphs>38</Paragraphs>
  <ScaleCrop>false</ScaleCrop>
  <HeadingPairs>
    <vt:vector size="2" baseType="variant">
      <vt:variant>
        <vt:lpstr>Titolo</vt:lpstr>
      </vt:variant>
      <vt:variant>
        <vt:i4>1</vt:i4>
      </vt:variant>
    </vt:vector>
  </HeadingPairs>
  <TitlesOfParts>
    <vt:vector size="1" baseType="lpstr">
      <vt:lpstr/>
    </vt:vector>
  </TitlesOfParts>
  <Company>Amministrazione Cantonale</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Agostinetti Jole / kxgc002</dc:creator>
  <cp:lastModifiedBy>Agostinetti Jole</cp:lastModifiedBy>
  <cp:revision>7</cp:revision>
  <cp:lastPrinted>2020-04-27T15:34:00Z</cp:lastPrinted>
  <dcterms:created xsi:type="dcterms:W3CDTF">2020-04-17T11:49:00Z</dcterms:created>
  <dcterms:modified xsi:type="dcterms:W3CDTF">2020-05-13T10:12:00Z</dcterms:modified>
</cp:coreProperties>
</file>