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0C2" w:rsidRDefault="00560576" w:rsidP="00B860C2">
      <w:r w:rsidRPr="00E11A9C">
        <w:rPr>
          <w:rFonts w:ascii="Gill Sans MT" w:hAnsi="Gill Sans MT"/>
          <w:b/>
          <w:sz w:val="56"/>
          <w:szCs w:val="56"/>
        </w:rPr>
        <w:t>Rapporto</w:t>
      </w:r>
    </w:p>
    <w:p w:rsidR="007925C5" w:rsidRPr="00560576" w:rsidRDefault="007925C5" w:rsidP="00B860C2">
      <w:pPr>
        <w:rPr>
          <w:sz w:val="20"/>
          <w:szCs w:val="20"/>
        </w:rPr>
      </w:pPr>
    </w:p>
    <w:p w:rsidR="00B860C2" w:rsidRPr="00560576" w:rsidRDefault="00B860C2" w:rsidP="00B860C2">
      <w:pPr>
        <w:rPr>
          <w:rFonts w:cs="Arial"/>
          <w:sz w:val="20"/>
          <w:szCs w:val="20"/>
        </w:rPr>
      </w:pPr>
    </w:p>
    <w:p w:rsidR="00B860C2" w:rsidRDefault="00B860C2" w:rsidP="00B860C2">
      <w:pPr>
        <w:rPr>
          <w:rFonts w:cs="Arial"/>
          <w:szCs w:val="24"/>
        </w:rPr>
      </w:pPr>
    </w:p>
    <w:p w:rsidR="00B860C2" w:rsidRDefault="00AC07CD" w:rsidP="00B860C2">
      <w:pPr>
        <w:tabs>
          <w:tab w:val="left" w:pos="2098"/>
          <w:tab w:val="left" w:pos="4933"/>
        </w:tabs>
        <w:rPr>
          <w:rFonts w:cs="Arial"/>
          <w:szCs w:val="24"/>
        </w:rPr>
      </w:pPr>
      <w:r>
        <w:rPr>
          <w:rFonts w:cs="Arial"/>
          <w:b/>
          <w:sz w:val="32"/>
          <w:szCs w:val="32"/>
        </w:rPr>
        <w:t>7774</w:t>
      </w:r>
      <w:r w:rsidR="00B860C2" w:rsidRPr="008B4137">
        <w:rPr>
          <w:rFonts w:cs="Arial"/>
          <w:b/>
          <w:sz w:val="32"/>
          <w:szCs w:val="32"/>
        </w:rPr>
        <w:t xml:space="preserve"> R</w:t>
      </w:r>
      <w:r w:rsidR="00B860C2" w:rsidRPr="008B4137"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>21 aprile 2020</w:t>
      </w:r>
      <w:r w:rsidR="00B860C2" w:rsidRPr="008B4137">
        <w:rPr>
          <w:rFonts w:cs="Arial"/>
          <w:sz w:val="28"/>
          <w:szCs w:val="28"/>
        </w:rPr>
        <w:tab/>
      </w:r>
      <w:r w:rsidRPr="00802A06">
        <w:rPr>
          <w:rFonts w:cs="Arial"/>
          <w:sz w:val="28"/>
          <w:szCs w:val="28"/>
        </w:rPr>
        <w:t>TERRITORIO</w:t>
      </w:r>
    </w:p>
    <w:p w:rsidR="00B860C2" w:rsidRPr="00560576" w:rsidRDefault="00B860C2" w:rsidP="00B860C2">
      <w:pPr>
        <w:rPr>
          <w:rFonts w:cs="Arial"/>
          <w:sz w:val="20"/>
          <w:szCs w:val="20"/>
        </w:rPr>
      </w:pPr>
      <w:bookmarkStart w:id="0" w:name="_GoBack"/>
    </w:p>
    <w:p w:rsidR="00B860C2" w:rsidRPr="00560576" w:rsidRDefault="00B860C2" w:rsidP="00B860C2">
      <w:pPr>
        <w:rPr>
          <w:rFonts w:cs="Arial"/>
          <w:sz w:val="20"/>
          <w:szCs w:val="20"/>
        </w:rPr>
      </w:pPr>
    </w:p>
    <w:bookmarkEnd w:id="0"/>
    <w:p w:rsidR="00B860C2" w:rsidRDefault="00B860C2" w:rsidP="00B860C2">
      <w:pPr>
        <w:rPr>
          <w:rFonts w:cs="Arial"/>
          <w:szCs w:val="24"/>
        </w:rPr>
      </w:pPr>
    </w:p>
    <w:p w:rsidR="00B860C2" w:rsidRPr="008B4137" w:rsidRDefault="00B860C2" w:rsidP="00B860C2">
      <w:pPr>
        <w:rPr>
          <w:rFonts w:cs="Arial"/>
          <w:b/>
          <w:sz w:val="28"/>
          <w:szCs w:val="28"/>
        </w:rPr>
      </w:pPr>
      <w:r w:rsidRPr="008B4137">
        <w:rPr>
          <w:rFonts w:cs="Arial"/>
          <w:b/>
          <w:sz w:val="28"/>
          <w:szCs w:val="28"/>
        </w:rPr>
        <w:t xml:space="preserve">della Commissione </w:t>
      </w:r>
      <w:r w:rsidRPr="00AC07CD">
        <w:rPr>
          <w:rFonts w:cs="Arial"/>
          <w:b/>
          <w:sz w:val="28"/>
          <w:szCs w:val="28"/>
        </w:rPr>
        <w:t>gestione e finanze</w:t>
      </w:r>
    </w:p>
    <w:p w:rsidR="00B860C2" w:rsidRPr="00AC07CD" w:rsidRDefault="00B860C2" w:rsidP="00B860C2">
      <w:pPr>
        <w:rPr>
          <w:rFonts w:cs="Arial"/>
          <w:b/>
          <w:sz w:val="28"/>
          <w:szCs w:val="28"/>
        </w:rPr>
      </w:pPr>
      <w:r w:rsidRPr="00AC07CD">
        <w:rPr>
          <w:rFonts w:cs="Arial"/>
          <w:b/>
          <w:sz w:val="28"/>
          <w:szCs w:val="28"/>
        </w:rPr>
        <w:t xml:space="preserve">sul messaggio </w:t>
      </w:r>
      <w:r w:rsidR="00AC07CD" w:rsidRPr="00AC07CD">
        <w:rPr>
          <w:rFonts w:cs="Arial"/>
          <w:b/>
          <w:sz w:val="28"/>
          <w:szCs w:val="28"/>
        </w:rPr>
        <w:t>18 dicembre 2019 concernente l’</w:t>
      </w:r>
      <w:r w:rsidR="00AC07CD">
        <w:rPr>
          <w:rFonts w:cs="Arial"/>
          <w:b/>
          <w:sz w:val="28"/>
          <w:szCs w:val="28"/>
        </w:rPr>
        <w:t>a</w:t>
      </w:r>
      <w:r w:rsidR="00AC07CD" w:rsidRPr="00DE3308">
        <w:rPr>
          <w:rFonts w:cs="Arial"/>
          <w:b/>
          <w:sz w:val="28"/>
          <w:szCs w:val="28"/>
        </w:rPr>
        <w:t xml:space="preserve">pprovazione del rinnovo transitorio della Convenzione concernente la gestione dei Castelli di Bellinzona e </w:t>
      </w:r>
      <w:r w:rsidR="00AC07CD">
        <w:rPr>
          <w:rFonts w:cs="Arial"/>
          <w:b/>
          <w:sz w:val="28"/>
          <w:szCs w:val="28"/>
        </w:rPr>
        <w:t xml:space="preserve">lo </w:t>
      </w:r>
      <w:r w:rsidR="00AC07CD" w:rsidRPr="00DE3308">
        <w:rPr>
          <w:rFonts w:cs="Arial"/>
          <w:b/>
          <w:sz w:val="28"/>
          <w:szCs w:val="28"/>
        </w:rPr>
        <w:t>stanziamento di un credito annuale di CHF 540'</w:t>
      </w:r>
      <w:proofErr w:type="gramStart"/>
      <w:r w:rsidR="00AC07CD" w:rsidRPr="00DE3308">
        <w:rPr>
          <w:rFonts w:cs="Arial"/>
          <w:b/>
          <w:sz w:val="28"/>
          <w:szCs w:val="28"/>
        </w:rPr>
        <w:t>000.-</w:t>
      </w:r>
      <w:proofErr w:type="gramEnd"/>
      <w:r w:rsidR="00AC07CD" w:rsidRPr="00DE3308">
        <w:rPr>
          <w:rFonts w:cs="Arial"/>
          <w:b/>
          <w:sz w:val="28"/>
          <w:szCs w:val="28"/>
        </w:rPr>
        <w:t xml:space="preserve"> per il periodo 2020-2024</w:t>
      </w:r>
    </w:p>
    <w:p w:rsidR="00B860C2" w:rsidRDefault="00B860C2" w:rsidP="00B860C2">
      <w:pPr>
        <w:rPr>
          <w:rFonts w:cs="Arial"/>
          <w:szCs w:val="24"/>
        </w:rPr>
      </w:pPr>
    </w:p>
    <w:p w:rsidR="00B860C2" w:rsidRDefault="00B860C2" w:rsidP="00B860C2">
      <w:pPr>
        <w:rPr>
          <w:rFonts w:cs="Arial"/>
          <w:szCs w:val="24"/>
        </w:rPr>
      </w:pPr>
    </w:p>
    <w:p w:rsidR="00B860C2" w:rsidRDefault="00B860C2" w:rsidP="00B860C2">
      <w:pPr>
        <w:rPr>
          <w:rFonts w:cs="Arial"/>
          <w:szCs w:val="24"/>
        </w:rPr>
      </w:pPr>
    </w:p>
    <w:p w:rsidR="00BB6ED9" w:rsidRDefault="00BB6ED9" w:rsidP="00BB6ED9">
      <w:pPr>
        <w:rPr>
          <w:rFonts w:cs="Arial"/>
          <w:szCs w:val="24"/>
        </w:rPr>
      </w:pPr>
      <w:bookmarkStart w:id="1" w:name="_Toc532286235"/>
      <w:r>
        <w:rPr>
          <w:rFonts w:cs="Arial"/>
          <w:szCs w:val="24"/>
        </w:rPr>
        <w:t xml:space="preserve">Il complesso monumentale costituito dai tre castelli di Bellinzona, la </w:t>
      </w:r>
      <w:r w:rsidRPr="00E46DA0">
        <w:rPr>
          <w:rFonts w:cs="Arial"/>
          <w:b/>
          <w:szCs w:val="24"/>
        </w:rPr>
        <w:t>Fortezza di Bellinzona</w:t>
      </w:r>
      <w:r>
        <w:rPr>
          <w:rFonts w:cs="Arial"/>
          <w:szCs w:val="24"/>
        </w:rPr>
        <w:t xml:space="preserve">, rappresenta senza dubbio un elemento centrale del </w:t>
      </w:r>
      <w:r w:rsidRPr="00F41610">
        <w:rPr>
          <w:rFonts w:cs="Arial"/>
          <w:szCs w:val="24"/>
        </w:rPr>
        <w:t>patrimonio storico e culturale di proprietà cantonale</w:t>
      </w:r>
      <w:r>
        <w:rPr>
          <w:rFonts w:cs="Arial"/>
          <w:szCs w:val="24"/>
        </w:rPr>
        <w:t xml:space="preserve">. Il </w:t>
      </w:r>
      <w:r w:rsidRPr="00F41610">
        <w:rPr>
          <w:rFonts w:cs="Arial"/>
          <w:szCs w:val="24"/>
        </w:rPr>
        <w:t>riconosci</w:t>
      </w:r>
      <w:r>
        <w:rPr>
          <w:rFonts w:cs="Arial"/>
          <w:szCs w:val="24"/>
        </w:rPr>
        <w:t xml:space="preserve">mento </w:t>
      </w:r>
      <w:r w:rsidRPr="00F41610">
        <w:rPr>
          <w:rFonts w:cs="Arial"/>
          <w:szCs w:val="24"/>
        </w:rPr>
        <w:t>d</w:t>
      </w:r>
      <w:r>
        <w:rPr>
          <w:rFonts w:cs="Arial"/>
          <w:szCs w:val="24"/>
        </w:rPr>
        <w:t>e</w:t>
      </w:r>
      <w:r w:rsidRPr="00F41610">
        <w:rPr>
          <w:rFonts w:cs="Arial"/>
          <w:szCs w:val="24"/>
        </w:rPr>
        <w:t>ll’UNESCO</w:t>
      </w:r>
      <w:r>
        <w:rPr>
          <w:rFonts w:cs="Arial"/>
          <w:szCs w:val="24"/>
        </w:rPr>
        <w:t xml:space="preserve"> non ha che confermato lo straordinario valore di questi manieri. Rimane la netta impressione che finora non si sia stati in grado di valorizzare a dovere il potenziale di questi castelli. </w:t>
      </w:r>
    </w:p>
    <w:p w:rsidR="00BB6ED9" w:rsidRDefault="00BB6ED9" w:rsidP="00BB6ED9">
      <w:pPr>
        <w:rPr>
          <w:b/>
        </w:rPr>
      </w:pPr>
    </w:p>
    <w:p w:rsidR="00AC07CD" w:rsidRDefault="00AC07CD" w:rsidP="00BB6ED9">
      <w:pPr>
        <w:rPr>
          <w:b/>
        </w:rPr>
      </w:pPr>
    </w:p>
    <w:p w:rsidR="00BB6ED9" w:rsidRPr="0054767F" w:rsidRDefault="00BB6ED9" w:rsidP="00AC07CD">
      <w:pPr>
        <w:pStyle w:val="Titolo1"/>
      </w:pPr>
      <w:r w:rsidRPr="0054767F">
        <w:t>Obiettivo</w:t>
      </w:r>
    </w:p>
    <w:p w:rsidR="00BB6ED9" w:rsidRDefault="00BB6ED9" w:rsidP="00BB6ED9">
      <w:pPr>
        <w:rPr>
          <w:rFonts w:cs="Arial"/>
          <w:szCs w:val="24"/>
        </w:rPr>
      </w:pPr>
      <w:r>
        <w:rPr>
          <w:rFonts w:cs="Arial"/>
          <w:szCs w:val="24"/>
        </w:rPr>
        <w:t>Il messaggio in oggetto ha quale obiettivo centrale l’approvazione di una nuova co</w:t>
      </w:r>
      <w:r w:rsidRPr="00B16B5D">
        <w:rPr>
          <w:rFonts w:cs="Arial"/>
          <w:szCs w:val="24"/>
        </w:rPr>
        <w:t xml:space="preserve">nvenzione </w:t>
      </w:r>
      <w:r>
        <w:rPr>
          <w:rFonts w:cs="Arial"/>
          <w:szCs w:val="24"/>
        </w:rPr>
        <w:t xml:space="preserve">tra il Cantone e la città di Bellinzona </w:t>
      </w:r>
      <w:r w:rsidRPr="00B16B5D">
        <w:rPr>
          <w:rFonts w:cs="Arial"/>
          <w:szCs w:val="24"/>
        </w:rPr>
        <w:t>concernente la gestione dei castelli di Bellinzona, unitamente alla proposta di stanziare un credito annuale di CHF 540'</w:t>
      </w:r>
      <w:proofErr w:type="gramStart"/>
      <w:r w:rsidRPr="00B16B5D">
        <w:rPr>
          <w:rFonts w:cs="Arial"/>
          <w:szCs w:val="24"/>
        </w:rPr>
        <w:t>000.-</w:t>
      </w:r>
      <w:proofErr w:type="gramEnd"/>
      <w:r w:rsidRPr="00B16B5D">
        <w:rPr>
          <w:rFonts w:cs="Arial"/>
          <w:szCs w:val="24"/>
        </w:rPr>
        <w:t xml:space="preserve"> per il periodo 2020-2024 a favore della Città, quale contributo alla gestione, in attesa del prospettato rapporto sul rilancio dei castelli</w:t>
      </w:r>
      <w:r>
        <w:rPr>
          <w:rFonts w:cs="Arial"/>
          <w:szCs w:val="24"/>
        </w:rPr>
        <w:t>.</w:t>
      </w:r>
    </w:p>
    <w:p w:rsidR="00BB6ED9" w:rsidRDefault="00BB6ED9" w:rsidP="00BB6ED9">
      <w:pPr>
        <w:rPr>
          <w:rFonts w:cs="Arial"/>
          <w:szCs w:val="24"/>
        </w:rPr>
      </w:pPr>
    </w:p>
    <w:p w:rsidR="00AC07CD" w:rsidRDefault="00AC07CD" w:rsidP="00BB6ED9">
      <w:pPr>
        <w:rPr>
          <w:rFonts w:cs="Arial"/>
          <w:szCs w:val="24"/>
        </w:rPr>
      </w:pPr>
    </w:p>
    <w:p w:rsidR="00BB6ED9" w:rsidRPr="0054767F" w:rsidRDefault="00BB6ED9" w:rsidP="00AC07CD">
      <w:pPr>
        <w:pStyle w:val="Titolo1"/>
      </w:pPr>
      <w:r w:rsidRPr="0054767F">
        <w:t>Premessa</w:t>
      </w:r>
    </w:p>
    <w:p w:rsidR="00BB6ED9" w:rsidRPr="00F41610" w:rsidRDefault="00BB6ED9" w:rsidP="00BB6ED9">
      <w:pPr>
        <w:rPr>
          <w:sz w:val="28"/>
        </w:rPr>
      </w:pPr>
      <w:r>
        <w:t>Il Cantone decide nel 1999 l’attribuzione della gestione dei tre castelli di Bellinzona all’</w:t>
      </w:r>
      <w:r w:rsidRPr="00F41610">
        <w:rPr>
          <w:rFonts w:cs="Arial"/>
          <w:szCs w:val="24"/>
        </w:rPr>
        <w:t>allora Ente turistico di Bellinzona e dintorni</w:t>
      </w:r>
      <w:r>
        <w:rPr>
          <w:rFonts w:cs="Arial"/>
          <w:szCs w:val="24"/>
        </w:rPr>
        <w:t xml:space="preserve"> (ETB). Inizialmente </w:t>
      </w:r>
      <w:r w:rsidRPr="00F41610">
        <w:rPr>
          <w:rFonts w:cs="Arial"/>
          <w:szCs w:val="24"/>
        </w:rPr>
        <w:t>per un periodo di dieci anni a partire dal 1. gennaio 1999 (DL dell’8 ottobre 1998 per CHF 500'</w:t>
      </w:r>
      <w:proofErr w:type="gramStart"/>
      <w:r w:rsidRPr="00F41610">
        <w:rPr>
          <w:rFonts w:cs="Arial"/>
          <w:szCs w:val="24"/>
        </w:rPr>
        <w:t>000.-</w:t>
      </w:r>
      <w:proofErr w:type="gramEnd"/>
      <w:r w:rsidRPr="00F41610">
        <w:rPr>
          <w:rFonts w:cs="Arial"/>
          <w:szCs w:val="24"/>
        </w:rPr>
        <w:t xml:space="preserve"> all’anno</w:t>
      </w:r>
      <w:r>
        <w:rPr>
          <w:rFonts w:cs="Arial"/>
          <w:szCs w:val="24"/>
        </w:rPr>
        <w:t>)</w:t>
      </w:r>
      <w:r w:rsidRPr="00F41610">
        <w:rPr>
          <w:rFonts w:cs="Arial"/>
          <w:szCs w:val="24"/>
        </w:rPr>
        <w:t>, poi rinnovato dal 2010 per CHF 540'000.- all’anno.</w:t>
      </w:r>
    </w:p>
    <w:p w:rsidR="00BB6ED9" w:rsidRPr="00F41610" w:rsidRDefault="00BB6ED9" w:rsidP="00BB6ED9">
      <w:pPr>
        <w:rPr>
          <w:rFonts w:cs="Arial"/>
          <w:sz w:val="22"/>
          <w:szCs w:val="24"/>
        </w:rPr>
      </w:pPr>
      <w:r w:rsidRPr="00F41610">
        <w:rPr>
          <w:rFonts w:cs="Arial"/>
          <w:szCs w:val="24"/>
        </w:rPr>
        <w:t>Il mandato di gestione era disciplinato da una convenzione a tre</w:t>
      </w:r>
      <w:r>
        <w:rPr>
          <w:rFonts w:cs="Arial"/>
          <w:szCs w:val="24"/>
        </w:rPr>
        <w:t>;</w:t>
      </w:r>
      <w:r w:rsidRPr="00F41610">
        <w:rPr>
          <w:rFonts w:cs="Arial"/>
          <w:szCs w:val="24"/>
        </w:rPr>
        <w:t xml:space="preserve"> Cantone, Città ed ETB che attribuiva all’organizzazione turistica la conduzione della gestione sotto la supervisione ed il controllo di una Commissione di vigilanza</w:t>
      </w:r>
      <w:r>
        <w:rPr>
          <w:rFonts w:cs="Arial"/>
          <w:szCs w:val="24"/>
        </w:rPr>
        <w:t xml:space="preserve"> composta da rappresentanti del </w:t>
      </w:r>
      <w:r w:rsidRPr="00F41610">
        <w:rPr>
          <w:rFonts w:cs="Arial"/>
          <w:szCs w:val="24"/>
        </w:rPr>
        <w:t>Cantone e della Città</w:t>
      </w:r>
      <w:r w:rsidRPr="0054767F">
        <w:rPr>
          <w:rFonts w:cs="Arial"/>
          <w:color w:val="4F81BD" w:themeColor="accent1"/>
          <w:sz w:val="22"/>
          <w:szCs w:val="24"/>
        </w:rPr>
        <w:t>.</w:t>
      </w:r>
    </w:p>
    <w:p w:rsidR="00BB6ED9" w:rsidRDefault="00BB6ED9" w:rsidP="00BB6ED9">
      <w:pPr>
        <w:rPr>
          <w:rFonts w:cs="Arial"/>
          <w:szCs w:val="24"/>
        </w:rPr>
      </w:pPr>
      <w:r w:rsidRPr="00F41610">
        <w:rPr>
          <w:rFonts w:cs="Arial"/>
          <w:szCs w:val="24"/>
        </w:rPr>
        <w:t xml:space="preserve">La frammentazione delle responsabilità in diversi uffici non </w:t>
      </w:r>
      <w:r>
        <w:rPr>
          <w:rFonts w:cs="Arial"/>
          <w:szCs w:val="24"/>
        </w:rPr>
        <w:t xml:space="preserve">ha </w:t>
      </w:r>
      <w:r w:rsidRPr="00F41610">
        <w:rPr>
          <w:rFonts w:cs="Arial"/>
          <w:szCs w:val="24"/>
        </w:rPr>
        <w:t xml:space="preserve">facilitato il campito dei diversi attori </w:t>
      </w:r>
      <w:r>
        <w:rPr>
          <w:rFonts w:cs="Arial"/>
          <w:szCs w:val="24"/>
        </w:rPr>
        <w:t xml:space="preserve">coinvolti </w:t>
      </w:r>
      <w:r w:rsidRPr="00F41610">
        <w:rPr>
          <w:rFonts w:cs="Arial"/>
          <w:szCs w:val="24"/>
        </w:rPr>
        <w:t>rendendo di fatto impossibil</w:t>
      </w:r>
      <w:r>
        <w:rPr>
          <w:rFonts w:cs="Arial"/>
          <w:szCs w:val="24"/>
        </w:rPr>
        <w:t>e</w:t>
      </w:r>
      <w:r w:rsidRPr="00F41610">
        <w:rPr>
          <w:rFonts w:cs="Arial"/>
          <w:szCs w:val="24"/>
        </w:rPr>
        <w:t xml:space="preserve"> una gestione e</w:t>
      </w:r>
      <w:r>
        <w:rPr>
          <w:rFonts w:cs="Arial"/>
          <w:szCs w:val="24"/>
        </w:rPr>
        <w:t>fficace delle attività correlate ai Castelli. Finora erano coinvolti:</w:t>
      </w:r>
    </w:p>
    <w:p w:rsidR="00BB6ED9" w:rsidRPr="00AC07CD" w:rsidRDefault="00BB6ED9" w:rsidP="00AC07CD">
      <w:pPr>
        <w:pStyle w:val="Paragrafoelenco"/>
        <w:numPr>
          <w:ilvl w:val="0"/>
          <w:numId w:val="13"/>
        </w:numPr>
        <w:spacing w:before="60"/>
        <w:ind w:left="284" w:hanging="284"/>
      </w:pPr>
      <w:r w:rsidRPr="00AC07CD">
        <w:t xml:space="preserve">l’Ufficio dei beni culturali del DT per la competenza sul complesso monumentale e per la gestione del Museo storico-archeologico </w:t>
      </w:r>
    </w:p>
    <w:p w:rsidR="00BB6ED9" w:rsidRPr="00AC07CD" w:rsidRDefault="00BB6ED9" w:rsidP="00AC07CD">
      <w:pPr>
        <w:pStyle w:val="Paragrafoelenco"/>
        <w:numPr>
          <w:ilvl w:val="0"/>
          <w:numId w:val="13"/>
        </w:numPr>
        <w:spacing w:before="60"/>
        <w:ind w:left="284" w:hanging="284"/>
      </w:pPr>
      <w:r w:rsidRPr="00AC07CD">
        <w:t>la Cancelleria dello Stato per la gestione della sala di rappresentanza</w:t>
      </w:r>
    </w:p>
    <w:p w:rsidR="00BB6ED9" w:rsidRPr="00AC07CD" w:rsidRDefault="00BB6ED9" w:rsidP="00AC07CD">
      <w:pPr>
        <w:pStyle w:val="Paragrafoelenco"/>
        <w:numPr>
          <w:ilvl w:val="0"/>
          <w:numId w:val="13"/>
        </w:numPr>
        <w:spacing w:before="60"/>
        <w:ind w:left="284" w:hanging="284"/>
      </w:pPr>
      <w:r w:rsidRPr="00AC07CD">
        <w:t>la Sezione della logistica e degli stabili erariali del DFE per gli aspetti costruttivi e di manutenzione e per la gestione dei contratti di locazione</w:t>
      </w:r>
    </w:p>
    <w:p w:rsidR="00BB6ED9" w:rsidRPr="00AC07CD" w:rsidRDefault="00BB6ED9" w:rsidP="00AC07CD">
      <w:pPr>
        <w:pStyle w:val="Paragrafoelenco"/>
        <w:numPr>
          <w:ilvl w:val="0"/>
          <w:numId w:val="13"/>
        </w:numPr>
        <w:spacing w:before="60"/>
        <w:ind w:left="284" w:hanging="284"/>
      </w:pPr>
      <w:r w:rsidRPr="00AC07CD">
        <w:t>la Città di Bellinzona per la gestione degli spazi esterni</w:t>
      </w:r>
      <w:r w:rsidR="00560576">
        <w:t>.</w:t>
      </w:r>
    </w:p>
    <w:p w:rsidR="00BB6ED9" w:rsidRDefault="00BB6ED9" w:rsidP="00BB6ED9">
      <w:r>
        <w:lastRenderedPageBreak/>
        <w:t xml:space="preserve">Considerando come si aggiungeva l’ETB per compiti di promozione e gestione generale, risulta piuttosto evidente che il coordinamento dei diversi punti di vista diventava piuttosto complicato. </w:t>
      </w:r>
    </w:p>
    <w:p w:rsidR="00BB6ED9" w:rsidRDefault="00BB6ED9" w:rsidP="00BB6ED9">
      <w:pPr>
        <w:suppressAutoHyphens/>
        <w:ind w:right="29"/>
        <w:rPr>
          <w:rFonts w:cs="Arial"/>
          <w:szCs w:val="24"/>
        </w:rPr>
      </w:pPr>
      <w:r w:rsidRPr="00A11A68">
        <w:rPr>
          <w:rFonts w:cs="Arial"/>
          <w:szCs w:val="24"/>
        </w:rPr>
        <w:t xml:space="preserve">La gestione dei Castelli ha accumulo </w:t>
      </w:r>
      <w:r>
        <w:rPr>
          <w:rFonts w:cs="Arial"/>
          <w:szCs w:val="24"/>
        </w:rPr>
        <w:t xml:space="preserve">fino al 2017 </w:t>
      </w:r>
      <w:r w:rsidRPr="00A11A68">
        <w:rPr>
          <w:rFonts w:cs="Arial"/>
          <w:szCs w:val="24"/>
        </w:rPr>
        <w:t xml:space="preserve">un deficit </w:t>
      </w:r>
      <w:r>
        <w:rPr>
          <w:rFonts w:cs="Arial"/>
          <w:szCs w:val="24"/>
        </w:rPr>
        <w:t xml:space="preserve">complessivo </w:t>
      </w:r>
      <w:r w:rsidRPr="00A11A68">
        <w:rPr>
          <w:rFonts w:cs="Arial"/>
          <w:szCs w:val="24"/>
        </w:rPr>
        <w:t>di CHF 579'</w:t>
      </w:r>
      <w:proofErr w:type="gramStart"/>
      <w:r w:rsidRPr="00A11A68">
        <w:rPr>
          <w:rFonts w:cs="Arial"/>
          <w:szCs w:val="24"/>
        </w:rPr>
        <w:t>761.-</w:t>
      </w:r>
      <w:proofErr w:type="gramEnd"/>
      <w:r w:rsidRPr="00A11A68">
        <w:rPr>
          <w:rFonts w:cs="Arial"/>
          <w:szCs w:val="24"/>
        </w:rPr>
        <w:t xml:space="preserve">, che le parti </w:t>
      </w:r>
      <w:r>
        <w:rPr>
          <w:rFonts w:cs="Arial"/>
          <w:szCs w:val="24"/>
        </w:rPr>
        <w:t xml:space="preserve">coinvolte nella </w:t>
      </w:r>
      <w:r w:rsidRPr="00A11A68">
        <w:rPr>
          <w:rFonts w:cs="Arial"/>
          <w:szCs w:val="24"/>
        </w:rPr>
        <w:t xml:space="preserve">precedente convezione </w:t>
      </w:r>
      <w:r>
        <w:rPr>
          <w:rFonts w:cs="Arial"/>
          <w:szCs w:val="24"/>
        </w:rPr>
        <w:t xml:space="preserve">(ETB, città e Cantone) </w:t>
      </w:r>
      <w:r w:rsidRPr="00A11A68">
        <w:rPr>
          <w:rFonts w:cs="Arial"/>
          <w:szCs w:val="24"/>
        </w:rPr>
        <w:t>hanno assunto in ragione di un terzo ciascuno.</w:t>
      </w:r>
    </w:p>
    <w:p w:rsidR="00BB6ED9" w:rsidRPr="00A11A68" w:rsidRDefault="00BB6ED9" w:rsidP="00BB6ED9">
      <w:pPr>
        <w:suppressAutoHyphens/>
        <w:ind w:right="29"/>
        <w:rPr>
          <w:rFonts w:cs="Arial"/>
          <w:szCs w:val="24"/>
        </w:rPr>
      </w:pPr>
    </w:p>
    <w:p w:rsidR="00BB6ED9" w:rsidRPr="00A11A68" w:rsidRDefault="00BB6ED9" w:rsidP="00BB6ED9">
      <w:pPr>
        <w:suppressAutoHyphens/>
        <w:rPr>
          <w:rFonts w:cs="Arial"/>
          <w:szCs w:val="24"/>
        </w:rPr>
      </w:pPr>
      <w:r w:rsidRPr="00A11A68">
        <w:rPr>
          <w:rFonts w:cs="Arial"/>
          <w:szCs w:val="24"/>
        </w:rPr>
        <w:t xml:space="preserve">Nel </w:t>
      </w:r>
      <w:r w:rsidRPr="00BF2D6E">
        <w:rPr>
          <w:rFonts w:cs="Arial"/>
          <w:b/>
          <w:szCs w:val="24"/>
        </w:rPr>
        <w:t>2017</w:t>
      </w:r>
      <w:r>
        <w:rPr>
          <w:rFonts w:cs="Arial"/>
          <w:szCs w:val="24"/>
        </w:rPr>
        <w:t xml:space="preserve"> la </w:t>
      </w:r>
      <w:r w:rsidRPr="00A11A68">
        <w:rPr>
          <w:rFonts w:cs="Arial"/>
          <w:szCs w:val="24"/>
        </w:rPr>
        <w:t xml:space="preserve">Città </w:t>
      </w:r>
      <w:r>
        <w:rPr>
          <w:rFonts w:cs="Arial"/>
          <w:szCs w:val="24"/>
        </w:rPr>
        <w:t xml:space="preserve">di Bellinzona ha proposto al Cantone l’avvio di </w:t>
      </w:r>
      <w:r w:rsidRPr="00A11A68">
        <w:rPr>
          <w:rFonts w:cs="Arial"/>
          <w:szCs w:val="24"/>
        </w:rPr>
        <w:t xml:space="preserve">un progetto di valorizzazione dei Castelli </w:t>
      </w:r>
      <w:r>
        <w:rPr>
          <w:rFonts w:cs="Arial"/>
          <w:szCs w:val="24"/>
        </w:rPr>
        <w:t xml:space="preserve">con l’obiettivo di </w:t>
      </w:r>
      <w:r w:rsidRPr="00A11A68">
        <w:rPr>
          <w:rFonts w:cs="Arial"/>
          <w:szCs w:val="24"/>
        </w:rPr>
        <w:t>individuar</w:t>
      </w:r>
      <w:r>
        <w:rPr>
          <w:rFonts w:cs="Arial"/>
          <w:szCs w:val="24"/>
        </w:rPr>
        <w:t>n</w:t>
      </w:r>
      <w:r w:rsidRPr="00A11A68">
        <w:rPr>
          <w:rFonts w:cs="Arial"/>
          <w:szCs w:val="24"/>
        </w:rPr>
        <w:t>e il potenziale economico articola</w:t>
      </w:r>
      <w:r>
        <w:rPr>
          <w:rFonts w:cs="Arial"/>
          <w:szCs w:val="24"/>
        </w:rPr>
        <w:t>to</w:t>
      </w:r>
      <w:r w:rsidRPr="00A11A68">
        <w:rPr>
          <w:rFonts w:cs="Arial"/>
          <w:szCs w:val="24"/>
        </w:rPr>
        <w:t xml:space="preserve"> in tre tappe:</w:t>
      </w:r>
    </w:p>
    <w:p w:rsidR="00BB6ED9" w:rsidRPr="00B16B5D" w:rsidRDefault="00BB6ED9" w:rsidP="00BB6ED9">
      <w:pPr>
        <w:tabs>
          <w:tab w:val="left" w:pos="851"/>
        </w:tabs>
        <w:suppressAutoHyphens/>
        <w:spacing w:before="80"/>
        <w:ind w:left="284" w:hanging="284"/>
        <w:rPr>
          <w:rFonts w:cs="Arial"/>
          <w:szCs w:val="24"/>
        </w:rPr>
      </w:pPr>
      <w:r w:rsidRPr="00B16B5D">
        <w:rPr>
          <w:rFonts w:cs="Arial"/>
          <w:szCs w:val="24"/>
        </w:rPr>
        <w:t>-</w:t>
      </w:r>
      <w:r w:rsidRPr="00B16B5D">
        <w:rPr>
          <w:rFonts w:cs="Arial"/>
          <w:szCs w:val="24"/>
        </w:rPr>
        <w:tab/>
        <w:t>uno studio di fattibilità, volto ad identificare gli obiettivi e le vie per raggiungerli;</w:t>
      </w:r>
    </w:p>
    <w:p w:rsidR="00BB6ED9" w:rsidRPr="00B16B5D" w:rsidRDefault="00BB6ED9" w:rsidP="00BB6ED9">
      <w:pPr>
        <w:tabs>
          <w:tab w:val="left" w:pos="851"/>
        </w:tabs>
        <w:suppressAutoHyphens/>
        <w:spacing w:before="80"/>
        <w:ind w:left="284" w:hanging="284"/>
        <w:rPr>
          <w:rFonts w:cs="Arial"/>
          <w:szCs w:val="24"/>
        </w:rPr>
      </w:pPr>
      <w:r w:rsidRPr="00B16B5D">
        <w:rPr>
          <w:rFonts w:cs="Arial"/>
          <w:szCs w:val="24"/>
        </w:rPr>
        <w:t>-</w:t>
      </w:r>
      <w:r w:rsidRPr="00B16B5D">
        <w:rPr>
          <w:rFonts w:cs="Arial"/>
          <w:szCs w:val="24"/>
        </w:rPr>
        <w:tab/>
        <w:t>una fase di progettazione, necessaria per allestire i progetti di dettaglio ed il budget;</w:t>
      </w:r>
    </w:p>
    <w:p w:rsidR="00BB6ED9" w:rsidRPr="00B16B5D" w:rsidRDefault="00BB6ED9" w:rsidP="00BB6ED9">
      <w:pPr>
        <w:tabs>
          <w:tab w:val="left" w:pos="851"/>
        </w:tabs>
        <w:suppressAutoHyphens/>
        <w:spacing w:before="80"/>
        <w:ind w:left="284" w:hanging="284"/>
        <w:rPr>
          <w:rFonts w:cs="Arial"/>
          <w:szCs w:val="24"/>
        </w:rPr>
      </w:pPr>
      <w:r w:rsidRPr="00B16B5D">
        <w:rPr>
          <w:rFonts w:cs="Arial"/>
          <w:szCs w:val="24"/>
        </w:rPr>
        <w:t>-</w:t>
      </w:r>
      <w:r w:rsidRPr="00B16B5D">
        <w:rPr>
          <w:rFonts w:cs="Arial"/>
          <w:szCs w:val="24"/>
        </w:rPr>
        <w:tab/>
        <w:t>la fase di realizzazione, per concretizzare il progetto.</w:t>
      </w:r>
    </w:p>
    <w:p w:rsidR="00BB6ED9" w:rsidRDefault="00BB6ED9" w:rsidP="00BB6ED9"/>
    <w:p w:rsidR="00BB6ED9" w:rsidRPr="00B16B5D" w:rsidRDefault="00BB6ED9" w:rsidP="00BB6ED9">
      <w:pPr>
        <w:suppressAutoHyphens/>
        <w:ind w:right="29"/>
        <w:rPr>
          <w:rFonts w:cs="Arial"/>
          <w:szCs w:val="24"/>
        </w:rPr>
      </w:pPr>
      <w:r>
        <w:t xml:space="preserve">Nel frattempo la gestione dei Castelli del </w:t>
      </w:r>
      <w:r w:rsidRPr="00BF2D6E">
        <w:rPr>
          <w:b/>
        </w:rPr>
        <w:t>2018</w:t>
      </w:r>
      <w:r>
        <w:t xml:space="preserve"> </w:t>
      </w:r>
      <w:r w:rsidRPr="00B16B5D">
        <w:rPr>
          <w:rFonts w:cs="Arial"/>
          <w:szCs w:val="24"/>
        </w:rPr>
        <w:t xml:space="preserve">ha consentito la chiusura in pareggio dei conti con un accantonamento per rischi futuri di circa CHF 120'000.-. </w:t>
      </w:r>
    </w:p>
    <w:p w:rsidR="00BB6ED9" w:rsidRPr="00B16B5D" w:rsidRDefault="00BB6ED9" w:rsidP="00BB6ED9">
      <w:pPr>
        <w:suppressAutoHyphens/>
        <w:ind w:right="29"/>
        <w:rPr>
          <w:rFonts w:cs="Arial"/>
          <w:szCs w:val="24"/>
        </w:rPr>
      </w:pPr>
      <w:r w:rsidRPr="00B16B5D">
        <w:rPr>
          <w:rFonts w:cs="Arial"/>
          <w:szCs w:val="24"/>
        </w:rPr>
        <w:t>Questa riserva, dal 2019, p</w:t>
      </w:r>
      <w:r>
        <w:rPr>
          <w:rFonts w:cs="Arial"/>
          <w:szCs w:val="24"/>
        </w:rPr>
        <w:t xml:space="preserve">uò </w:t>
      </w:r>
      <w:r w:rsidRPr="00B16B5D">
        <w:rPr>
          <w:rFonts w:cs="Arial"/>
          <w:szCs w:val="24"/>
        </w:rPr>
        <w:t>essere utilizzata per il rimborso alle parti</w:t>
      </w:r>
      <w:r>
        <w:rPr>
          <w:rFonts w:cs="Arial"/>
          <w:szCs w:val="24"/>
        </w:rPr>
        <w:t xml:space="preserve"> come </w:t>
      </w:r>
      <w:r w:rsidRPr="00B16B5D">
        <w:rPr>
          <w:rFonts w:cs="Arial"/>
          <w:szCs w:val="24"/>
        </w:rPr>
        <w:t>pattuito nella nuova convenzione (cfr. nel seguito 2.3).</w:t>
      </w:r>
    </w:p>
    <w:p w:rsidR="00BB6ED9" w:rsidRDefault="00BB6ED9" w:rsidP="00BB6ED9"/>
    <w:p w:rsidR="00AC07CD" w:rsidRDefault="00AC07CD" w:rsidP="00BB6ED9"/>
    <w:p w:rsidR="00BB6ED9" w:rsidRPr="00BF2D6E" w:rsidRDefault="00BB6ED9" w:rsidP="00AC07CD">
      <w:pPr>
        <w:pStyle w:val="Titolo1"/>
      </w:pPr>
      <w:r w:rsidRPr="00BF2D6E">
        <w:t>La nuova Convenzione</w:t>
      </w:r>
    </w:p>
    <w:p w:rsidR="00BB6ED9" w:rsidRDefault="00BB6ED9" w:rsidP="00BB6ED9">
      <w:pPr>
        <w:rPr>
          <w:rFonts w:cs="Arial"/>
          <w:szCs w:val="24"/>
        </w:rPr>
      </w:pPr>
      <w:r>
        <w:rPr>
          <w:rFonts w:cs="Arial"/>
          <w:szCs w:val="24"/>
        </w:rPr>
        <w:t>L’esperienza accumulata e il necessario percorso di risanamento finanziario ha permesso di capire che fosse indispensabile semplificare le modalità di gestione e creare le premesse per poter affrontare il progetto di rilancio.</w:t>
      </w:r>
    </w:p>
    <w:p w:rsidR="00BB6ED9" w:rsidRDefault="00BB6ED9" w:rsidP="007925C5">
      <w:pPr>
        <w:spacing w:before="120"/>
        <w:rPr>
          <w:rFonts w:cs="Arial"/>
          <w:szCs w:val="24"/>
        </w:rPr>
      </w:pPr>
      <w:r>
        <w:rPr>
          <w:rFonts w:cs="Arial"/>
          <w:szCs w:val="24"/>
        </w:rPr>
        <w:t xml:space="preserve">Per questo motivo gli attori della Convenzione sono stati ridotti a due secondo il modello della concessione (allegata). Il Cantone proprietario </w:t>
      </w:r>
      <w:r w:rsidRPr="00B16B5D">
        <w:rPr>
          <w:rFonts w:cs="Arial"/>
          <w:szCs w:val="24"/>
        </w:rPr>
        <w:t>concede in uso alla Città</w:t>
      </w:r>
      <w:r w:rsidRPr="003176AB">
        <w:rPr>
          <w:rFonts w:cs="Arial"/>
          <w:szCs w:val="24"/>
        </w:rPr>
        <w:t xml:space="preserve"> </w:t>
      </w:r>
      <w:r w:rsidRPr="00B16B5D">
        <w:rPr>
          <w:rFonts w:cs="Arial"/>
          <w:szCs w:val="24"/>
        </w:rPr>
        <w:t>un bene demaniale di grande valore storico e culturale</w:t>
      </w:r>
      <w:r>
        <w:rPr>
          <w:rFonts w:cs="Arial"/>
          <w:szCs w:val="24"/>
        </w:rPr>
        <w:t xml:space="preserve">, e la città </w:t>
      </w:r>
      <w:r w:rsidRPr="00B16B5D">
        <w:rPr>
          <w:rFonts w:cs="Arial"/>
          <w:szCs w:val="24"/>
        </w:rPr>
        <w:t>ne diventa unico responsabile verso lo Stato</w:t>
      </w:r>
      <w:r>
        <w:rPr>
          <w:rFonts w:cs="Arial"/>
          <w:szCs w:val="24"/>
        </w:rPr>
        <w:t xml:space="preserve"> dal quale riceve un finanziamento ricorrente.</w:t>
      </w:r>
    </w:p>
    <w:p w:rsidR="00BB6ED9" w:rsidRDefault="00BB6ED9" w:rsidP="007925C5">
      <w:pPr>
        <w:spacing w:before="120"/>
      </w:pPr>
      <w:r>
        <w:t xml:space="preserve">I compiti della città sono riassunti al capitolo 2: valorizzare, promuovere e tutelare il carattere culturale e di patrimonio dell’umanità dei castelli.  </w:t>
      </w:r>
    </w:p>
    <w:p w:rsidR="00BB6ED9" w:rsidRDefault="00BB6ED9" w:rsidP="007925C5">
      <w:pPr>
        <w:spacing w:before="120"/>
        <w:rPr>
          <w:rFonts w:cs="Arial"/>
          <w:szCs w:val="24"/>
        </w:rPr>
      </w:pPr>
      <w:r w:rsidRPr="003176AB">
        <w:t>La semplificazione principale è stata la delega a due soli servizi del coordinamento amministrativo dei rapporti fra le parti</w:t>
      </w:r>
      <w:r>
        <w:t>; per lo Stato i servizi</w:t>
      </w:r>
      <w:r w:rsidR="007925C5">
        <w:t xml:space="preserve"> generale del Dipartimento del t</w:t>
      </w:r>
      <w:r>
        <w:t>erritorio e per la città il segretario comunale.</w:t>
      </w:r>
    </w:p>
    <w:p w:rsidR="00BB6ED9" w:rsidRDefault="00BB6ED9" w:rsidP="007925C5">
      <w:pPr>
        <w:spacing w:before="120"/>
      </w:pPr>
      <w:r>
        <w:t>La città potrà, cap. 2.2, avvalersi del supporto dell’Organizzazione turistica regionale (OTR) e sottopone preventivamente al cantone l’eventuale cessione a terzi per eventi o manifestazioni.</w:t>
      </w:r>
    </w:p>
    <w:p w:rsidR="00BB6ED9" w:rsidRDefault="00BB6ED9" w:rsidP="007925C5">
      <w:pPr>
        <w:spacing w:before="120"/>
      </w:pPr>
      <w:r>
        <w:t>La convenzione conferma la continuità dei compiti e delle prestazioni sin qui assicurati dalle parti e dai rispettivi servizi. Così come è importante sottolineare l’impegno della città a volere riversare eventuali utili di esercizio per rimborsare alle parti il contributo di risanamento assunto prima di investirli in migliorie nella gestione.</w:t>
      </w:r>
    </w:p>
    <w:p w:rsidR="00BB6ED9" w:rsidRDefault="00BB6ED9" w:rsidP="00BB6ED9">
      <w:pPr>
        <w:rPr>
          <w:highlight w:val="yellow"/>
        </w:rPr>
      </w:pPr>
    </w:p>
    <w:p w:rsidR="00BB6ED9" w:rsidRDefault="00BB6ED9" w:rsidP="00BB6ED9">
      <w:r w:rsidRPr="001F6299">
        <w:t>Il Consiglio comunale della Città ha approvato la Convezione in questione il 25 ottobre 2019.</w:t>
      </w:r>
    </w:p>
    <w:p w:rsidR="00BB6ED9" w:rsidRDefault="00BB6ED9" w:rsidP="00BB6ED9"/>
    <w:p w:rsidR="00BB6ED9" w:rsidRPr="00D1499D" w:rsidRDefault="00BB6ED9" w:rsidP="00BB6ED9">
      <w:r w:rsidRPr="00D1499D">
        <w:t>È ben evidente come l’organizzazione sia stata semplificata attribuendo alla città la responsabilità della gestione e il compito di valorizzare, promuovere e tutelare il carattere culturale e di patrimonio dell’umanità (cifra 2.1) della Fortezza. Il coordinamento è assunto dal segretario comunale in collaborazione con il segretario</w:t>
      </w:r>
      <w:r w:rsidR="007925C5">
        <w:t xml:space="preserve"> generale del Dipartimento del t</w:t>
      </w:r>
      <w:r w:rsidRPr="00D1499D">
        <w:t xml:space="preserve">erritorio. </w:t>
      </w:r>
    </w:p>
    <w:p w:rsidR="00BB6ED9" w:rsidRPr="007925C5" w:rsidRDefault="00BB6ED9" w:rsidP="007925C5">
      <w:pPr>
        <w:spacing w:before="120"/>
        <w:rPr>
          <w:rFonts w:cs="Arial"/>
          <w:szCs w:val="24"/>
        </w:rPr>
      </w:pPr>
      <w:r w:rsidRPr="007925C5">
        <w:rPr>
          <w:rFonts w:cs="Arial"/>
          <w:szCs w:val="24"/>
        </w:rPr>
        <w:lastRenderedPageBreak/>
        <w:t xml:space="preserve">La Città invia un programma annuale al Cantone che lo valuta e approva e, quando ci sono eventi non programmati, procede nello stesso modo. Ci si potrebbe chiedere se, una volta fissati i criteri e i paletti entro cui muoversi, non fosse addirittura auspicabile limitarsi a un’informazione allo Stato sul programma degli eventi delegando completamente alla città la competenza di autorizzazione. Un elemento questo da semmai riprendere e perfezionare dopo una prima fase di rodaggio. </w:t>
      </w:r>
    </w:p>
    <w:p w:rsidR="00BB6ED9" w:rsidRDefault="00BB6ED9" w:rsidP="00BB6ED9"/>
    <w:p w:rsidR="00AC07CD" w:rsidRPr="00D1499D" w:rsidRDefault="00AC07CD" w:rsidP="00BB6ED9"/>
    <w:p w:rsidR="00BB6ED9" w:rsidRPr="004A4F05" w:rsidRDefault="00BB6ED9" w:rsidP="00AC07CD">
      <w:pPr>
        <w:pStyle w:val="Titolo1"/>
      </w:pPr>
      <w:r w:rsidRPr="004A4F05">
        <w:t>Progetto di valorizzazione della Fortezza di Bellinzona</w:t>
      </w:r>
    </w:p>
    <w:p w:rsidR="00BB6ED9" w:rsidRDefault="00BB6ED9" w:rsidP="00BB6ED9">
      <w:r>
        <w:t>È bene ricordare che la valorizzazione dei castelli Bellinzona e in particolare di Castel Grande è stata avviata negli anni ’80 grazie al significativo contributo della Fondazione Della Valle, a importanti investimenti pubblici, alla sapiente opera di ristrutturazione architettonica dell’architetto A.</w:t>
      </w:r>
      <w:r w:rsidR="00AC07CD">
        <w:t xml:space="preserve"> </w:t>
      </w:r>
      <w:r>
        <w:t>Galfetti sostenuta da un competente supporto storico e scientifico.</w:t>
      </w:r>
    </w:p>
    <w:p w:rsidR="00BB6ED9" w:rsidRPr="007925C5" w:rsidRDefault="00BB6ED9" w:rsidP="007925C5">
      <w:pPr>
        <w:spacing w:before="120"/>
        <w:rPr>
          <w:rFonts w:cs="Arial"/>
          <w:szCs w:val="24"/>
        </w:rPr>
      </w:pPr>
      <w:r w:rsidRPr="007925C5">
        <w:rPr>
          <w:rFonts w:cs="Arial"/>
          <w:szCs w:val="24"/>
        </w:rPr>
        <w:t xml:space="preserve">Questa premessa indispensabile permette oggi di affrontare il progetto di valorizzazione della Fortezza di Bellinzona che si inserisce nello sviluppo dell’attrattiva turistica del nostro Cantone dopo </w:t>
      </w:r>
      <w:r w:rsidR="00AC07CD" w:rsidRPr="007925C5">
        <w:rPr>
          <w:rFonts w:cs="Arial"/>
          <w:szCs w:val="24"/>
        </w:rPr>
        <w:t xml:space="preserve">l’apertura del collegamento </w:t>
      </w:r>
      <w:proofErr w:type="spellStart"/>
      <w:r w:rsidR="00AC07CD" w:rsidRPr="007925C5">
        <w:rPr>
          <w:rFonts w:cs="Arial"/>
          <w:szCs w:val="24"/>
        </w:rPr>
        <w:t>Alp</w:t>
      </w:r>
      <w:r w:rsidRPr="007925C5">
        <w:rPr>
          <w:rFonts w:cs="Arial"/>
          <w:szCs w:val="24"/>
        </w:rPr>
        <w:t>Transit</w:t>
      </w:r>
      <w:proofErr w:type="spellEnd"/>
      <w:r w:rsidRPr="007925C5">
        <w:rPr>
          <w:rFonts w:cs="Arial"/>
          <w:szCs w:val="24"/>
        </w:rPr>
        <w:t xml:space="preserve"> che ha avvicinato il Ticino al nord delle Alpi e contestualmente all’apertura del tunnel del Monte Ceneri.</w:t>
      </w:r>
    </w:p>
    <w:p w:rsidR="00BB6ED9" w:rsidRPr="007925C5" w:rsidRDefault="00BB6ED9" w:rsidP="007925C5">
      <w:pPr>
        <w:spacing w:before="120"/>
        <w:rPr>
          <w:rFonts w:cs="Arial"/>
          <w:szCs w:val="24"/>
        </w:rPr>
      </w:pPr>
      <w:r w:rsidRPr="007925C5">
        <w:rPr>
          <w:rFonts w:cs="Arial"/>
          <w:szCs w:val="24"/>
        </w:rPr>
        <w:t xml:space="preserve">Nel mese di giugno del 2019 il Municipio ha presentato al Cantone una proposta di costi di progettazione della valorizzazione della Fortezza di Bellinzona, che comprende tre ambiti distinti: </w:t>
      </w:r>
    </w:p>
    <w:p w:rsidR="00BB6ED9" w:rsidRPr="00A11A68" w:rsidRDefault="00BB6ED9" w:rsidP="00AC07CD">
      <w:pPr>
        <w:pStyle w:val="Paragrafoelenco"/>
        <w:numPr>
          <w:ilvl w:val="0"/>
          <w:numId w:val="13"/>
        </w:numPr>
        <w:spacing w:before="60"/>
        <w:ind w:left="284" w:hanging="284"/>
        <w:rPr>
          <w:rFonts w:cs="Arial"/>
          <w:sz w:val="22"/>
        </w:rPr>
      </w:pPr>
      <w:r w:rsidRPr="00A11A68">
        <w:t>la valorizzazione della parte storico-museale (“Contenuti”)</w:t>
      </w:r>
      <w:r>
        <w:t>;</w:t>
      </w:r>
      <w:r w:rsidRPr="00A11A68">
        <w:t xml:space="preserve"> </w:t>
      </w:r>
    </w:p>
    <w:p w:rsidR="00BB6ED9" w:rsidRPr="00A11A68" w:rsidRDefault="00BB6ED9" w:rsidP="00AC07CD">
      <w:pPr>
        <w:pStyle w:val="Paragrafoelenco"/>
        <w:numPr>
          <w:ilvl w:val="0"/>
          <w:numId w:val="13"/>
        </w:numPr>
        <w:spacing w:before="60"/>
        <w:ind w:left="284" w:hanging="284"/>
        <w:rPr>
          <w:rFonts w:cs="Arial"/>
          <w:sz w:val="22"/>
        </w:rPr>
      </w:pPr>
      <w:r w:rsidRPr="00A11A68">
        <w:t>la parte “Logistica”</w:t>
      </w:r>
      <w:r>
        <w:t>;</w:t>
      </w:r>
      <w:r w:rsidRPr="00A11A68">
        <w:t xml:space="preserve"> </w:t>
      </w:r>
    </w:p>
    <w:p w:rsidR="00BB6ED9" w:rsidRPr="00A11A68" w:rsidRDefault="00BB6ED9" w:rsidP="00AC07CD">
      <w:pPr>
        <w:pStyle w:val="Paragrafoelenco"/>
        <w:numPr>
          <w:ilvl w:val="0"/>
          <w:numId w:val="13"/>
        </w:numPr>
        <w:spacing w:before="60"/>
        <w:ind w:left="284" w:hanging="284"/>
        <w:rPr>
          <w:rFonts w:cs="Arial"/>
          <w:sz w:val="22"/>
        </w:rPr>
      </w:pPr>
      <w:r w:rsidRPr="00A11A68">
        <w:t>una parte legata alla “</w:t>
      </w:r>
      <w:proofErr w:type="spellStart"/>
      <w:r w:rsidRPr="00A11A68">
        <w:t>Governance</w:t>
      </w:r>
      <w:proofErr w:type="spellEnd"/>
      <w:r w:rsidRPr="00A11A68">
        <w:t xml:space="preserve">”, regolata in particolare dal management </w:t>
      </w:r>
      <w:proofErr w:type="spellStart"/>
      <w:r w:rsidRPr="00A11A68">
        <w:t>plan</w:t>
      </w:r>
      <w:proofErr w:type="spellEnd"/>
      <w:r w:rsidRPr="00A11A68">
        <w:t xml:space="preserve"> UNESCO.</w:t>
      </w:r>
    </w:p>
    <w:p w:rsidR="00AC07CD" w:rsidRDefault="00AC07CD" w:rsidP="00BB6ED9"/>
    <w:p w:rsidR="00BB6ED9" w:rsidRDefault="00BB6ED9" w:rsidP="00BB6ED9">
      <w:r>
        <w:t>Il Cantone ha dato un’adesione di principio alla prima bozza del concetto di valorizzazione che prevede costi di progettazione da condividere al 50% tra Cantone e Città. Sono in corso ulteriori valutazioni per quanto concerne la costituzione di un’organizzazione di progetto e la procedura decisionale.</w:t>
      </w:r>
    </w:p>
    <w:p w:rsidR="00BB6ED9" w:rsidRDefault="00BB6ED9" w:rsidP="007925C5">
      <w:pPr>
        <w:spacing w:before="120"/>
      </w:pPr>
      <w:r>
        <w:t>Rimane il fatto che per la valorizzazione della Fortezza di Bellinzona, utile ricordare che si tratta di un bene di proprietà del Cantone, saranno indispensabili ulteriori e specifici investimenti. Senza entrare nel dettaglio si tratterà di migliorie per l’accoglienza dei visitatori e delle scolaresche, migliorie degli aspetti comunicativi e informativi, saranno indispensabili adeguamenti dei contenuti museali così per il parcheggio dei torpedoni.</w:t>
      </w:r>
    </w:p>
    <w:p w:rsidR="00BB6ED9" w:rsidRDefault="00BB6ED9" w:rsidP="007925C5">
      <w:pPr>
        <w:spacing w:before="120"/>
      </w:pPr>
      <w:r>
        <w:t>È importante rilevare come questo progetto richiede una forte partnership tra Cantone e Città ed è bene constatare che la convenzione in oggetto è un primo positivo passo in questo senso.</w:t>
      </w:r>
    </w:p>
    <w:p w:rsidR="00BB6ED9" w:rsidRDefault="00BB6ED9" w:rsidP="007925C5">
      <w:pPr>
        <w:spacing w:before="120"/>
      </w:pPr>
      <w:r>
        <w:t>La Città sta consolidando un’esperienza positiva grazie alla creazione di agenzie che si occupano di servizi e infrastrutture nel contesto dello sport, delle case anziani, del teatro sociale, della struttura museale di Villa dei Cedri. Questa sembrerebbe essere una modalità di gestione interessante in cui riunire Città e Cantone e a cui attribuire compiti, competenze e risorse chiare per assicurare una gestione efficace e efficiente (tema della “</w:t>
      </w:r>
      <w:proofErr w:type="spellStart"/>
      <w:r>
        <w:t>governance</w:t>
      </w:r>
      <w:proofErr w:type="spellEnd"/>
      <w:r>
        <w:t>”) di questo tema importante.</w:t>
      </w:r>
    </w:p>
    <w:p w:rsidR="00BB6ED9" w:rsidRDefault="00BB6ED9" w:rsidP="00BB6ED9"/>
    <w:p w:rsidR="00BB6ED9" w:rsidRDefault="00BB6ED9" w:rsidP="00BB6ED9"/>
    <w:p w:rsidR="00BB6ED9" w:rsidRPr="001F6299" w:rsidRDefault="00BB6ED9" w:rsidP="00AC07CD">
      <w:pPr>
        <w:pStyle w:val="Titolo1"/>
      </w:pPr>
      <w:r w:rsidRPr="001F6299">
        <w:t>Relazione con le linee direttive e il piano finanziario</w:t>
      </w:r>
    </w:p>
    <w:p w:rsidR="00BB6ED9" w:rsidRDefault="00BB6ED9" w:rsidP="00BB6ED9">
      <w:r>
        <w:t>I</w:t>
      </w:r>
      <w:r w:rsidRPr="00BF18A1">
        <w:t xml:space="preserve">l contributo cantonale </w:t>
      </w:r>
      <w:r>
        <w:t xml:space="preserve">alla città di Bellinzona </w:t>
      </w:r>
      <w:r w:rsidRPr="00BF18A1">
        <w:t>per la gestione dei Castelli sarà iscritto annualmente nel preventivo dei Servizi generali del Dipartimento del territorio</w:t>
      </w:r>
      <w:r>
        <w:t xml:space="preserve"> quale spesa di gestione corrente (voce contabile 36350084 CRB 711)</w:t>
      </w:r>
      <w:r w:rsidRPr="00BF18A1">
        <w:t>.</w:t>
      </w:r>
      <w:r>
        <w:t xml:space="preserve"> </w:t>
      </w:r>
    </w:p>
    <w:p w:rsidR="00BB6ED9" w:rsidRPr="001F6299" w:rsidRDefault="00BB6ED9" w:rsidP="00AC07CD">
      <w:pPr>
        <w:pStyle w:val="Titolo1"/>
      </w:pPr>
      <w:r w:rsidRPr="001F6299">
        <w:lastRenderedPageBreak/>
        <w:t>Conclusione</w:t>
      </w:r>
    </w:p>
    <w:p w:rsidR="00BB6ED9" w:rsidRDefault="00BB6ED9" w:rsidP="00BB6ED9">
      <w:r>
        <w:t>I motivi esposti portano a concludere che la nuova convenzione qui proposta sia una premessa migliore per una gestione della fortezza dei Castelli di Bellinzona maggiormente efficace e efficiente affinché il potenziale di questo bene storico e culturale possa essere meglio valorizzato.</w:t>
      </w:r>
    </w:p>
    <w:p w:rsidR="00AC07CD" w:rsidRDefault="00AC07CD" w:rsidP="00BB6ED9"/>
    <w:p w:rsidR="00BB6ED9" w:rsidRDefault="00BB6ED9" w:rsidP="00BB6ED9">
      <w:r>
        <w:t xml:space="preserve">Per questo la Commissione </w:t>
      </w:r>
      <w:r w:rsidR="00AC07CD">
        <w:t xml:space="preserve">gestione e finanze </w:t>
      </w:r>
      <w:r>
        <w:t>propone al plenum del Gran Consiglio l’approv</w:t>
      </w:r>
      <w:r w:rsidR="00AC07CD">
        <w:t>azione del messaggio in oggetto e del relativo decreto legislativo</w:t>
      </w:r>
    </w:p>
    <w:p w:rsidR="00AC07CD" w:rsidRDefault="00AC07CD" w:rsidP="00AC07CD">
      <w:pPr>
        <w:rPr>
          <w:rFonts w:cs="Arial"/>
          <w:szCs w:val="24"/>
        </w:rPr>
      </w:pPr>
    </w:p>
    <w:p w:rsidR="00AC07CD" w:rsidRDefault="00AC07CD" w:rsidP="00AC07CD">
      <w:pPr>
        <w:rPr>
          <w:rFonts w:cs="Arial"/>
          <w:szCs w:val="24"/>
        </w:rPr>
      </w:pPr>
    </w:p>
    <w:p w:rsidR="00AC07CD" w:rsidRPr="00076E70" w:rsidRDefault="00AC07CD" w:rsidP="00AC07CD">
      <w:pPr>
        <w:rPr>
          <w:rFonts w:cs="Arial"/>
          <w:szCs w:val="24"/>
        </w:rPr>
      </w:pPr>
    </w:p>
    <w:p w:rsidR="00AC07CD" w:rsidRPr="00076E70" w:rsidRDefault="00AC07CD" w:rsidP="00AC07CD">
      <w:pPr>
        <w:spacing w:after="120"/>
        <w:rPr>
          <w:rFonts w:cs="Arial"/>
          <w:szCs w:val="24"/>
        </w:rPr>
      </w:pPr>
      <w:r w:rsidRPr="00076E70">
        <w:rPr>
          <w:rFonts w:cs="Arial"/>
          <w:szCs w:val="24"/>
        </w:rPr>
        <w:t xml:space="preserve">Per </w:t>
      </w:r>
      <w:smartTag w:uri="urn:schemas-microsoft-com:office:smarttags" w:element="PersonName">
        <w:smartTagPr>
          <w:attr w:name="ProductID" w:val="la Commissione"/>
        </w:smartTagPr>
        <w:r w:rsidRPr="00076E70">
          <w:rPr>
            <w:rFonts w:cs="Arial"/>
            <w:szCs w:val="24"/>
          </w:rPr>
          <w:t>la Commissione</w:t>
        </w:r>
      </w:smartTag>
      <w:r w:rsidRPr="00076E70">
        <w:rPr>
          <w:rFonts w:cs="Arial"/>
          <w:szCs w:val="24"/>
        </w:rPr>
        <w:t xml:space="preserve"> </w:t>
      </w:r>
      <w:r w:rsidRPr="00AC07CD">
        <w:rPr>
          <w:rFonts w:cs="Arial"/>
          <w:szCs w:val="24"/>
        </w:rPr>
        <w:t>gestione e finanze</w:t>
      </w:r>
      <w:r w:rsidRPr="00076E70">
        <w:rPr>
          <w:rFonts w:cs="Arial"/>
          <w:szCs w:val="24"/>
        </w:rPr>
        <w:t>:</w:t>
      </w:r>
    </w:p>
    <w:p w:rsidR="00AC07CD" w:rsidRPr="00076E70" w:rsidRDefault="00AC07CD" w:rsidP="00AC07CD">
      <w:pPr>
        <w:rPr>
          <w:rFonts w:cs="Arial"/>
          <w:szCs w:val="24"/>
        </w:rPr>
      </w:pPr>
      <w:r>
        <w:rPr>
          <w:szCs w:val="24"/>
        </w:rPr>
        <w:t>Bixio Caprara</w:t>
      </w:r>
      <w:r w:rsidRPr="00076E70">
        <w:rPr>
          <w:rFonts w:cs="Arial"/>
          <w:szCs w:val="24"/>
        </w:rPr>
        <w:t>, relatore</w:t>
      </w:r>
    </w:p>
    <w:p w:rsidR="00AC07CD" w:rsidRDefault="00AC07CD" w:rsidP="00AC07CD">
      <w:pPr>
        <w:rPr>
          <w:rFonts w:cs="Arial"/>
        </w:rPr>
      </w:pPr>
      <w:bookmarkStart w:id="2" w:name="OLE_LINK1"/>
      <w:bookmarkStart w:id="3" w:name="OLE_LINK2"/>
      <w:r>
        <w:rPr>
          <w:rFonts w:cs="Arial"/>
        </w:rPr>
        <w:t xml:space="preserve">Agustoni - Bang - Bignasca B. - Biscossa - </w:t>
      </w:r>
    </w:p>
    <w:p w:rsidR="00AC07CD" w:rsidRDefault="00AC07CD" w:rsidP="00AC07CD">
      <w:pPr>
        <w:rPr>
          <w:rFonts w:cs="Arial"/>
        </w:rPr>
      </w:pPr>
      <w:r>
        <w:rPr>
          <w:rFonts w:cs="Arial"/>
        </w:rPr>
        <w:t xml:space="preserve">Bourgoin - Caverzasio - Dadò - Durisch - </w:t>
      </w:r>
    </w:p>
    <w:p w:rsidR="00AC07CD" w:rsidRDefault="00AC07CD" w:rsidP="00AC07CD">
      <w:pPr>
        <w:rPr>
          <w:rFonts w:cs="Arial"/>
        </w:rPr>
      </w:pPr>
      <w:r>
        <w:rPr>
          <w:rFonts w:cs="Arial"/>
        </w:rPr>
        <w:t xml:space="preserve">Ferrara - Foletti - Fonio - Gianella Alessandra - </w:t>
      </w:r>
    </w:p>
    <w:p w:rsidR="00AC07CD" w:rsidRDefault="00AC07CD" w:rsidP="00AC07CD">
      <w:pPr>
        <w:rPr>
          <w:rFonts w:cs="Arial"/>
        </w:rPr>
      </w:pPr>
      <w:r>
        <w:rPr>
          <w:rFonts w:cs="Arial"/>
        </w:rPr>
        <w:t>Guerra - Pamini - Pini - Quadranti</w:t>
      </w:r>
    </w:p>
    <w:bookmarkEnd w:id="2"/>
    <w:bookmarkEnd w:id="3"/>
    <w:p w:rsidR="00AC07CD" w:rsidRDefault="00AC07CD" w:rsidP="00AC07CD">
      <w:pPr>
        <w:tabs>
          <w:tab w:val="left" w:pos="284"/>
        </w:tabs>
      </w:pPr>
    </w:p>
    <w:p w:rsidR="00AC07CD" w:rsidRDefault="00AC07CD" w:rsidP="00AC07CD"/>
    <w:p w:rsidR="007925C5" w:rsidRDefault="007925C5" w:rsidP="00AC07CD"/>
    <w:p w:rsidR="007925C5" w:rsidRDefault="007925C5" w:rsidP="00AC07CD"/>
    <w:p w:rsidR="007925C5" w:rsidRDefault="007925C5" w:rsidP="00AC07CD"/>
    <w:p w:rsidR="007925C5" w:rsidRDefault="007925C5" w:rsidP="00AC07CD"/>
    <w:p w:rsidR="007925C5" w:rsidRDefault="007925C5" w:rsidP="00AC07CD"/>
    <w:p w:rsidR="007925C5" w:rsidRDefault="007925C5" w:rsidP="00AC07CD"/>
    <w:p w:rsidR="007925C5" w:rsidRDefault="007925C5" w:rsidP="00AC07CD"/>
    <w:p w:rsidR="007925C5" w:rsidRDefault="007925C5" w:rsidP="00AC07CD"/>
    <w:p w:rsidR="007925C5" w:rsidRDefault="007925C5" w:rsidP="00AC07CD"/>
    <w:p w:rsidR="007925C5" w:rsidRDefault="007925C5" w:rsidP="00AC07CD"/>
    <w:p w:rsidR="007925C5" w:rsidRDefault="007925C5" w:rsidP="00AC07CD"/>
    <w:p w:rsidR="007925C5" w:rsidRDefault="007925C5" w:rsidP="00AC07CD"/>
    <w:p w:rsidR="007925C5" w:rsidRDefault="007925C5" w:rsidP="00AC07CD"/>
    <w:p w:rsidR="007925C5" w:rsidRDefault="007925C5" w:rsidP="00AC07CD"/>
    <w:p w:rsidR="007925C5" w:rsidRDefault="007925C5" w:rsidP="00AC07CD"/>
    <w:p w:rsidR="007925C5" w:rsidRDefault="007925C5" w:rsidP="00AC07CD"/>
    <w:p w:rsidR="007925C5" w:rsidRDefault="007925C5" w:rsidP="00AC07CD"/>
    <w:p w:rsidR="007925C5" w:rsidRDefault="007925C5" w:rsidP="00AC07CD"/>
    <w:p w:rsidR="007925C5" w:rsidRDefault="007925C5" w:rsidP="00AC07CD"/>
    <w:p w:rsidR="007925C5" w:rsidRDefault="007925C5" w:rsidP="00AC07CD"/>
    <w:p w:rsidR="007925C5" w:rsidRDefault="007925C5" w:rsidP="00AC07CD"/>
    <w:p w:rsidR="007925C5" w:rsidRDefault="007925C5" w:rsidP="00AC07CD"/>
    <w:p w:rsidR="007925C5" w:rsidRDefault="007925C5" w:rsidP="00AC07CD"/>
    <w:p w:rsidR="007925C5" w:rsidRDefault="007925C5" w:rsidP="00AC07CD"/>
    <w:p w:rsidR="007925C5" w:rsidRDefault="007925C5" w:rsidP="00AC07CD"/>
    <w:p w:rsidR="00AC07CD" w:rsidRPr="00B860C2" w:rsidRDefault="00AC07CD" w:rsidP="00AC07CD"/>
    <w:p w:rsidR="00BB6ED9" w:rsidRDefault="00BB6ED9" w:rsidP="00BB6ED9"/>
    <w:p w:rsidR="00BB6ED9" w:rsidRDefault="00BB6ED9" w:rsidP="00BB6ED9"/>
    <w:p w:rsidR="00BB6ED9" w:rsidRPr="007925C5" w:rsidRDefault="00BB6ED9" w:rsidP="00BB6ED9">
      <w:pPr>
        <w:rPr>
          <w:sz w:val="22"/>
        </w:rPr>
      </w:pPr>
      <w:proofErr w:type="gramStart"/>
      <w:r w:rsidRPr="007925C5">
        <w:rPr>
          <w:sz w:val="22"/>
          <w:u w:val="single"/>
        </w:rPr>
        <w:t>Allegata</w:t>
      </w:r>
      <w:r w:rsidR="007925C5" w:rsidRPr="007925C5">
        <w:rPr>
          <w:sz w:val="22"/>
          <w:u w:val="single"/>
        </w:rPr>
        <w:t>:</w:t>
      </w:r>
      <w:r w:rsidRPr="007925C5">
        <w:rPr>
          <w:sz w:val="22"/>
        </w:rPr>
        <w:t xml:space="preserve"> </w:t>
      </w:r>
      <w:r w:rsidR="007925C5" w:rsidRPr="007925C5">
        <w:rPr>
          <w:sz w:val="22"/>
        </w:rPr>
        <w:t xml:space="preserve"> </w:t>
      </w:r>
      <w:r w:rsidRPr="007925C5">
        <w:rPr>
          <w:sz w:val="22"/>
        </w:rPr>
        <w:t>Planimetria</w:t>
      </w:r>
      <w:proofErr w:type="gramEnd"/>
      <w:r w:rsidRPr="007925C5">
        <w:rPr>
          <w:sz w:val="22"/>
        </w:rPr>
        <w:t xml:space="preserve"> Castelli</w:t>
      </w:r>
    </w:p>
    <w:p w:rsidR="00BB6ED9" w:rsidRDefault="00BB6ED9" w:rsidP="00BB6ED9"/>
    <w:p w:rsidR="00BB6ED9" w:rsidRDefault="00BB6ED9" w:rsidP="00BB6ED9">
      <w:pPr>
        <w:jc w:val="left"/>
        <w:rPr>
          <w:rFonts w:cs="Arial"/>
        </w:rPr>
      </w:pPr>
      <w:r>
        <w:rPr>
          <w:rFonts w:cs="Arial"/>
        </w:rPr>
        <w:br w:type="page"/>
      </w:r>
    </w:p>
    <w:p w:rsidR="00BB6ED9" w:rsidRPr="003E03D8" w:rsidRDefault="00BB6ED9" w:rsidP="00BB6ED9">
      <w:pPr>
        <w:jc w:val="left"/>
        <w:rPr>
          <w:rFonts w:cs="Arial"/>
          <w:b/>
        </w:rPr>
      </w:pPr>
      <w:r w:rsidRPr="003E03D8">
        <w:rPr>
          <w:rFonts w:cs="Arial"/>
          <w:b/>
        </w:rPr>
        <w:lastRenderedPageBreak/>
        <w:t>Planimetri</w:t>
      </w:r>
      <w:r>
        <w:rPr>
          <w:rFonts w:cs="Arial"/>
          <w:b/>
        </w:rPr>
        <w:t>e</w:t>
      </w:r>
      <w:r w:rsidRPr="003E03D8">
        <w:rPr>
          <w:rFonts w:cs="Arial"/>
          <w:b/>
        </w:rPr>
        <w:t xml:space="preserve"> Castelli</w:t>
      </w:r>
    </w:p>
    <w:p w:rsidR="00BB6ED9" w:rsidRDefault="00BB6ED9" w:rsidP="00BB6ED9">
      <w:pPr>
        <w:jc w:val="left"/>
        <w:rPr>
          <w:rFonts w:cs="Arial"/>
        </w:rPr>
      </w:pPr>
    </w:p>
    <w:p w:rsidR="00BB6ED9" w:rsidRDefault="00BB6ED9" w:rsidP="00BB6ED9">
      <w:pPr>
        <w:jc w:val="left"/>
        <w:rPr>
          <w:rFonts w:cs="Arial"/>
        </w:rPr>
      </w:pPr>
      <w:r>
        <w:rPr>
          <w:noProof/>
          <w:lang w:eastAsia="it-CH"/>
        </w:rPr>
        <w:drawing>
          <wp:inline distT="0" distB="0" distL="0" distR="0" wp14:anchorId="32967971" wp14:editId="51BDA144">
            <wp:extent cx="6037200" cy="4320000"/>
            <wp:effectExtent l="0" t="0" r="1905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7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C5" w:rsidRDefault="007925C5" w:rsidP="00BB6ED9">
      <w:pPr>
        <w:jc w:val="left"/>
        <w:rPr>
          <w:rFonts w:cs="Arial"/>
        </w:rPr>
      </w:pPr>
    </w:p>
    <w:p w:rsidR="00BB6ED9" w:rsidRDefault="00BB6ED9" w:rsidP="00BB6ED9">
      <w:pPr>
        <w:jc w:val="left"/>
        <w:rPr>
          <w:rFonts w:cs="Arial"/>
        </w:rPr>
      </w:pPr>
      <w:r>
        <w:rPr>
          <w:noProof/>
          <w:lang w:eastAsia="it-CH"/>
        </w:rPr>
        <w:drawing>
          <wp:inline distT="0" distB="0" distL="0" distR="0" wp14:anchorId="72E096E6" wp14:editId="2D09F6A8">
            <wp:extent cx="6120000" cy="43632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D9" w:rsidRDefault="00BB6ED9" w:rsidP="00BB6ED9">
      <w:pPr>
        <w:jc w:val="left"/>
        <w:rPr>
          <w:rFonts w:cs="Arial"/>
        </w:rPr>
      </w:pPr>
      <w:r>
        <w:rPr>
          <w:noProof/>
          <w:lang w:eastAsia="it-CH"/>
        </w:rPr>
        <w:lastRenderedPageBreak/>
        <w:drawing>
          <wp:inline distT="0" distB="0" distL="0" distR="0" wp14:anchorId="724863AB" wp14:editId="5E2492C0">
            <wp:extent cx="6120130" cy="43611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D9" w:rsidRDefault="00BB6ED9" w:rsidP="00BB6ED9">
      <w:pPr>
        <w:jc w:val="left"/>
        <w:rPr>
          <w:rFonts w:cs="Arial"/>
        </w:rPr>
      </w:pPr>
    </w:p>
    <w:p w:rsidR="00BB6ED9" w:rsidRDefault="00BB6ED9" w:rsidP="00BB6ED9">
      <w:pPr>
        <w:jc w:val="left"/>
        <w:rPr>
          <w:rFonts w:cs="Arial"/>
        </w:rPr>
      </w:pPr>
      <w:r>
        <w:rPr>
          <w:noProof/>
          <w:lang w:eastAsia="it-CH"/>
        </w:rPr>
        <w:drawing>
          <wp:inline distT="0" distB="0" distL="0" distR="0" wp14:anchorId="3C1EC4DD" wp14:editId="03732875">
            <wp:extent cx="6120130" cy="4359910"/>
            <wp:effectExtent l="0" t="0" r="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sectPr w:rsidR="00BB6ED9" w:rsidSect="007925C5">
      <w:footerReference w:type="default" r:id="rId12"/>
      <w:pgSz w:w="11906" w:h="16838"/>
      <w:pgMar w:top="113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7C6" w:rsidRDefault="008E77C6" w:rsidP="008E77C6">
      <w:r>
        <w:separator/>
      </w:r>
    </w:p>
  </w:endnote>
  <w:endnote w:type="continuationSeparator" w:id="0">
    <w:p w:rsidR="008E77C6" w:rsidRDefault="008E77C6" w:rsidP="008E7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71966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8E77C6" w:rsidRPr="008E77C6" w:rsidRDefault="008E77C6">
        <w:pPr>
          <w:pStyle w:val="Pidipagina"/>
          <w:jc w:val="center"/>
          <w:rPr>
            <w:sz w:val="20"/>
            <w:szCs w:val="20"/>
          </w:rPr>
        </w:pPr>
        <w:r w:rsidRPr="008E77C6">
          <w:rPr>
            <w:sz w:val="20"/>
            <w:szCs w:val="20"/>
          </w:rPr>
          <w:fldChar w:fldCharType="begin"/>
        </w:r>
        <w:r w:rsidRPr="008E77C6">
          <w:rPr>
            <w:sz w:val="20"/>
            <w:szCs w:val="20"/>
          </w:rPr>
          <w:instrText>PAGE   \* MERGEFORMAT</w:instrText>
        </w:r>
        <w:r w:rsidRPr="008E77C6">
          <w:rPr>
            <w:sz w:val="20"/>
            <w:szCs w:val="20"/>
          </w:rPr>
          <w:fldChar w:fldCharType="separate"/>
        </w:r>
        <w:r w:rsidR="00560576" w:rsidRPr="00560576">
          <w:rPr>
            <w:noProof/>
            <w:sz w:val="20"/>
            <w:szCs w:val="20"/>
            <w:lang w:val="it-IT"/>
          </w:rPr>
          <w:t>6</w:t>
        </w:r>
        <w:r w:rsidRPr="008E77C6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7C6" w:rsidRDefault="008E77C6" w:rsidP="008E77C6">
      <w:r>
        <w:separator/>
      </w:r>
    </w:p>
  </w:footnote>
  <w:footnote w:type="continuationSeparator" w:id="0">
    <w:p w:rsidR="008E77C6" w:rsidRDefault="008E77C6" w:rsidP="008E7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2CA429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55C0C"/>
    <w:multiLevelType w:val="hybridMultilevel"/>
    <w:tmpl w:val="1F8A3B46"/>
    <w:lvl w:ilvl="0" w:tplc="3FBC9440">
      <w:start w:val="1"/>
      <w:numFmt w:val="decimal"/>
      <w:pStyle w:val="Titolo1"/>
      <w:lvlText w:val="%1."/>
      <w:lvlJc w:val="left"/>
      <w:pPr>
        <w:ind w:left="927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647" w:hanging="360"/>
      </w:pPr>
    </w:lvl>
    <w:lvl w:ilvl="2" w:tplc="0810001B" w:tentative="1">
      <w:start w:val="1"/>
      <w:numFmt w:val="lowerRoman"/>
      <w:lvlText w:val="%3."/>
      <w:lvlJc w:val="right"/>
      <w:pPr>
        <w:ind w:left="2367" w:hanging="180"/>
      </w:pPr>
    </w:lvl>
    <w:lvl w:ilvl="3" w:tplc="0810000F" w:tentative="1">
      <w:start w:val="1"/>
      <w:numFmt w:val="decimal"/>
      <w:lvlText w:val="%4."/>
      <w:lvlJc w:val="left"/>
      <w:pPr>
        <w:ind w:left="3087" w:hanging="360"/>
      </w:pPr>
    </w:lvl>
    <w:lvl w:ilvl="4" w:tplc="08100019" w:tentative="1">
      <w:start w:val="1"/>
      <w:numFmt w:val="lowerLetter"/>
      <w:lvlText w:val="%5."/>
      <w:lvlJc w:val="left"/>
      <w:pPr>
        <w:ind w:left="3807" w:hanging="360"/>
      </w:pPr>
    </w:lvl>
    <w:lvl w:ilvl="5" w:tplc="0810001B" w:tentative="1">
      <w:start w:val="1"/>
      <w:numFmt w:val="lowerRoman"/>
      <w:lvlText w:val="%6."/>
      <w:lvlJc w:val="right"/>
      <w:pPr>
        <w:ind w:left="4527" w:hanging="180"/>
      </w:pPr>
    </w:lvl>
    <w:lvl w:ilvl="6" w:tplc="0810000F" w:tentative="1">
      <w:start w:val="1"/>
      <w:numFmt w:val="decimal"/>
      <w:lvlText w:val="%7."/>
      <w:lvlJc w:val="left"/>
      <w:pPr>
        <w:ind w:left="5247" w:hanging="360"/>
      </w:pPr>
    </w:lvl>
    <w:lvl w:ilvl="7" w:tplc="08100019" w:tentative="1">
      <w:start w:val="1"/>
      <w:numFmt w:val="lowerLetter"/>
      <w:lvlText w:val="%8."/>
      <w:lvlJc w:val="left"/>
      <w:pPr>
        <w:ind w:left="5967" w:hanging="360"/>
      </w:pPr>
    </w:lvl>
    <w:lvl w:ilvl="8" w:tplc="08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5A916B4"/>
    <w:multiLevelType w:val="hybridMultilevel"/>
    <w:tmpl w:val="71241184"/>
    <w:lvl w:ilvl="0" w:tplc="3996A1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2453EC"/>
    <w:multiLevelType w:val="hybridMultilevel"/>
    <w:tmpl w:val="BBE02A84"/>
    <w:lvl w:ilvl="0" w:tplc="8988A65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8988A65E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95886"/>
    <w:multiLevelType w:val="hybridMultilevel"/>
    <w:tmpl w:val="C45EF6AE"/>
    <w:lvl w:ilvl="0" w:tplc="8988A65E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8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205D4B"/>
    <w:multiLevelType w:val="hybridMultilevel"/>
    <w:tmpl w:val="5C545F78"/>
    <w:lvl w:ilvl="0" w:tplc="0810000F">
      <w:start w:val="1"/>
      <w:numFmt w:val="decimal"/>
      <w:lvlText w:val="%1."/>
      <w:lvlJc w:val="left"/>
      <w:pPr>
        <w:ind w:left="360" w:hanging="360"/>
      </w:pPr>
    </w:lvl>
    <w:lvl w:ilvl="1" w:tplc="08100019" w:tentative="1">
      <w:start w:val="1"/>
      <w:numFmt w:val="lowerLetter"/>
      <w:lvlText w:val="%2."/>
      <w:lvlJc w:val="left"/>
      <w:pPr>
        <w:ind w:left="1080" w:hanging="360"/>
      </w:pPr>
    </w:lvl>
    <w:lvl w:ilvl="2" w:tplc="0810001B" w:tentative="1">
      <w:start w:val="1"/>
      <w:numFmt w:val="lowerRoman"/>
      <w:lvlText w:val="%3."/>
      <w:lvlJc w:val="right"/>
      <w:pPr>
        <w:ind w:left="1800" w:hanging="180"/>
      </w:pPr>
    </w:lvl>
    <w:lvl w:ilvl="3" w:tplc="0810000F" w:tentative="1">
      <w:start w:val="1"/>
      <w:numFmt w:val="decimal"/>
      <w:lvlText w:val="%4."/>
      <w:lvlJc w:val="left"/>
      <w:pPr>
        <w:ind w:left="2520" w:hanging="360"/>
      </w:pPr>
    </w:lvl>
    <w:lvl w:ilvl="4" w:tplc="08100019" w:tentative="1">
      <w:start w:val="1"/>
      <w:numFmt w:val="lowerLetter"/>
      <w:lvlText w:val="%5."/>
      <w:lvlJc w:val="left"/>
      <w:pPr>
        <w:ind w:left="3240" w:hanging="360"/>
      </w:pPr>
    </w:lvl>
    <w:lvl w:ilvl="5" w:tplc="0810001B" w:tentative="1">
      <w:start w:val="1"/>
      <w:numFmt w:val="lowerRoman"/>
      <w:lvlText w:val="%6."/>
      <w:lvlJc w:val="right"/>
      <w:pPr>
        <w:ind w:left="3960" w:hanging="180"/>
      </w:pPr>
    </w:lvl>
    <w:lvl w:ilvl="6" w:tplc="0810000F" w:tentative="1">
      <w:start w:val="1"/>
      <w:numFmt w:val="decimal"/>
      <w:lvlText w:val="%7."/>
      <w:lvlJc w:val="left"/>
      <w:pPr>
        <w:ind w:left="4680" w:hanging="360"/>
      </w:pPr>
    </w:lvl>
    <w:lvl w:ilvl="7" w:tplc="08100019" w:tentative="1">
      <w:start w:val="1"/>
      <w:numFmt w:val="lowerLetter"/>
      <w:lvlText w:val="%8."/>
      <w:lvlJc w:val="left"/>
      <w:pPr>
        <w:ind w:left="5400" w:hanging="360"/>
      </w:pPr>
    </w:lvl>
    <w:lvl w:ilvl="8" w:tplc="08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4901A79"/>
    <w:multiLevelType w:val="hybridMultilevel"/>
    <w:tmpl w:val="9F786C86"/>
    <w:lvl w:ilvl="0" w:tplc="3996A1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AAA05160">
      <w:numFmt w:val="bullet"/>
      <w:lvlText w:val="−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4E66A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A1F66EE"/>
    <w:multiLevelType w:val="hybridMultilevel"/>
    <w:tmpl w:val="2556DA38"/>
    <w:lvl w:ilvl="0" w:tplc="3996A1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C26B62"/>
    <w:multiLevelType w:val="multilevel"/>
    <w:tmpl w:val="0810001D"/>
    <w:styleLink w:val="Sti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lowerRoman"/>
      <w:lvlText w:val="%3)"/>
      <w:lvlJc w:val="left"/>
      <w:pPr>
        <w:ind w:left="360" w:hanging="360"/>
      </w:pPr>
    </w:lvl>
    <w:lvl w:ilvl="3">
      <w:start w:val="1"/>
      <w:numFmt w:val="decimal"/>
      <w:lvlText w:val="(%4)"/>
      <w:lvlJc w:val="left"/>
      <w:pPr>
        <w:ind w:left="36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2A623D6"/>
    <w:multiLevelType w:val="hybridMultilevel"/>
    <w:tmpl w:val="660A06E4"/>
    <w:lvl w:ilvl="0" w:tplc="0810000F">
      <w:start w:val="1"/>
      <w:numFmt w:val="decimal"/>
      <w:lvlText w:val="%1."/>
      <w:lvlJc w:val="left"/>
      <w:pPr>
        <w:ind w:left="720" w:hanging="360"/>
      </w:p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F718E1"/>
    <w:multiLevelType w:val="hybridMultilevel"/>
    <w:tmpl w:val="4F4203DC"/>
    <w:lvl w:ilvl="0" w:tplc="8D0A1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11"/>
  </w:num>
  <w:num w:numId="4">
    <w:abstractNumId w:val="1"/>
  </w:num>
  <w:num w:numId="5">
    <w:abstractNumId w:val="6"/>
  </w:num>
  <w:num w:numId="6">
    <w:abstractNumId w:val="0"/>
  </w:num>
  <w:num w:numId="7">
    <w:abstractNumId w:val="10"/>
  </w:num>
  <w:num w:numId="8">
    <w:abstractNumId w:val="2"/>
  </w:num>
  <w:num w:numId="9">
    <w:abstractNumId w:val="8"/>
  </w:num>
  <w:num w:numId="10">
    <w:abstractNumId w:val="7"/>
  </w:num>
  <w:num w:numId="11">
    <w:abstractNumId w:val="3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137"/>
    <w:rsid w:val="00076E70"/>
    <w:rsid w:val="001574D7"/>
    <w:rsid w:val="00260C8C"/>
    <w:rsid w:val="002677DC"/>
    <w:rsid w:val="002E5E40"/>
    <w:rsid w:val="0052425A"/>
    <w:rsid w:val="00560576"/>
    <w:rsid w:val="00586A8D"/>
    <w:rsid w:val="006C17AA"/>
    <w:rsid w:val="006D7A3B"/>
    <w:rsid w:val="006E4AE2"/>
    <w:rsid w:val="007352D3"/>
    <w:rsid w:val="007925C5"/>
    <w:rsid w:val="007B5462"/>
    <w:rsid w:val="008034BD"/>
    <w:rsid w:val="00876352"/>
    <w:rsid w:val="008B2655"/>
    <w:rsid w:val="008B4137"/>
    <w:rsid w:val="008C767A"/>
    <w:rsid w:val="008E77C6"/>
    <w:rsid w:val="009770BB"/>
    <w:rsid w:val="009E008D"/>
    <w:rsid w:val="00A5465F"/>
    <w:rsid w:val="00A77678"/>
    <w:rsid w:val="00AC07CD"/>
    <w:rsid w:val="00B860C2"/>
    <w:rsid w:val="00BB6ED9"/>
    <w:rsid w:val="00BC4C95"/>
    <w:rsid w:val="00BD5944"/>
    <w:rsid w:val="00CF6858"/>
    <w:rsid w:val="00D377B5"/>
    <w:rsid w:val="00D93B31"/>
    <w:rsid w:val="00E505DB"/>
    <w:rsid w:val="00E7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;"/>
  <w14:docId w14:val="230C2BB7"/>
  <w15:docId w15:val="{7B17A060-2E6B-406A-B8B9-D2B85FA4A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76E70"/>
    <w:rPr>
      <w:rFonts w:ascii="Arial" w:hAnsi="Arial"/>
      <w:sz w:val="24"/>
    </w:rPr>
  </w:style>
  <w:style w:type="paragraph" w:styleId="Titolo1">
    <w:name w:val="heading 1"/>
    <w:basedOn w:val="Normale"/>
    <w:next w:val="Normale"/>
    <w:link w:val="Titolo1Carattere"/>
    <w:autoRedefine/>
    <w:qFormat/>
    <w:rsid w:val="00076E70"/>
    <w:pPr>
      <w:keepNext/>
      <w:numPr>
        <w:numId w:val="4"/>
      </w:numPr>
      <w:tabs>
        <w:tab w:val="left" w:pos="567"/>
      </w:tabs>
      <w:spacing w:after="120"/>
      <w:ind w:left="567" w:hanging="567"/>
      <w:outlineLvl w:val="0"/>
    </w:pPr>
    <w:rPr>
      <w:b/>
      <w:caps/>
      <w:szCs w:val="24"/>
      <w:lang w:val="it-IT" w:eastAsia="it-IT"/>
    </w:rPr>
  </w:style>
  <w:style w:type="paragraph" w:styleId="Titolo2">
    <w:name w:val="heading 2"/>
    <w:basedOn w:val="Normale"/>
    <w:next w:val="Normale"/>
    <w:link w:val="Titolo2Carattere"/>
    <w:autoRedefine/>
    <w:qFormat/>
    <w:rsid w:val="006D7A3B"/>
    <w:pPr>
      <w:keepNext/>
      <w:tabs>
        <w:tab w:val="left" w:pos="567"/>
      </w:tabs>
      <w:spacing w:after="120"/>
      <w:outlineLvl w:val="1"/>
    </w:pPr>
    <w:rPr>
      <w:b/>
      <w:lang w:val="it-IT" w:eastAsia="it-IT"/>
    </w:rPr>
  </w:style>
  <w:style w:type="paragraph" w:styleId="Titolo3">
    <w:name w:val="heading 3"/>
    <w:basedOn w:val="Normale"/>
    <w:next w:val="Normale"/>
    <w:link w:val="Titolo3Carattere"/>
    <w:autoRedefine/>
    <w:qFormat/>
    <w:rsid w:val="006D7A3B"/>
    <w:pPr>
      <w:keepNext/>
      <w:tabs>
        <w:tab w:val="left" w:pos="709"/>
      </w:tabs>
      <w:spacing w:before="120" w:after="120"/>
      <w:outlineLvl w:val="2"/>
    </w:pPr>
    <w:rPr>
      <w:b/>
      <w:i/>
      <w:sz w:val="23"/>
      <w:szCs w:val="23"/>
      <w:lang w:val="it-IT" w:eastAsia="it-IT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76E70"/>
    <w:pPr>
      <w:keepNext/>
      <w:keepLines/>
      <w:spacing w:before="120" w:after="120"/>
      <w:outlineLvl w:val="3"/>
    </w:pPr>
    <w:rPr>
      <w:rFonts w:eastAsiaTheme="majorEastAsia" w:cstheme="majorBidi"/>
      <w:b/>
      <w:bCs/>
      <w:iCs/>
      <w:sz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76E70"/>
    <w:pPr>
      <w:keepNext/>
      <w:keepLines/>
      <w:tabs>
        <w:tab w:val="left" w:pos="993"/>
      </w:tabs>
      <w:spacing w:after="120"/>
      <w:outlineLvl w:val="4"/>
    </w:pPr>
    <w:rPr>
      <w:rFonts w:eastAsiaTheme="majorEastAsia" w:cstheme="majorBidi"/>
      <w:b/>
      <w:i/>
      <w:color w:val="243F60" w:themeColor="accent1" w:themeShade="7F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unhideWhenUsed/>
    <w:rsid w:val="0052425A"/>
    <w:pPr>
      <w:spacing w:before="240"/>
    </w:pPr>
    <w:rPr>
      <w:rFonts w:eastAsia="Calibri" w:cs="Times New Roman"/>
      <w:caps/>
      <w:szCs w:val="24"/>
      <w:lang w:val="it-IT"/>
    </w:rPr>
  </w:style>
  <w:style w:type="character" w:customStyle="1" w:styleId="Titolo1Carattere">
    <w:name w:val="Titolo 1 Carattere"/>
    <w:basedOn w:val="Carpredefinitoparagrafo"/>
    <w:link w:val="Titolo1"/>
    <w:rsid w:val="00076E70"/>
    <w:rPr>
      <w:rFonts w:ascii="Arial" w:hAnsi="Arial"/>
      <w:b/>
      <w:caps/>
      <w:sz w:val="24"/>
      <w:szCs w:val="24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rsid w:val="006D7A3B"/>
    <w:rPr>
      <w:rFonts w:ascii="Arial" w:hAnsi="Arial"/>
      <w:b/>
      <w:sz w:val="24"/>
      <w:lang w:val="it-IT" w:eastAsia="it-IT"/>
    </w:rPr>
  </w:style>
  <w:style w:type="character" w:customStyle="1" w:styleId="Titolo3Carattere">
    <w:name w:val="Titolo 3 Carattere"/>
    <w:basedOn w:val="Carpredefinitoparagrafo"/>
    <w:link w:val="Titolo3"/>
    <w:rsid w:val="006D7A3B"/>
    <w:rPr>
      <w:rFonts w:ascii="Arial" w:hAnsi="Arial"/>
      <w:b/>
      <w:i/>
      <w:sz w:val="23"/>
      <w:szCs w:val="23"/>
      <w:lang w:val="it-IT" w:eastAsia="it-IT"/>
    </w:rPr>
  </w:style>
  <w:style w:type="numbering" w:customStyle="1" w:styleId="Stile1">
    <w:name w:val="Stile1"/>
    <w:uiPriority w:val="99"/>
    <w:rsid w:val="0052425A"/>
    <w:pPr>
      <w:numPr>
        <w:numId w:val="1"/>
      </w:numPr>
    </w:pPr>
  </w:style>
  <w:style w:type="paragraph" w:styleId="Sommario3">
    <w:name w:val="toc 3"/>
    <w:basedOn w:val="Normale"/>
    <w:next w:val="Normale"/>
    <w:autoRedefine/>
    <w:uiPriority w:val="39"/>
    <w:unhideWhenUsed/>
    <w:rsid w:val="0052425A"/>
    <w:pPr>
      <w:spacing w:before="60"/>
    </w:pPr>
    <w:rPr>
      <w:rFonts w:eastAsia="Calibri" w:cs="Times New Roman"/>
      <w:szCs w:val="24"/>
      <w:lang w:val="it-IT"/>
    </w:rPr>
  </w:style>
  <w:style w:type="paragraph" w:styleId="Sommario2">
    <w:name w:val="toc 2"/>
    <w:basedOn w:val="Normale"/>
    <w:next w:val="Normale"/>
    <w:autoRedefine/>
    <w:uiPriority w:val="39"/>
    <w:unhideWhenUsed/>
    <w:rsid w:val="0052425A"/>
    <w:rPr>
      <w:rFonts w:eastAsia="Calibri" w:cs="Times New Roman"/>
      <w:szCs w:val="24"/>
      <w:lang w:val="it-IT"/>
    </w:rPr>
  </w:style>
  <w:style w:type="paragraph" w:styleId="Paragrafoelenco">
    <w:name w:val="List Paragraph"/>
    <w:basedOn w:val="Normale"/>
    <w:uiPriority w:val="34"/>
    <w:qFormat/>
    <w:rsid w:val="0052425A"/>
  </w:style>
  <w:style w:type="character" w:customStyle="1" w:styleId="Titolo4Carattere">
    <w:name w:val="Titolo 4 Carattere"/>
    <w:basedOn w:val="Carpredefinitoparagrafo"/>
    <w:link w:val="Titolo4"/>
    <w:uiPriority w:val="9"/>
    <w:rsid w:val="00076E70"/>
    <w:rPr>
      <w:rFonts w:ascii="Arial" w:eastAsiaTheme="majorEastAsia" w:hAnsi="Arial" w:cstheme="majorBidi"/>
      <w:b/>
      <w:bCs/>
      <w:iCs/>
    </w:rPr>
  </w:style>
  <w:style w:type="character" w:customStyle="1" w:styleId="Titolo5Carattere">
    <w:name w:val="Titolo 5 Carattere"/>
    <w:basedOn w:val="Carpredefinitoparagrafo"/>
    <w:link w:val="Titolo5"/>
    <w:uiPriority w:val="9"/>
    <w:rsid w:val="00076E70"/>
    <w:rPr>
      <w:rFonts w:ascii="Arial" w:eastAsiaTheme="majorEastAsia" w:hAnsi="Arial" w:cstheme="majorBidi"/>
      <w:b/>
      <w:i/>
      <w:color w:val="243F60" w:themeColor="accent1" w:themeShade="7F"/>
    </w:rPr>
  </w:style>
  <w:style w:type="paragraph" w:styleId="Nessunaspaziatura">
    <w:name w:val="No Spacing"/>
    <w:uiPriority w:val="1"/>
    <w:qFormat/>
    <w:rsid w:val="00076E70"/>
  </w:style>
  <w:style w:type="paragraph" w:styleId="Intestazione">
    <w:name w:val="header"/>
    <w:basedOn w:val="Normale"/>
    <w:link w:val="IntestazioneCarattere"/>
    <w:uiPriority w:val="99"/>
    <w:unhideWhenUsed/>
    <w:rsid w:val="008E77C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77C6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8E77C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77C6"/>
    <w:rPr>
      <w:rFonts w:ascii="Arial" w:hAnsi="Arial"/>
      <w:sz w:val="24"/>
    </w:rPr>
  </w:style>
  <w:style w:type="table" w:styleId="Grigliatabella">
    <w:name w:val="Table Grid"/>
    <w:basedOn w:val="Tabellanormale"/>
    <w:rsid w:val="00260C8C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1574D7"/>
    <w:pPr>
      <w:tabs>
        <w:tab w:val="left" w:pos="284"/>
        <w:tab w:val="left" w:pos="426"/>
        <w:tab w:val="left" w:pos="4962"/>
      </w:tabs>
    </w:pPr>
    <w:rPr>
      <w:rFonts w:eastAsia="Times New Roman" w:cs="Times New Roman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1574D7"/>
    <w:rPr>
      <w:rFonts w:ascii="Arial" w:eastAsia="Times New Roman" w:hAnsi="Arial" w:cs="Times New Roman"/>
      <w:sz w:val="24"/>
      <w:szCs w:val="20"/>
      <w:lang w:val="it-IT" w:eastAsia="it-IT"/>
    </w:rPr>
  </w:style>
  <w:style w:type="paragraph" w:customStyle="1" w:styleId="Default">
    <w:name w:val="Default"/>
    <w:rsid w:val="006E4AE2"/>
    <w:pPr>
      <w:autoSpaceDE w:val="0"/>
      <w:autoSpaceDN w:val="0"/>
      <w:adjustRightInd w:val="0"/>
      <w:jc w:val="left"/>
    </w:pPr>
    <w:rPr>
      <w:rFonts w:ascii="Arial" w:eastAsia="Times New Roman" w:hAnsi="Arial" w:cs="Arial"/>
      <w:color w:val="000000"/>
      <w:sz w:val="24"/>
      <w:szCs w:val="24"/>
      <w:lang w:eastAsia="it-CH"/>
    </w:rPr>
  </w:style>
  <w:style w:type="paragraph" w:styleId="Puntoelenco">
    <w:name w:val="List Bullet"/>
    <w:basedOn w:val="Normale"/>
    <w:uiPriority w:val="99"/>
    <w:unhideWhenUsed/>
    <w:rsid w:val="006E4AE2"/>
    <w:pPr>
      <w:widowControl w:val="0"/>
      <w:numPr>
        <w:numId w:val="6"/>
      </w:numPr>
      <w:contextualSpacing/>
    </w:pPr>
    <w:rPr>
      <w:rFonts w:eastAsia="Arial" w:cs="Arial"/>
      <w:color w:val="000000"/>
      <w:szCs w:val="24"/>
      <w:lang w:eastAsia="it-CH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60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60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3C1C4-6568-4216-B63A-4BE48F5CD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1412</Words>
  <Characters>8261</Characters>
  <Application>Microsoft Office Word</Application>
  <DocSecurity>0</DocSecurity>
  <Lines>150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Amministrazione Cantonale</Company>
  <LinksUpToDate>false</LinksUpToDate>
  <CharactersWithSpaces>9626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Agostinetti Jole / kxgc002</dc:creator>
  <cp:lastModifiedBy>Agostinetti Jole</cp:lastModifiedBy>
  <cp:revision>5</cp:revision>
  <cp:lastPrinted>2020-04-21T13:58:00Z</cp:lastPrinted>
  <dcterms:created xsi:type="dcterms:W3CDTF">2020-04-21T13:42:00Z</dcterms:created>
  <dcterms:modified xsi:type="dcterms:W3CDTF">2020-05-13T10:19:00Z</dcterms:modified>
</cp:coreProperties>
</file>