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E5" w:rsidRPr="005C669B" w:rsidRDefault="001C138E" w:rsidP="00F242E5">
      <w:pPr>
        <w:tabs>
          <w:tab w:val="left" w:pos="2495"/>
        </w:tabs>
        <w:spacing w:before="80" w:after="40"/>
        <w:rPr>
          <w:rFonts w:ascii="Gill Sans MT" w:hAnsi="Gill Sans MT"/>
          <w:b/>
          <w:sz w:val="56"/>
          <w:szCs w:val="56"/>
        </w:rPr>
      </w:pPr>
      <w:r w:rsidRPr="00E11A9C">
        <w:rPr>
          <w:rFonts w:ascii="Gill Sans MT" w:hAnsi="Gill Sans MT"/>
          <w:b/>
          <w:sz w:val="56"/>
          <w:szCs w:val="56"/>
        </w:rPr>
        <w:t>Rapporto</w:t>
      </w:r>
      <w:r>
        <w:rPr>
          <w:rFonts w:ascii="Gill Sans MT" w:hAnsi="Gill Sans MT"/>
          <w:b/>
          <w:sz w:val="56"/>
          <w:szCs w:val="56"/>
        </w:rPr>
        <w:t xml:space="preserve"> </w:t>
      </w:r>
      <w:bookmarkStart w:id="0" w:name="_GoBack"/>
      <w:bookmarkEnd w:id="0"/>
      <w:r w:rsidR="00F242E5" w:rsidRPr="005C669B">
        <w:rPr>
          <w:rFonts w:ascii="Gill Sans MT" w:hAnsi="Gill Sans MT"/>
          <w:b/>
          <w:sz w:val="56"/>
          <w:szCs w:val="56"/>
        </w:rPr>
        <w:t>di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3D2B50" w:rsidP="00F242E5">
      <w:pPr>
        <w:tabs>
          <w:tab w:val="left" w:pos="2098"/>
          <w:tab w:val="left" w:pos="4962"/>
        </w:tabs>
        <w:rPr>
          <w:position w:val="4"/>
        </w:rPr>
      </w:pPr>
      <w:r>
        <w:rPr>
          <w:b/>
          <w:position w:val="4"/>
          <w:sz w:val="32"/>
          <w:szCs w:val="32"/>
        </w:rPr>
        <w:t>7768</w:t>
      </w:r>
      <w:r w:rsidR="00F242E5" w:rsidRPr="002D7BF1">
        <w:rPr>
          <w:b/>
          <w:position w:val="4"/>
          <w:sz w:val="32"/>
          <w:szCs w:val="32"/>
        </w:rPr>
        <w:t xml:space="preserve"> R</w:t>
      </w:r>
      <w:r w:rsidR="00F242E5">
        <w:rPr>
          <w:b/>
          <w:position w:val="4"/>
          <w:sz w:val="32"/>
          <w:szCs w:val="32"/>
        </w:rPr>
        <w:t>1</w:t>
      </w:r>
      <w:r w:rsidR="00F242E5">
        <w:rPr>
          <w:position w:val="4"/>
          <w:sz w:val="28"/>
        </w:rPr>
        <w:tab/>
      </w:r>
      <w:r w:rsidR="00620DBC">
        <w:rPr>
          <w:position w:val="4"/>
          <w:sz w:val="28"/>
        </w:rPr>
        <w:t>5 maggio 2020</w:t>
      </w:r>
      <w:r w:rsidR="00F242E5">
        <w:rPr>
          <w:position w:val="4"/>
          <w:sz w:val="28"/>
        </w:rPr>
        <w:tab/>
      </w:r>
      <w:r w:rsidR="00BF0733">
        <w:rPr>
          <w:position w:val="4"/>
          <w:sz w:val="28"/>
        </w:rPr>
        <w:t>FINANZE E ECONOMIA</w:t>
      </w:r>
    </w:p>
    <w:p w:rsidR="00F242E5" w:rsidRDefault="00F242E5" w:rsidP="00F242E5"/>
    <w:p w:rsidR="00F242E5" w:rsidRDefault="00F242E5" w:rsidP="00F242E5"/>
    <w:p w:rsidR="00F242E5" w:rsidRDefault="00F242E5" w:rsidP="00F242E5"/>
    <w:p w:rsidR="00620DBC" w:rsidRPr="003F7676" w:rsidRDefault="00620DBC" w:rsidP="00620DBC">
      <w:pPr>
        <w:rPr>
          <w:rFonts w:cs="Arial"/>
          <w:b/>
          <w:sz w:val="28"/>
          <w:szCs w:val="28"/>
        </w:rPr>
      </w:pPr>
      <w:r w:rsidRPr="003F7676">
        <w:rPr>
          <w:rFonts w:cs="Arial"/>
          <w:b/>
          <w:sz w:val="28"/>
          <w:szCs w:val="28"/>
        </w:rPr>
        <w:t>della Commissione economia e lavoro</w:t>
      </w:r>
    </w:p>
    <w:p w:rsidR="00620DBC" w:rsidRPr="003F7676" w:rsidRDefault="00620DBC" w:rsidP="00620DBC">
      <w:pPr>
        <w:rPr>
          <w:rFonts w:cs="Arial"/>
          <w:b/>
          <w:sz w:val="28"/>
          <w:szCs w:val="28"/>
          <w:lang w:val="it-IT"/>
        </w:rPr>
      </w:pPr>
      <w:r w:rsidRPr="003F7676">
        <w:rPr>
          <w:rFonts w:cs="Arial"/>
          <w:b/>
          <w:sz w:val="28"/>
          <w:szCs w:val="28"/>
        </w:rPr>
        <w:t>sul messaggio 11 dicembre 20</w:t>
      </w:r>
      <w:r w:rsidR="00BF0733">
        <w:rPr>
          <w:rFonts w:cs="Arial"/>
          <w:b/>
          <w:sz w:val="28"/>
          <w:szCs w:val="28"/>
        </w:rPr>
        <w:t>19</w:t>
      </w:r>
      <w:r w:rsidRPr="003F7676">
        <w:rPr>
          <w:rFonts w:cs="Arial"/>
          <w:b/>
          <w:sz w:val="28"/>
          <w:szCs w:val="28"/>
        </w:rPr>
        <w:t xml:space="preserve"> concernente la Legge per l’innovazione economica</w:t>
      </w:r>
      <w:r>
        <w:rPr>
          <w:rFonts w:cs="Arial"/>
          <w:b/>
          <w:sz w:val="28"/>
          <w:szCs w:val="28"/>
        </w:rPr>
        <w:t xml:space="preserve"> (</w:t>
      </w:r>
      <w:proofErr w:type="spellStart"/>
      <w:r>
        <w:rPr>
          <w:rFonts w:cs="Arial"/>
          <w:b/>
          <w:sz w:val="28"/>
          <w:szCs w:val="28"/>
        </w:rPr>
        <w:t>LInn</w:t>
      </w:r>
      <w:proofErr w:type="spellEnd"/>
      <w:r>
        <w:rPr>
          <w:rFonts w:cs="Arial"/>
          <w:b/>
          <w:sz w:val="28"/>
          <w:szCs w:val="28"/>
        </w:rPr>
        <w:t>)</w:t>
      </w:r>
      <w:r w:rsidRPr="003F7676">
        <w:rPr>
          <w:rFonts w:cs="Arial"/>
          <w:b/>
          <w:sz w:val="28"/>
          <w:szCs w:val="28"/>
        </w:rPr>
        <w:t xml:space="preserve">: stanziamento di un credito quadro di </w:t>
      </w:r>
      <w:r>
        <w:rPr>
          <w:rFonts w:cs="Arial"/>
          <w:b/>
          <w:sz w:val="28"/>
          <w:szCs w:val="28"/>
        </w:rPr>
        <w:t>CHF 20'000'000</w:t>
      </w:r>
      <w:r w:rsidRPr="003F7676">
        <w:rPr>
          <w:rFonts w:cs="Arial"/>
          <w:b/>
          <w:sz w:val="28"/>
          <w:szCs w:val="28"/>
        </w:rPr>
        <w:t xml:space="preserve"> per l’adozione di misure a sostegno dell’innovazione nel periodo 2020-2023, programma e modifica di legge</w:t>
      </w:r>
    </w:p>
    <w:p w:rsidR="00CB127C" w:rsidRPr="007A285B" w:rsidRDefault="00CB127C" w:rsidP="00CB127C">
      <w:pPr>
        <w:tabs>
          <w:tab w:val="left" w:pos="284"/>
          <w:tab w:val="left" w:pos="426"/>
          <w:tab w:val="left" w:pos="4962"/>
        </w:tabs>
        <w:ind w:right="-1"/>
        <w:rPr>
          <w:rFonts w:cs="Arial"/>
          <w:szCs w:val="24"/>
        </w:rPr>
      </w:pPr>
    </w:p>
    <w:p w:rsidR="00CB127C" w:rsidRDefault="00CB127C" w:rsidP="00CB127C">
      <w:pPr>
        <w:tabs>
          <w:tab w:val="left" w:pos="284"/>
          <w:tab w:val="left" w:pos="426"/>
          <w:tab w:val="left" w:pos="4962"/>
        </w:tabs>
        <w:ind w:right="-1"/>
        <w:rPr>
          <w:rFonts w:cs="Arial"/>
          <w:szCs w:val="24"/>
        </w:rPr>
      </w:pPr>
    </w:p>
    <w:p w:rsidR="002B5656" w:rsidRDefault="002B5656" w:rsidP="00CB127C">
      <w:pPr>
        <w:tabs>
          <w:tab w:val="left" w:pos="284"/>
          <w:tab w:val="left" w:pos="426"/>
          <w:tab w:val="left" w:pos="4962"/>
        </w:tabs>
        <w:ind w:right="-1"/>
        <w:rPr>
          <w:rFonts w:cs="Arial"/>
          <w:szCs w:val="24"/>
        </w:rPr>
      </w:pPr>
    </w:p>
    <w:p w:rsidR="002B5656" w:rsidRPr="00B80385" w:rsidRDefault="002B5656" w:rsidP="00CB127C">
      <w:pPr>
        <w:tabs>
          <w:tab w:val="left" w:pos="284"/>
          <w:tab w:val="left" w:pos="426"/>
          <w:tab w:val="left" w:pos="4962"/>
        </w:tabs>
        <w:ind w:right="-1"/>
        <w:rPr>
          <w:rFonts w:cs="Arial"/>
          <w:b/>
          <w:szCs w:val="24"/>
        </w:rPr>
      </w:pPr>
      <w:r w:rsidRPr="00B80385">
        <w:rPr>
          <w:rFonts w:cs="Arial"/>
          <w:b/>
          <w:szCs w:val="24"/>
        </w:rPr>
        <w:t>INDICE</w:t>
      </w:r>
    </w:p>
    <w:p w:rsidR="002B5656" w:rsidRPr="00B80385" w:rsidRDefault="002B5656" w:rsidP="00CB127C">
      <w:pPr>
        <w:tabs>
          <w:tab w:val="left" w:pos="284"/>
          <w:tab w:val="left" w:pos="426"/>
          <w:tab w:val="left" w:pos="4962"/>
        </w:tabs>
        <w:ind w:right="-1"/>
        <w:rPr>
          <w:rFonts w:cs="Arial"/>
          <w:sz w:val="12"/>
          <w:szCs w:val="12"/>
        </w:rPr>
      </w:pPr>
    </w:p>
    <w:p w:rsidR="00B80385" w:rsidRPr="00B80385" w:rsidRDefault="00B80385" w:rsidP="00B80385">
      <w:pPr>
        <w:pStyle w:val="Sommario1"/>
        <w:tabs>
          <w:tab w:val="left" w:pos="709"/>
          <w:tab w:val="right" w:leader="dot" w:pos="9628"/>
        </w:tabs>
        <w:jc w:val="left"/>
        <w:rPr>
          <w:rFonts w:asciiTheme="minorHAnsi" w:eastAsiaTheme="minorEastAsia" w:hAnsiTheme="minorHAnsi" w:cstheme="minorBidi"/>
          <w:caps w:val="0"/>
          <w:noProof/>
          <w:sz w:val="22"/>
          <w:szCs w:val="22"/>
          <w:lang w:val="it-CH" w:eastAsia="it-CH"/>
        </w:rPr>
      </w:pPr>
      <w:r w:rsidRPr="00B80385">
        <w:rPr>
          <w:rFonts w:cs="Arial"/>
          <w:sz w:val="22"/>
          <w:szCs w:val="22"/>
        </w:rPr>
        <w:fldChar w:fldCharType="begin"/>
      </w:r>
      <w:r w:rsidRPr="00B80385">
        <w:rPr>
          <w:rFonts w:cs="Arial"/>
          <w:sz w:val="22"/>
          <w:szCs w:val="22"/>
        </w:rPr>
        <w:instrText xml:space="preserve"> TOC \o "1-2" \h \z \u </w:instrText>
      </w:r>
      <w:r w:rsidRPr="00B80385">
        <w:rPr>
          <w:rFonts w:cs="Arial"/>
          <w:sz w:val="22"/>
          <w:szCs w:val="22"/>
        </w:rPr>
        <w:fldChar w:fldCharType="separate"/>
      </w:r>
      <w:hyperlink w:anchor="_Toc39677863" w:history="1">
        <w:r w:rsidRPr="00B80385">
          <w:rPr>
            <w:rStyle w:val="Collegamentoipertestuale"/>
            <w:noProof/>
            <w:sz w:val="22"/>
            <w:szCs w:val="22"/>
          </w:rPr>
          <w:t>1.</w:t>
        </w:r>
        <w:r w:rsidRPr="00B80385">
          <w:rPr>
            <w:rFonts w:asciiTheme="minorHAnsi" w:eastAsiaTheme="minorEastAsia" w:hAnsiTheme="minorHAnsi" w:cstheme="minorBidi"/>
            <w:caps w:val="0"/>
            <w:noProof/>
            <w:sz w:val="22"/>
            <w:szCs w:val="22"/>
            <w:lang w:val="it-CH" w:eastAsia="it-CH"/>
          </w:rPr>
          <w:tab/>
        </w:r>
        <w:r w:rsidRPr="00B80385">
          <w:rPr>
            <w:rStyle w:val="Collegamentoipertestuale"/>
            <w:noProof/>
            <w:sz w:val="22"/>
            <w:szCs w:val="22"/>
          </w:rPr>
          <w:t>Introduzione</w:t>
        </w:r>
        <w:r w:rsidRPr="00B80385">
          <w:rPr>
            <w:noProof/>
            <w:webHidden/>
            <w:sz w:val="22"/>
            <w:szCs w:val="22"/>
          </w:rPr>
          <w:tab/>
        </w:r>
        <w:r w:rsidRPr="00B80385">
          <w:rPr>
            <w:noProof/>
            <w:webHidden/>
            <w:sz w:val="22"/>
            <w:szCs w:val="22"/>
          </w:rPr>
          <w:fldChar w:fldCharType="begin"/>
        </w:r>
        <w:r w:rsidRPr="00B80385">
          <w:rPr>
            <w:noProof/>
            <w:webHidden/>
            <w:sz w:val="22"/>
            <w:szCs w:val="22"/>
          </w:rPr>
          <w:instrText xml:space="preserve"> PAGEREF _Toc39677863 \h </w:instrText>
        </w:r>
        <w:r w:rsidRPr="00B80385">
          <w:rPr>
            <w:noProof/>
            <w:webHidden/>
            <w:sz w:val="22"/>
            <w:szCs w:val="22"/>
          </w:rPr>
        </w:r>
        <w:r w:rsidRPr="00B80385">
          <w:rPr>
            <w:noProof/>
            <w:webHidden/>
            <w:sz w:val="22"/>
            <w:szCs w:val="22"/>
          </w:rPr>
          <w:fldChar w:fldCharType="separate"/>
        </w:r>
        <w:r w:rsidR="00646F6C">
          <w:rPr>
            <w:noProof/>
            <w:webHidden/>
            <w:sz w:val="22"/>
            <w:szCs w:val="22"/>
          </w:rPr>
          <w:t>2</w:t>
        </w:r>
        <w:r w:rsidRPr="00B80385">
          <w:rPr>
            <w:noProof/>
            <w:webHidden/>
            <w:sz w:val="22"/>
            <w:szCs w:val="22"/>
          </w:rPr>
          <w:fldChar w:fldCharType="end"/>
        </w:r>
      </w:hyperlink>
    </w:p>
    <w:p w:rsidR="00B80385" w:rsidRPr="00B80385" w:rsidRDefault="001C138E" w:rsidP="00B80385">
      <w:pPr>
        <w:pStyle w:val="Sommario1"/>
        <w:tabs>
          <w:tab w:val="left" w:pos="709"/>
          <w:tab w:val="right" w:leader="dot" w:pos="9628"/>
        </w:tabs>
        <w:jc w:val="left"/>
        <w:rPr>
          <w:rFonts w:asciiTheme="minorHAnsi" w:eastAsiaTheme="minorEastAsia" w:hAnsiTheme="minorHAnsi" w:cstheme="minorBidi"/>
          <w:caps w:val="0"/>
          <w:noProof/>
          <w:sz w:val="22"/>
          <w:szCs w:val="22"/>
          <w:lang w:val="it-CH" w:eastAsia="it-CH"/>
        </w:rPr>
      </w:pPr>
      <w:hyperlink w:anchor="_Toc39677864" w:history="1">
        <w:r w:rsidR="00B80385" w:rsidRPr="00B80385">
          <w:rPr>
            <w:rStyle w:val="Collegamentoipertestuale"/>
            <w:noProof/>
            <w:sz w:val="22"/>
            <w:szCs w:val="22"/>
          </w:rPr>
          <w:t>2.</w:t>
        </w:r>
        <w:r w:rsidR="00B80385" w:rsidRPr="00B80385">
          <w:rPr>
            <w:rFonts w:asciiTheme="minorHAnsi" w:eastAsiaTheme="minorEastAsia" w:hAnsiTheme="minorHAnsi" w:cstheme="minorBidi"/>
            <w:caps w:val="0"/>
            <w:noProof/>
            <w:sz w:val="22"/>
            <w:szCs w:val="22"/>
            <w:lang w:val="it-CH" w:eastAsia="it-CH"/>
          </w:rPr>
          <w:tab/>
        </w:r>
        <w:r w:rsidR="00B80385" w:rsidRPr="00B80385">
          <w:rPr>
            <w:rStyle w:val="Collegamentoipertestuale"/>
            <w:noProof/>
            <w:sz w:val="22"/>
            <w:szCs w:val="22"/>
          </w:rPr>
          <w:t>Contesto e obiettivi della legge per l’innovazione economica</w:t>
        </w:r>
        <w:r w:rsidR="00B80385" w:rsidRPr="00B80385">
          <w:rPr>
            <w:noProof/>
            <w:webHidden/>
            <w:sz w:val="22"/>
            <w:szCs w:val="22"/>
          </w:rPr>
          <w:tab/>
        </w:r>
        <w:r w:rsidR="00B80385" w:rsidRPr="00B80385">
          <w:rPr>
            <w:noProof/>
            <w:webHidden/>
            <w:sz w:val="22"/>
            <w:szCs w:val="22"/>
          </w:rPr>
          <w:fldChar w:fldCharType="begin"/>
        </w:r>
        <w:r w:rsidR="00B80385" w:rsidRPr="00B80385">
          <w:rPr>
            <w:noProof/>
            <w:webHidden/>
            <w:sz w:val="22"/>
            <w:szCs w:val="22"/>
          </w:rPr>
          <w:instrText xml:space="preserve"> PAGEREF _Toc39677864 \h </w:instrText>
        </w:r>
        <w:r w:rsidR="00B80385" w:rsidRPr="00B80385">
          <w:rPr>
            <w:noProof/>
            <w:webHidden/>
            <w:sz w:val="22"/>
            <w:szCs w:val="22"/>
          </w:rPr>
        </w:r>
        <w:r w:rsidR="00B80385" w:rsidRPr="00B80385">
          <w:rPr>
            <w:noProof/>
            <w:webHidden/>
            <w:sz w:val="22"/>
            <w:szCs w:val="22"/>
          </w:rPr>
          <w:fldChar w:fldCharType="separate"/>
        </w:r>
        <w:r w:rsidR="00646F6C">
          <w:rPr>
            <w:noProof/>
            <w:webHidden/>
            <w:sz w:val="22"/>
            <w:szCs w:val="22"/>
          </w:rPr>
          <w:t>2</w:t>
        </w:r>
        <w:r w:rsidR="00B80385" w:rsidRPr="00B80385">
          <w:rPr>
            <w:noProof/>
            <w:webHidden/>
            <w:sz w:val="22"/>
            <w:szCs w:val="22"/>
          </w:rPr>
          <w:fldChar w:fldCharType="end"/>
        </w:r>
      </w:hyperlink>
    </w:p>
    <w:p w:rsidR="00B80385" w:rsidRPr="00B80385" w:rsidRDefault="001C138E" w:rsidP="00B80385">
      <w:pPr>
        <w:pStyle w:val="Sommario1"/>
        <w:tabs>
          <w:tab w:val="left" w:pos="709"/>
          <w:tab w:val="right" w:leader="dot" w:pos="9628"/>
        </w:tabs>
        <w:jc w:val="left"/>
        <w:rPr>
          <w:rFonts w:asciiTheme="minorHAnsi" w:eastAsiaTheme="minorEastAsia" w:hAnsiTheme="minorHAnsi" w:cstheme="minorBidi"/>
          <w:caps w:val="0"/>
          <w:noProof/>
          <w:sz w:val="22"/>
          <w:szCs w:val="22"/>
          <w:lang w:val="it-CH" w:eastAsia="it-CH"/>
        </w:rPr>
      </w:pPr>
      <w:hyperlink w:anchor="_Toc39677865" w:history="1">
        <w:r w:rsidR="00B80385" w:rsidRPr="00B80385">
          <w:rPr>
            <w:rStyle w:val="Collegamentoipertestuale"/>
            <w:noProof/>
            <w:sz w:val="22"/>
            <w:szCs w:val="22"/>
          </w:rPr>
          <w:t>3.</w:t>
        </w:r>
        <w:r w:rsidR="00B80385" w:rsidRPr="00B80385">
          <w:rPr>
            <w:rFonts w:asciiTheme="minorHAnsi" w:eastAsiaTheme="minorEastAsia" w:hAnsiTheme="minorHAnsi" w:cstheme="minorBidi"/>
            <w:caps w:val="0"/>
            <w:noProof/>
            <w:sz w:val="22"/>
            <w:szCs w:val="22"/>
            <w:lang w:val="it-CH" w:eastAsia="it-CH"/>
          </w:rPr>
          <w:tab/>
        </w:r>
        <w:r w:rsidR="00B80385" w:rsidRPr="00B80385">
          <w:rPr>
            <w:rStyle w:val="Collegamentoipertestuale"/>
            <w:noProof/>
            <w:sz w:val="22"/>
            <w:szCs w:val="22"/>
          </w:rPr>
          <w:t>Bilancio 2016-2019</w:t>
        </w:r>
        <w:r w:rsidR="00B80385" w:rsidRPr="00B80385">
          <w:rPr>
            <w:noProof/>
            <w:webHidden/>
            <w:sz w:val="22"/>
            <w:szCs w:val="22"/>
          </w:rPr>
          <w:tab/>
        </w:r>
        <w:r w:rsidR="00B80385" w:rsidRPr="00B80385">
          <w:rPr>
            <w:noProof/>
            <w:webHidden/>
            <w:sz w:val="22"/>
            <w:szCs w:val="22"/>
          </w:rPr>
          <w:fldChar w:fldCharType="begin"/>
        </w:r>
        <w:r w:rsidR="00B80385" w:rsidRPr="00B80385">
          <w:rPr>
            <w:noProof/>
            <w:webHidden/>
            <w:sz w:val="22"/>
            <w:szCs w:val="22"/>
          </w:rPr>
          <w:instrText xml:space="preserve"> PAGEREF _Toc39677865 \h </w:instrText>
        </w:r>
        <w:r w:rsidR="00B80385" w:rsidRPr="00B80385">
          <w:rPr>
            <w:noProof/>
            <w:webHidden/>
            <w:sz w:val="22"/>
            <w:szCs w:val="22"/>
          </w:rPr>
        </w:r>
        <w:r w:rsidR="00B80385" w:rsidRPr="00B80385">
          <w:rPr>
            <w:noProof/>
            <w:webHidden/>
            <w:sz w:val="22"/>
            <w:szCs w:val="22"/>
          </w:rPr>
          <w:fldChar w:fldCharType="separate"/>
        </w:r>
        <w:r w:rsidR="00646F6C">
          <w:rPr>
            <w:noProof/>
            <w:webHidden/>
            <w:sz w:val="22"/>
            <w:szCs w:val="22"/>
          </w:rPr>
          <w:t>3</w:t>
        </w:r>
        <w:r w:rsidR="00B80385" w:rsidRPr="00B80385">
          <w:rPr>
            <w:noProof/>
            <w:webHidden/>
            <w:sz w:val="22"/>
            <w:szCs w:val="22"/>
          </w:rPr>
          <w:fldChar w:fldCharType="end"/>
        </w:r>
      </w:hyperlink>
    </w:p>
    <w:p w:rsidR="00B80385" w:rsidRPr="00B80385" w:rsidRDefault="001C138E" w:rsidP="00B80385">
      <w:pPr>
        <w:pStyle w:val="Sommario2"/>
        <w:rPr>
          <w:rFonts w:asciiTheme="minorHAnsi" w:eastAsiaTheme="minorEastAsia" w:hAnsiTheme="minorHAnsi" w:cstheme="minorBidi"/>
          <w:noProof/>
          <w:lang w:val="it-CH" w:eastAsia="it-CH"/>
        </w:rPr>
      </w:pPr>
      <w:hyperlink w:anchor="_Toc39677866" w:history="1">
        <w:r w:rsidR="00B80385" w:rsidRPr="00B80385">
          <w:rPr>
            <w:rStyle w:val="Collegamentoipertestuale"/>
            <w:noProof/>
            <w:sz w:val="22"/>
            <w:szCs w:val="22"/>
          </w:rPr>
          <w:t>3.1</w:t>
        </w:r>
        <w:r w:rsidR="00B80385" w:rsidRPr="00B80385">
          <w:rPr>
            <w:rFonts w:asciiTheme="minorHAnsi" w:eastAsiaTheme="minorEastAsia" w:hAnsiTheme="minorHAnsi" w:cstheme="minorBidi"/>
            <w:noProof/>
            <w:lang w:val="it-CH" w:eastAsia="it-CH"/>
          </w:rPr>
          <w:tab/>
        </w:r>
        <w:r w:rsidR="00B80385" w:rsidRPr="00B80385">
          <w:rPr>
            <w:rStyle w:val="Collegamentoipertestuale"/>
            <w:noProof/>
            <w:sz w:val="22"/>
            <w:szCs w:val="22"/>
          </w:rPr>
          <w:t>Misure dirette (art. 7, 8, 9, 10, 11 LInn)</w:t>
        </w:r>
        <w:r w:rsidR="00B80385" w:rsidRPr="00B80385">
          <w:rPr>
            <w:noProof/>
            <w:webHidden/>
          </w:rPr>
          <w:tab/>
        </w:r>
        <w:r w:rsidR="00B80385" w:rsidRPr="00B80385">
          <w:rPr>
            <w:noProof/>
            <w:webHidden/>
          </w:rPr>
          <w:fldChar w:fldCharType="begin"/>
        </w:r>
        <w:r w:rsidR="00B80385" w:rsidRPr="00B80385">
          <w:rPr>
            <w:noProof/>
            <w:webHidden/>
          </w:rPr>
          <w:instrText xml:space="preserve"> PAGEREF _Toc39677866 \h </w:instrText>
        </w:r>
        <w:r w:rsidR="00B80385" w:rsidRPr="00B80385">
          <w:rPr>
            <w:noProof/>
            <w:webHidden/>
          </w:rPr>
        </w:r>
        <w:r w:rsidR="00B80385" w:rsidRPr="00B80385">
          <w:rPr>
            <w:noProof/>
            <w:webHidden/>
          </w:rPr>
          <w:fldChar w:fldCharType="separate"/>
        </w:r>
        <w:r w:rsidR="00646F6C">
          <w:rPr>
            <w:noProof/>
            <w:webHidden/>
          </w:rPr>
          <w:t>4</w:t>
        </w:r>
        <w:r w:rsidR="00B80385" w:rsidRPr="00B80385">
          <w:rPr>
            <w:noProof/>
            <w:webHidden/>
          </w:rPr>
          <w:fldChar w:fldCharType="end"/>
        </w:r>
      </w:hyperlink>
    </w:p>
    <w:p w:rsidR="00B80385" w:rsidRPr="00B80385" w:rsidRDefault="001C138E" w:rsidP="00B80385">
      <w:pPr>
        <w:pStyle w:val="Sommario2"/>
        <w:rPr>
          <w:rFonts w:asciiTheme="minorHAnsi" w:eastAsiaTheme="minorEastAsia" w:hAnsiTheme="minorHAnsi" w:cstheme="minorBidi"/>
          <w:noProof/>
          <w:lang w:val="it-CH" w:eastAsia="it-CH"/>
        </w:rPr>
      </w:pPr>
      <w:hyperlink w:anchor="_Toc39677867" w:history="1">
        <w:r w:rsidR="00B80385" w:rsidRPr="00B80385">
          <w:rPr>
            <w:rStyle w:val="Collegamentoipertestuale"/>
            <w:noProof/>
            <w:sz w:val="22"/>
            <w:szCs w:val="22"/>
          </w:rPr>
          <w:t>3.2</w:t>
        </w:r>
        <w:r w:rsidR="00B80385" w:rsidRPr="00B80385">
          <w:rPr>
            <w:rFonts w:asciiTheme="minorHAnsi" w:eastAsiaTheme="minorEastAsia" w:hAnsiTheme="minorHAnsi" w:cstheme="minorBidi"/>
            <w:noProof/>
            <w:lang w:val="it-CH" w:eastAsia="it-CH"/>
          </w:rPr>
          <w:tab/>
        </w:r>
        <w:r w:rsidR="00B80385" w:rsidRPr="00B80385">
          <w:rPr>
            <w:rStyle w:val="Collegamentoipertestuale"/>
            <w:noProof/>
            <w:sz w:val="22"/>
            <w:szCs w:val="22"/>
          </w:rPr>
          <w:t>Misure indirette (art. 12, 13, 14 LInn)</w:t>
        </w:r>
        <w:r w:rsidR="00B80385" w:rsidRPr="00B80385">
          <w:rPr>
            <w:noProof/>
            <w:webHidden/>
          </w:rPr>
          <w:tab/>
        </w:r>
        <w:r w:rsidR="00B80385" w:rsidRPr="00B80385">
          <w:rPr>
            <w:noProof/>
            <w:webHidden/>
          </w:rPr>
          <w:fldChar w:fldCharType="begin"/>
        </w:r>
        <w:r w:rsidR="00B80385" w:rsidRPr="00B80385">
          <w:rPr>
            <w:noProof/>
            <w:webHidden/>
          </w:rPr>
          <w:instrText xml:space="preserve"> PAGEREF _Toc39677867 \h </w:instrText>
        </w:r>
        <w:r w:rsidR="00B80385" w:rsidRPr="00B80385">
          <w:rPr>
            <w:noProof/>
            <w:webHidden/>
          </w:rPr>
        </w:r>
        <w:r w:rsidR="00B80385" w:rsidRPr="00B80385">
          <w:rPr>
            <w:noProof/>
            <w:webHidden/>
          </w:rPr>
          <w:fldChar w:fldCharType="separate"/>
        </w:r>
        <w:r w:rsidR="00646F6C">
          <w:rPr>
            <w:noProof/>
            <w:webHidden/>
          </w:rPr>
          <w:t>7</w:t>
        </w:r>
        <w:r w:rsidR="00B80385" w:rsidRPr="00B80385">
          <w:rPr>
            <w:noProof/>
            <w:webHidden/>
          </w:rPr>
          <w:fldChar w:fldCharType="end"/>
        </w:r>
      </w:hyperlink>
    </w:p>
    <w:p w:rsidR="00B80385" w:rsidRPr="00B80385" w:rsidRDefault="001C138E" w:rsidP="00B80385">
      <w:pPr>
        <w:pStyle w:val="Sommario2"/>
        <w:rPr>
          <w:rFonts w:asciiTheme="minorHAnsi" w:eastAsiaTheme="minorEastAsia" w:hAnsiTheme="minorHAnsi" w:cstheme="minorBidi"/>
          <w:noProof/>
          <w:lang w:val="it-CH" w:eastAsia="it-CH"/>
        </w:rPr>
      </w:pPr>
      <w:hyperlink w:anchor="_Toc39677868" w:history="1">
        <w:r w:rsidR="00B80385" w:rsidRPr="00B80385">
          <w:rPr>
            <w:rStyle w:val="Collegamentoipertestuale"/>
            <w:noProof/>
            <w:sz w:val="22"/>
            <w:szCs w:val="22"/>
          </w:rPr>
          <w:t>3.3</w:t>
        </w:r>
        <w:r w:rsidR="00B80385" w:rsidRPr="00B80385">
          <w:rPr>
            <w:rFonts w:asciiTheme="minorHAnsi" w:eastAsiaTheme="minorEastAsia" w:hAnsiTheme="minorHAnsi" w:cstheme="minorBidi"/>
            <w:noProof/>
            <w:lang w:val="it-CH" w:eastAsia="it-CH"/>
          </w:rPr>
          <w:tab/>
        </w:r>
        <w:r w:rsidR="00B80385" w:rsidRPr="00B80385">
          <w:rPr>
            <w:rStyle w:val="Collegamentoipertestuale"/>
            <w:noProof/>
            <w:sz w:val="22"/>
            <w:szCs w:val="22"/>
          </w:rPr>
          <w:t>Utilizzo del credito quadro 2016-2019</w:t>
        </w:r>
        <w:r w:rsidR="00B80385" w:rsidRPr="00B80385">
          <w:rPr>
            <w:noProof/>
            <w:webHidden/>
          </w:rPr>
          <w:tab/>
        </w:r>
        <w:r w:rsidR="00B80385" w:rsidRPr="00B80385">
          <w:rPr>
            <w:noProof/>
            <w:webHidden/>
          </w:rPr>
          <w:fldChar w:fldCharType="begin"/>
        </w:r>
        <w:r w:rsidR="00B80385" w:rsidRPr="00B80385">
          <w:rPr>
            <w:noProof/>
            <w:webHidden/>
          </w:rPr>
          <w:instrText xml:space="preserve"> PAGEREF _Toc39677868 \h </w:instrText>
        </w:r>
        <w:r w:rsidR="00B80385" w:rsidRPr="00B80385">
          <w:rPr>
            <w:noProof/>
            <w:webHidden/>
          </w:rPr>
        </w:r>
        <w:r w:rsidR="00B80385" w:rsidRPr="00B80385">
          <w:rPr>
            <w:noProof/>
            <w:webHidden/>
          </w:rPr>
          <w:fldChar w:fldCharType="separate"/>
        </w:r>
        <w:r w:rsidR="00646F6C">
          <w:rPr>
            <w:noProof/>
            <w:webHidden/>
          </w:rPr>
          <w:t>7</w:t>
        </w:r>
        <w:r w:rsidR="00B80385" w:rsidRPr="00B80385">
          <w:rPr>
            <w:noProof/>
            <w:webHidden/>
          </w:rPr>
          <w:fldChar w:fldCharType="end"/>
        </w:r>
      </w:hyperlink>
    </w:p>
    <w:p w:rsidR="00B80385" w:rsidRPr="00B80385" w:rsidRDefault="001C138E" w:rsidP="00B80385">
      <w:pPr>
        <w:pStyle w:val="Sommario1"/>
        <w:tabs>
          <w:tab w:val="left" w:pos="709"/>
          <w:tab w:val="right" w:leader="dot" w:pos="9628"/>
        </w:tabs>
        <w:jc w:val="left"/>
        <w:rPr>
          <w:rFonts w:asciiTheme="minorHAnsi" w:eastAsiaTheme="minorEastAsia" w:hAnsiTheme="minorHAnsi" w:cstheme="minorBidi"/>
          <w:caps w:val="0"/>
          <w:noProof/>
          <w:sz w:val="22"/>
          <w:szCs w:val="22"/>
          <w:lang w:val="it-CH" w:eastAsia="it-CH"/>
        </w:rPr>
      </w:pPr>
      <w:hyperlink w:anchor="_Toc39677869" w:history="1">
        <w:r w:rsidR="00B80385" w:rsidRPr="00B80385">
          <w:rPr>
            <w:rStyle w:val="Collegamentoipertestuale"/>
            <w:noProof/>
            <w:sz w:val="22"/>
            <w:szCs w:val="22"/>
          </w:rPr>
          <w:t>4.</w:t>
        </w:r>
        <w:r w:rsidR="00B80385" w:rsidRPr="00B80385">
          <w:rPr>
            <w:rFonts w:asciiTheme="minorHAnsi" w:eastAsiaTheme="minorEastAsia" w:hAnsiTheme="minorHAnsi" w:cstheme="minorBidi"/>
            <w:caps w:val="0"/>
            <w:noProof/>
            <w:sz w:val="22"/>
            <w:szCs w:val="22"/>
            <w:lang w:val="it-CH" w:eastAsia="it-CH"/>
          </w:rPr>
          <w:tab/>
        </w:r>
        <w:r w:rsidR="00B80385" w:rsidRPr="00B80385">
          <w:rPr>
            <w:rStyle w:val="Collegamentoipertestuale"/>
            <w:noProof/>
            <w:sz w:val="22"/>
            <w:szCs w:val="22"/>
          </w:rPr>
          <w:t>programma di promozione dell’innovazione 2020 – 2023</w:t>
        </w:r>
        <w:r w:rsidR="00B80385" w:rsidRPr="00B80385">
          <w:rPr>
            <w:noProof/>
            <w:webHidden/>
            <w:sz w:val="22"/>
            <w:szCs w:val="22"/>
          </w:rPr>
          <w:tab/>
        </w:r>
        <w:r w:rsidR="00B80385" w:rsidRPr="00B80385">
          <w:rPr>
            <w:noProof/>
            <w:webHidden/>
            <w:sz w:val="22"/>
            <w:szCs w:val="22"/>
          </w:rPr>
          <w:fldChar w:fldCharType="begin"/>
        </w:r>
        <w:r w:rsidR="00B80385" w:rsidRPr="00B80385">
          <w:rPr>
            <w:noProof/>
            <w:webHidden/>
            <w:sz w:val="22"/>
            <w:szCs w:val="22"/>
          </w:rPr>
          <w:instrText xml:space="preserve"> PAGEREF _Toc39677869 \h </w:instrText>
        </w:r>
        <w:r w:rsidR="00B80385" w:rsidRPr="00B80385">
          <w:rPr>
            <w:noProof/>
            <w:webHidden/>
            <w:sz w:val="22"/>
            <w:szCs w:val="22"/>
          </w:rPr>
        </w:r>
        <w:r w:rsidR="00B80385" w:rsidRPr="00B80385">
          <w:rPr>
            <w:noProof/>
            <w:webHidden/>
            <w:sz w:val="22"/>
            <w:szCs w:val="22"/>
          </w:rPr>
          <w:fldChar w:fldCharType="separate"/>
        </w:r>
        <w:r w:rsidR="00646F6C">
          <w:rPr>
            <w:noProof/>
            <w:webHidden/>
            <w:sz w:val="22"/>
            <w:szCs w:val="22"/>
          </w:rPr>
          <w:t>8</w:t>
        </w:r>
        <w:r w:rsidR="00B80385" w:rsidRPr="00B80385">
          <w:rPr>
            <w:noProof/>
            <w:webHidden/>
            <w:sz w:val="22"/>
            <w:szCs w:val="22"/>
          </w:rPr>
          <w:fldChar w:fldCharType="end"/>
        </w:r>
      </w:hyperlink>
    </w:p>
    <w:p w:rsidR="00B80385" w:rsidRPr="00B80385" w:rsidRDefault="001C138E" w:rsidP="00B80385">
      <w:pPr>
        <w:pStyle w:val="Sommario2"/>
        <w:rPr>
          <w:rFonts w:asciiTheme="minorHAnsi" w:eastAsiaTheme="minorEastAsia" w:hAnsiTheme="minorHAnsi" w:cstheme="minorBidi"/>
          <w:noProof/>
          <w:lang w:val="it-CH" w:eastAsia="it-CH"/>
        </w:rPr>
      </w:pPr>
      <w:hyperlink w:anchor="_Toc39677870" w:history="1">
        <w:r w:rsidR="00B80385" w:rsidRPr="00B80385">
          <w:rPr>
            <w:rStyle w:val="Collegamentoipertestuale"/>
            <w:noProof/>
            <w:sz w:val="22"/>
            <w:szCs w:val="22"/>
          </w:rPr>
          <w:t>4.1</w:t>
        </w:r>
        <w:r w:rsidR="00B80385" w:rsidRPr="00B80385">
          <w:rPr>
            <w:rFonts w:asciiTheme="minorHAnsi" w:eastAsiaTheme="minorEastAsia" w:hAnsiTheme="minorHAnsi" w:cstheme="minorBidi"/>
            <w:noProof/>
            <w:lang w:val="it-CH" w:eastAsia="it-CH"/>
          </w:rPr>
          <w:tab/>
        </w:r>
        <w:r w:rsidR="00B80385" w:rsidRPr="00B80385">
          <w:rPr>
            <w:rStyle w:val="Collegamentoipertestuale"/>
            <w:noProof/>
            <w:sz w:val="22"/>
            <w:szCs w:val="22"/>
          </w:rPr>
          <w:t>Priorità programmatiche</w:t>
        </w:r>
        <w:r w:rsidR="00B80385" w:rsidRPr="00B80385">
          <w:rPr>
            <w:noProof/>
            <w:webHidden/>
          </w:rPr>
          <w:tab/>
        </w:r>
        <w:r w:rsidR="00B80385" w:rsidRPr="00B80385">
          <w:rPr>
            <w:noProof/>
            <w:webHidden/>
          </w:rPr>
          <w:fldChar w:fldCharType="begin"/>
        </w:r>
        <w:r w:rsidR="00B80385" w:rsidRPr="00B80385">
          <w:rPr>
            <w:noProof/>
            <w:webHidden/>
          </w:rPr>
          <w:instrText xml:space="preserve"> PAGEREF _Toc39677870 \h </w:instrText>
        </w:r>
        <w:r w:rsidR="00B80385" w:rsidRPr="00B80385">
          <w:rPr>
            <w:noProof/>
            <w:webHidden/>
          </w:rPr>
        </w:r>
        <w:r w:rsidR="00B80385" w:rsidRPr="00B80385">
          <w:rPr>
            <w:noProof/>
            <w:webHidden/>
          </w:rPr>
          <w:fldChar w:fldCharType="separate"/>
        </w:r>
        <w:r w:rsidR="00646F6C">
          <w:rPr>
            <w:noProof/>
            <w:webHidden/>
          </w:rPr>
          <w:t>8</w:t>
        </w:r>
        <w:r w:rsidR="00B80385" w:rsidRPr="00B80385">
          <w:rPr>
            <w:noProof/>
            <w:webHidden/>
          </w:rPr>
          <w:fldChar w:fldCharType="end"/>
        </w:r>
      </w:hyperlink>
    </w:p>
    <w:p w:rsidR="00B80385" w:rsidRPr="00B80385" w:rsidRDefault="001C138E" w:rsidP="00B80385">
      <w:pPr>
        <w:pStyle w:val="Sommario2"/>
        <w:rPr>
          <w:rFonts w:asciiTheme="minorHAnsi" w:eastAsiaTheme="minorEastAsia" w:hAnsiTheme="minorHAnsi" w:cstheme="minorBidi"/>
          <w:noProof/>
          <w:lang w:val="it-CH" w:eastAsia="it-CH"/>
        </w:rPr>
      </w:pPr>
      <w:hyperlink w:anchor="_Toc39677871" w:history="1">
        <w:r w:rsidR="00B80385" w:rsidRPr="00B80385">
          <w:rPr>
            <w:rStyle w:val="Collegamentoipertestuale"/>
            <w:noProof/>
            <w:sz w:val="22"/>
            <w:szCs w:val="22"/>
          </w:rPr>
          <w:t>4.2</w:t>
        </w:r>
        <w:r w:rsidR="00B80385" w:rsidRPr="00B80385">
          <w:rPr>
            <w:rFonts w:asciiTheme="minorHAnsi" w:eastAsiaTheme="minorEastAsia" w:hAnsiTheme="minorHAnsi" w:cstheme="minorBidi"/>
            <w:noProof/>
            <w:lang w:val="it-CH" w:eastAsia="it-CH"/>
          </w:rPr>
          <w:tab/>
        </w:r>
        <w:r w:rsidR="00B80385" w:rsidRPr="00B80385">
          <w:rPr>
            <w:rStyle w:val="Collegamentoipertestuale"/>
            <w:noProof/>
            <w:sz w:val="22"/>
            <w:szCs w:val="22"/>
          </w:rPr>
          <w:t>Settori chiave</w:t>
        </w:r>
        <w:r w:rsidR="00B80385" w:rsidRPr="00B80385">
          <w:rPr>
            <w:noProof/>
            <w:webHidden/>
          </w:rPr>
          <w:tab/>
        </w:r>
        <w:r w:rsidR="00B80385" w:rsidRPr="00B80385">
          <w:rPr>
            <w:noProof/>
            <w:webHidden/>
          </w:rPr>
          <w:fldChar w:fldCharType="begin"/>
        </w:r>
        <w:r w:rsidR="00B80385" w:rsidRPr="00B80385">
          <w:rPr>
            <w:noProof/>
            <w:webHidden/>
          </w:rPr>
          <w:instrText xml:space="preserve"> PAGEREF _Toc39677871 \h </w:instrText>
        </w:r>
        <w:r w:rsidR="00B80385" w:rsidRPr="00B80385">
          <w:rPr>
            <w:noProof/>
            <w:webHidden/>
          </w:rPr>
        </w:r>
        <w:r w:rsidR="00B80385" w:rsidRPr="00B80385">
          <w:rPr>
            <w:noProof/>
            <w:webHidden/>
          </w:rPr>
          <w:fldChar w:fldCharType="separate"/>
        </w:r>
        <w:r w:rsidR="00646F6C">
          <w:rPr>
            <w:noProof/>
            <w:webHidden/>
          </w:rPr>
          <w:t>8</w:t>
        </w:r>
        <w:r w:rsidR="00B80385" w:rsidRPr="00B80385">
          <w:rPr>
            <w:noProof/>
            <w:webHidden/>
          </w:rPr>
          <w:fldChar w:fldCharType="end"/>
        </w:r>
      </w:hyperlink>
    </w:p>
    <w:p w:rsidR="00B80385" w:rsidRPr="00B80385" w:rsidRDefault="001C138E" w:rsidP="00B80385">
      <w:pPr>
        <w:pStyle w:val="Sommario1"/>
        <w:tabs>
          <w:tab w:val="left" w:pos="709"/>
          <w:tab w:val="right" w:leader="dot" w:pos="9628"/>
        </w:tabs>
        <w:jc w:val="left"/>
        <w:rPr>
          <w:rFonts w:asciiTheme="minorHAnsi" w:eastAsiaTheme="minorEastAsia" w:hAnsiTheme="minorHAnsi" w:cstheme="minorBidi"/>
          <w:caps w:val="0"/>
          <w:noProof/>
          <w:sz w:val="22"/>
          <w:szCs w:val="22"/>
          <w:lang w:val="it-CH" w:eastAsia="it-CH"/>
        </w:rPr>
      </w:pPr>
      <w:hyperlink w:anchor="_Toc39677872" w:history="1">
        <w:r w:rsidR="00B80385" w:rsidRPr="00B80385">
          <w:rPr>
            <w:rStyle w:val="Collegamentoipertestuale"/>
            <w:noProof/>
            <w:sz w:val="22"/>
            <w:szCs w:val="22"/>
          </w:rPr>
          <w:t>5.</w:t>
        </w:r>
        <w:r w:rsidR="00B80385" w:rsidRPr="00B80385">
          <w:rPr>
            <w:rFonts w:asciiTheme="minorHAnsi" w:eastAsiaTheme="minorEastAsia" w:hAnsiTheme="minorHAnsi" w:cstheme="minorBidi"/>
            <w:caps w:val="0"/>
            <w:noProof/>
            <w:sz w:val="22"/>
            <w:szCs w:val="22"/>
            <w:lang w:val="it-CH" w:eastAsia="it-CH"/>
          </w:rPr>
          <w:tab/>
        </w:r>
        <w:r w:rsidR="00B80385" w:rsidRPr="00B80385">
          <w:rPr>
            <w:rStyle w:val="Collegamentoipertestuale"/>
            <w:noProof/>
            <w:sz w:val="22"/>
            <w:szCs w:val="22"/>
          </w:rPr>
          <w:t>Analisi commissionale</w:t>
        </w:r>
        <w:r w:rsidR="00B80385" w:rsidRPr="00B80385">
          <w:rPr>
            <w:noProof/>
            <w:webHidden/>
            <w:sz w:val="22"/>
            <w:szCs w:val="22"/>
          </w:rPr>
          <w:tab/>
        </w:r>
        <w:r w:rsidR="00B80385" w:rsidRPr="00B80385">
          <w:rPr>
            <w:noProof/>
            <w:webHidden/>
            <w:sz w:val="22"/>
            <w:szCs w:val="22"/>
          </w:rPr>
          <w:fldChar w:fldCharType="begin"/>
        </w:r>
        <w:r w:rsidR="00B80385" w:rsidRPr="00B80385">
          <w:rPr>
            <w:noProof/>
            <w:webHidden/>
            <w:sz w:val="22"/>
            <w:szCs w:val="22"/>
          </w:rPr>
          <w:instrText xml:space="preserve"> PAGEREF _Toc39677872 \h </w:instrText>
        </w:r>
        <w:r w:rsidR="00B80385" w:rsidRPr="00B80385">
          <w:rPr>
            <w:noProof/>
            <w:webHidden/>
            <w:sz w:val="22"/>
            <w:szCs w:val="22"/>
          </w:rPr>
        </w:r>
        <w:r w:rsidR="00B80385" w:rsidRPr="00B80385">
          <w:rPr>
            <w:noProof/>
            <w:webHidden/>
            <w:sz w:val="22"/>
            <w:szCs w:val="22"/>
          </w:rPr>
          <w:fldChar w:fldCharType="separate"/>
        </w:r>
        <w:r w:rsidR="00646F6C">
          <w:rPr>
            <w:noProof/>
            <w:webHidden/>
            <w:sz w:val="22"/>
            <w:szCs w:val="22"/>
          </w:rPr>
          <w:t>9</w:t>
        </w:r>
        <w:r w:rsidR="00B80385" w:rsidRPr="00B80385">
          <w:rPr>
            <w:noProof/>
            <w:webHidden/>
            <w:sz w:val="22"/>
            <w:szCs w:val="22"/>
          </w:rPr>
          <w:fldChar w:fldCharType="end"/>
        </w:r>
      </w:hyperlink>
    </w:p>
    <w:p w:rsidR="00B80385" w:rsidRPr="00B80385" w:rsidRDefault="001C138E" w:rsidP="00B80385">
      <w:pPr>
        <w:pStyle w:val="Sommario2"/>
        <w:rPr>
          <w:rFonts w:asciiTheme="minorHAnsi" w:eastAsiaTheme="minorEastAsia" w:hAnsiTheme="minorHAnsi" w:cstheme="minorBidi"/>
          <w:noProof/>
          <w:lang w:val="it-CH" w:eastAsia="it-CH"/>
        </w:rPr>
      </w:pPr>
      <w:hyperlink w:anchor="_Toc39677873" w:history="1">
        <w:r w:rsidR="00B80385" w:rsidRPr="00B80385">
          <w:rPr>
            <w:rStyle w:val="Collegamentoipertestuale"/>
            <w:noProof/>
            <w:sz w:val="22"/>
            <w:szCs w:val="22"/>
          </w:rPr>
          <w:t>5.1</w:t>
        </w:r>
        <w:r w:rsidR="00B80385" w:rsidRPr="00B80385">
          <w:rPr>
            <w:rFonts w:asciiTheme="minorHAnsi" w:eastAsiaTheme="minorEastAsia" w:hAnsiTheme="minorHAnsi" w:cstheme="minorBidi"/>
            <w:noProof/>
            <w:lang w:val="it-CH" w:eastAsia="it-CH"/>
          </w:rPr>
          <w:tab/>
        </w:r>
        <w:r w:rsidR="00B80385" w:rsidRPr="00B80385">
          <w:rPr>
            <w:rStyle w:val="Collegamentoipertestuale"/>
            <w:noProof/>
            <w:sz w:val="22"/>
            <w:szCs w:val="22"/>
          </w:rPr>
          <w:t>Messaggio</w:t>
        </w:r>
        <w:r w:rsidR="00B80385" w:rsidRPr="00B80385">
          <w:rPr>
            <w:noProof/>
            <w:webHidden/>
          </w:rPr>
          <w:tab/>
        </w:r>
        <w:r w:rsidR="00B80385" w:rsidRPr="00B80385">
          <w:rPr>
            <w:noProof/>
            <w:webHidden/>
          </w:rPr>
          <w:fldChar w:fldCharType="begin"/>
        </w:r>
        <w:r w:rsidR="00B80385" w:rsidRPr="00B80385">
          <w:rPr>
            <w:noProof/>
            <w:webHidden/>
          </w:rPr>
          <w:instrText xml:space="preserve"> PAGEREF _Toc39677873 \h </w:instrText>
        </w:r>
        <w:r w:rsidR="00B80385" w:rsidRPr="00B80385">
          <w:rPr>
            <w:noProof/>
            <w:webHidden/>
          </w:rPr>
        </w:r>
        <w:r w:rsidR="00B80385" w:rsidRPr="00B80385">
          <w:rPr>
            <w:noProof/>
            <w:webHidden/>
          </w:rPr>
          <w:fldChar w:fldCharType="separate"/>
        </w:r>
        <w:r w:rsidR="00646F6C">
          <w:rPr>
            <w:noProof/>
            <w:webHidden/>
          </w:rPr>
          <w:t>9</w:t>
        </w:r>
        <w:r w:rsidR="00B80385" w:rsidRPr="00B80385">
          <w:rPr>
            <w:noProof/>
            <w:webHidden/>
          </w:rPr>
          <w:fldChar w:fldCharType="end"/>
        </w:r>
      </w:hyperlink>
    </w:p>
    <w:p w:rsidR="00B80385" w:rsidRPr="00B80385" w:rsidRDefault="001C138E" w:rsidP="00B80385">
      <w:pPr>
        <w:pStyle w:val="Sommario2"/>
        <w:rPr>
          <w:rFonts w:asciiTheme="minorHAnsi" w:eastAsiaTheme="minorEastAsia" w:hAnsiTheme="minorHAnsi" w:cstheme="minorBidi"/>
          <w:noProof/>
          <w:lang w:val="it-CH" w:eastAsia="it-CH"/>
        </w:rPr>
      </w:pPr>
      <w:hyperlink w:anchor="_Toc39677874" w:history="1">
        <w:r w:rsidR="00B80385" w:rsidRPr="00B80385">
          <w:rPr>
            <w:rStyle w:val="Collegamentoipertestuale"/>
            <w:noProof/>
            <w:sz w:val="22"/>
            <w:szCs w:val="22"/>
          </w:rPr>
          <w:t>5.2</w:t>
        </w:r>
        <w:r w:rsidR="00B80385" w:rsidRPr="00B80385">
          <w:rPr>
            <w:rFonts w:asciiTheme="minorHAnsi" w:eastAsiaTheme="minorEastAsia" w:hAnsiTheme="minorHAnsi" w:cstheme="minorBidi"/>
            <w:noProof/>
            <w:lang w:val="it-CH" w:eastAsia="it-CH"/>
          </w:rPr>
          <w:tab/>
        </w:r>
        <w:r w:rsidR="00B80385" w:rsidRPr="00B80385">
          <w:rPr>
            <w:rStyle w:val="Collegamentoipertestuale"/>
            <w:noProof/>
            <w:sz w:val="22"/>
            <w:szCs w:val="22"/>
          </w:rPr>
          <w:t xml:space="preserve">Riguardo alle misure a sostegno dell’innovazione la Commissione ha approfondito </w:t>
        </w:r>
        <w:r w:rsidR="00B80385">
          <w:rPr>
            <w:rStyle w:val="Collegamentoipertestuale"/>
            <w:noProof/>
            <w:sz w:val="22"/>
            <w:szCs w:val="22"/>
          </w:rPr>
          <w:br/>
        </w:r>
        <w:r w:rsidR="00B80385" w:rsidRPr="00B80385">
          <w:rPr>
            <w:rStyle w:val="Collegamentoipertestuale"/>
            <w:noProof/>
            <w:sz w:val="22"/>
            <w:szCs w:val="22"/>
          </w:rPr>
          <w:t>vari aspetti</w:t>
        </w:r>
        <w:r w:rsidR="00B80385" w:rsidRPr="00B80385">
          <w:rPr>
            <w:noProof/>
            <w:webHidden/>
          </w:rPr>
          <w:tab/>
        </w:r>
        <w:r w:rsidR="00B80385" w:rsidRPr="00B80385">
          <w:rPr>
            <w:noProof/>
            <w:webHidden/>
          </w:rPr>
          <w:fldChar w:fldCharType="begin"/>
        </w:r>
        <w:r w:rsidR="00B80385" w:rsidRPr="00B80385">
          <w:rPr>
            <w:noProof/>
            <w:webHidden/>
          </w:rPr>
          <w:instrText xml:space="preserve"> PAGEREF _Toc39677874 \h </w:instrText>
        </w:r>
        <w:r w:rsidR="00B80385" w:rsidRPr="00B80385">
          <w:rPr>
            <w:noProof/>
            <w:webHidden/>
          </w:rPr>
        </w:r>
        <w:r w:rsidR="00B80385" w:rsidRPr="00B80385">
          <w:rPr>
            <w:noProof/>
            <w:webHidden/>
          </w:rPr>
          <w:fldChar w:fldCharType="separate"/>
        </w:r>
        <w:r w:rsidR="00646F6C">
          <w:rPr>
            <w:noProof/>
            <w:webHidden/>
          </w:rPr>
          <w:t>11</w:t>
        </w:r>
        <w:r w:rsidR="00B80385" w:rsidRPr="00B80385">
          <w:rPr>
            <w:noProof/>
            <w:webHidden/>
          </w:rPr>
          <w:fldChar w:fldCharType="end"/>
        </w:r>
      </w:hyperlink>
    </w:p>
    <w:p w:rsidR="00B80385" w:rsidRPr="00B80385" w:rsidRDefault="001C138E" w:rsidP="00B80385">
      <w:pPr>
        <w:pStyle w:val="Sommario2"/>
        <w:rPr>
          <w:rFonts w:asciiTheme="minorHAnsi" w:eastAsiaTheme="minorEastAsia" w:hAnsiTheme="minorHAnsi" w:cstheme="minorBidi"/>
          <w:noProof/>
          <w:lang w:val="it-CH" w:eastAsia="it-CH"/>
        </w:rPr>
      </w:pPr>
      <w:hyperlink w:anchor="_Toc39677875" w:history="1">
        <w:r w:rsidR="00B80385" w:rsidRPr="00B80385">
          <w:rPr>
            <w:rStyle w:val="Collegamentoipertestuale"/>
            <w:noProof/>
            <w:sz w:val="22"/>
            <w:szCs w:val="22"/>
          </w:rPr>
          <w:t>5.3</w:t>
        </w:r>
        <w:r w:rsidR="00B80385" w:rsidRPr="00B80385">
          <w:rPr>
            <w:rFonts w:asciiTheme="minorHAnsi" w:eastAsiaTheme="minorEastAsia" w:hAnsiTheme="minorHAnsi" w:cstheme="minorBidi"/>
            <w:noProof/>
            <w:lang w:val="it-CH" w:eastAsia="it-CH"/>
          </w:rPr>
          <w:tab/>
        </w:r>
        <w:r w:rsidR="00B80385" w:rsidRPr="00B80385">
          <w:rPr>
            <w:rStyle w:val="Collegamentoipertestuale"/>
            <w:noProof/>
            <w:sz w:val="22"/>
            <w:szCs w:val="22"/>
          </w:rPr>
          <w:t>Ulteriori approfondimenti commissionali</w:t>
        </w:r>
        <w:r w:rsidR="00B80385" w:rsidRPr="00B80385">
          <w:rPr>
            <w:noProof/>
            <w:webHidden/>
          </w:rPr>
          <w:tab/>
        </w:r>
        <w:r w:rsidR="00B80385" w:rsidRPr="00B80385">
          <w:rPr>
            <w:noProof/>
            <w:webHidden/>
          </w:rPr>
          <w:fldChar w:fldCharType="begin"/>
        </w:r>
        <w:r w:rsidR="00B80385" w:rsidRPr="00B80385">
          <w:rPr>
            <w:noProof/>
            <w:webHidden/>
          </w:rPr>
          <w:instrText xml:space="preserve"> PAGEREF _Toc39677875 \h </w:instrText>
        </w:r>
        <w:r w:rsidR="00B80385" w:rsidRPr="00B80385">
          <w:rPr>
            <w:noProof/>
            <w:webHidden/>
          </w:rPr>
        </w:r>
        <w:r w:rsidR="00B80385" w:rsidRPr="00B80385">
          <w:rPr>
            <w:noProof/>
            <w:webHidden/>
          </w:rPr>
          <w:fldChar w:fldCharType="separate"/>
        </w:r>
        <w:r w:rsidR="00646F6C">
          <w:rPr>
            <w:noProof/>
            <w:webHidden/>
          </w:rPr>
          <w:t>14</w:t>
        </w:r>
        <w:r w:rsidR="00B80385" w:rsidRPr="00B80385">
          <w:rPr>
            <w:noProof/>
            <w:webHidden/>
          </w:rPr>
          <w:fldChar w:fldCharType="end"/>
        </w:r>
      </w:hyperlink>
    </w:p>
    <w:p w:rsidR="00B80385" w:rsidRPr="00B80385" w:rsidRDefault="001C138E" w:rsidP="00B80385">
      <w:pPr>
        <w:pStyle w:val="Sommario2"/>
        <w:rPr>
          <w:rFonts w:asciiTheme="minorHAnsi" w:eastAsiaTheme="minorEastAsia" w:hAnsiTheme="minorHAnsi" w:cstheme="minorBidi"/>
          <w:noProof/>
          <w:lang w:val="it-CH" w:eastAsia="it-CH"/>
        </w:rPr>
      </w:pPr>
      <w:hyperlink w:anchor="_Toc39677876" w:history="1">
        <w:r w:rsidR="00B80385" w:rsidRPr="00B80385">
          <w:rPr>
            <w:rStyle w:val="Collegamentoipertestuale"/>
            <w:noProof/>
            <w:sz w:val="22"/>
            <w:szCs w:val="22"/>
          </w:rPr>
          <w:t>5.4</w:t>
        </w:r>
        <w:r w:rsidR="00B80385" w:rsidRPr="00B80385">
          <w:rPr>
            <w:rFonts w:asciiTheme="minorHAnsi" w:eastAsiaTheme="minorEastAsia" w:hAnsiTheme="minorHAnsi" w:cstheme="minorBidi"/>
            <w:noProof/>
            <w:lang w:val="it-CH" w:eastAsia="it-CH"/>
          </w:rPr>
          <w:tab/>
        </w:r>
        <w:r w:rsidR="00B80385" w:rsidRPr="00B80385">
          <w:rPr>
            <w:rStyle w:val="Collegamentoipertestuale"/>
            <w:noProof/>
            <w:sz w:val="22"/>
            <w:szCs w:val="22"/>
          </w:rPr>
          <w:t>Proposte di modifica di Legge (p.to 4 del Messaggio n. 7768)</w:t>
        </w:r>
        <w:r w:rsidR="00B80385" w:rsidRPr="00B80385">
          <w:rPr>
            <w:noProof/>
            <w:webHidden/>
          </w:rPr>
          <w:tab/>
        </w:r>
        <w:r w:rsidR="00B80385" w:rsidRPr="00B80385">
          <w:rPr>
            <w:noProof/>
            <w:webHidden/>
          </w:rPr>
          <w:fldChar w:fldCharType="begin"/>
        </w:r>
        <w:r w:rsidR="00B80385" w:rsidRPr="00B80385">
          <w:rPr>
            <w:noProof/>
            <w:webHidden/>
          </w:rPr>
          <w:instrText xml:space="preserve"> PAGEREF _Toc39677876 \h </w:instrText>
        </w:r>
        <w:r w:rsidR="00B80385" w:rsidRPr="00B80385">
          <w:rPr>
            <w:noProof/>
            <w:webHidden/>
          </w:rPr>
        </w:r>
        <w:r w:rsidR="00B80385" w:rsidRPr="00B80385">
          <w:rPr>
            <w:noProof/>
            <w:webHidden/>
          </w:rPr>
          <w:fldChar w:fldCharType="separate"/>
        </w:r>
        <w:r w:rsidR="00646F6C">
          <w:rPr>
            <w:noProof/>
            <w:webHidden/>
          </w:rPr>
          <w:t>17</w:t>
        </w:r>
        <w:r w:rsidR="00B80385" w:rsidRPr="00B80385">
          <w:rPr>
            <w:noProof/>
            <w:webHidden/>
          </w:rPr>
          <w:fldChar w:fldCharType="end"/>
        </w:r>
      </w:hyperlink>
    </w:p>
    <w:p w:rsidR="00B80385" w:rsidRPr="00B80385" w:rsidRDefault="001C138E" w:rsidP="00B80385">
      <w:pPr>
        <w:pStyle w:val="Sommario1"/>
        <w:tabs>
          <w:tab w:val="left" w:pos="420"/>
          <w:tab w:val="left" w:pos="709"/>
          <w:tab w:val="right" w:leader="dot" w:pos="9628"/>
        </w:tabs>
        <w:rPr>
          <w:rFonts w:asciiTheme="minorHAnsi" w:eastAsiaTheme="minorEastAsia" w:hAnsiTheme="minorHAnsi" w:cstheme="minorBidi"/>
          <w:caps w:val="0"/>
          <w:noProof/>
          <w:sz w:val="22"/>
          <w:szCs w:val="22"/>
          <w:lang w:val="it-CH" w:eastAsia="it-CH"/>
        </w:rPr>
      </w:pPr>
      <w:hyperlink w:anchor="_Toc39677877" w:history="1">
        <w:r w:rsidR="00B80385" w:rsidRPr="00B80385">
          <w:rPr>
            <w:rStyle w:val="Collegamentoipertestuale"/>
            <w:noProof/>
            <w:sz w:val="22"/>
            <w:szCs w:val="22"/>
          </w:rPr>
          <w:t>6.</w:t>
        </w:r>
        <w:r w:rsidR="00B80385" w:rsidRPr="00B80385">
          <w:rPr>
            <w:rFonts w:asciiTheme="minorHAnsi" w:eastAsiaTheme="minorEastAsia" w:hAnsiTheme="minorHAnsi" w:cstheme="minorBidi"/>
            <w:caps w:val="0"/>
            <w:noProof/>
            <w:sz w:val="22"/>
            <w:szCs w:val="22"/>
            <w:lang w:val="it-CH" w:eastAsia="it-CH"/>
          </w:rPr>
          <w:tab/>
        </w:r>
        <w:r w:rsidR="00B80385" w:rsidRPr="00B80385">
          <w:rPr>
            <w:rStyle w:val="Collegamentoipertestuale"/>
            <w:noProof/>
            <w:sz w:val="22"/>
            <w:szCs w:val="22"/>
          </w:rPr>
          <w:t>Conclusioni</w:t>
        </w:r>
        <w:r w:rsidR="00B80385" w:rsidRPr="00B80385">
          <w:rPr>
            <w:noProof/>
            <w:webHidden/>
            <w:sz w:val="22"/>
            <w:szCs w:val="22"/>
          </w:rPr>
          <w:tab/>
        </w:r>
        <w:r w:rsidR="00B80385" w:rsidRPr="00B80385">
          <w:rPr>
            <w:noProof/>
            <w:webHidden/>
            <w:sz w:val="22"/>
            <w:szCs w:val="22"/>
          </w:rPr>
          <w:fldChar w:fldCharType="begin"/>
        </w:r>
        <w:r w:rsidR="00B80385" w:rsidRPr="00B80385">
          <w:rPr>
            <w:noProof/>
            <w:webHidden/>
            <w:sz w:val="22"/>
            <w:szCs w:val="22"/>
          </w:rPr>
          <w:instrText xml:space="preserve"> PAGEREF _Toc39677877 \h </w:instrText>
        </w:r>
        <w:r w:rsidR="00B80385" w:rsidRPr="00B80385">
          <w:rPr>
            <w:noProof/>
            <w:webHidden/>
            <w:sz w:val="22"/>
            <w:szCs w:val="22"/>
          </w:rPr>
        </w:r>
        <w:r w:rsidR="00B80385" w:rsidRPr="00B80385">
          <w:rPr>
            <w:noProof/>
            <w:webHidden/>
            <w:sz w:val="22"/>
            <w:szCs w:val="22"/>
          </w:rPr>
          <w:fldChar w:fldCharType="separate"/>
        </w:r>
        <w:r w:rsidR="00646F6C">
          <w:rPr>
            <w:noProof/>
            <w:webHidden/>
            <w:sz w:val="22"/>
            <w:szCs w:val="22"/>
          </w:rPr>
          <w:t>19</w:t>
        </w:r>
        <w:r w:rsidR="00B80385" w:rsidRPr="00B80385">
          <w:rPr>
            <w:noProof/>
            <w:webHidden/>
            <w:sz w:val="22"/>
            <w:szCs w:val="22"/>
          </w:rPr>
          <w:fldChar w:fldCharType="end"/>
        </w:r>
      </w:hyperlink>
    </w:p>
    <w:p w:rsidR="00B80385" w:rsidRPr="00B80385" w:rsidRDefault="00B80385" w:rsidP="00B80385">
      <w:pPr>
        <w:pStyle w:val="Sommario1"/>
        <w:tabs>
          <w:tab w:val="left" w:pos="709"/>
          <w:tab w:val="right" w:leader="dot" w:pos="9628"/>
        </w:tabs>
        <w:rPr>
          <w:rFonts w:asciiTheme="minorHAnsi" w:eastAsiaTheme="minorEastAsia" w:hAnsiTheme="minorHAnsi" w:cstheme="minorBidi"/>
          <w:caps w:val="0"/>
          <w:noProof/>
          <w:sz w:val="22"/>
          <w:szCs w:val="22"/>
          <w:lang w:val="it-CH" w:eastAsia="it-CH"/>
        </w:rPr>
      </w:pPr>
    </w:p>
    <w:p w:rsidR="002B5656" w:rsidRDefault="00B80385" w:rsidP="00B80385">
      <w:pPr>
        <w:tabs>
          <w:tab w:val="left" w:pos="284"/>
          <w:tab w:val="left" w:pos="426"/>
          <w:tab w:val="left" w:pos="709"/>
          <w:tab w:val="left" w:pos="4962"/>
        </w:tabs>
        <w:ind w:right="-1"/>
        <w:rPr>
          <w:rFonts w:cs="Arial"/>
          <w:sz w:val="22"/>
        </w:rPr>
      </w:pPr>
      <w:r w:rsidRPr="00B80385">
        <w:rPr>
          <w:rFonts w:cs="Arial"/>
          <w:sz w:val="22"/>
        </w:rPr>
        <w:fldChar w:fldCharType="end"/>
      </w:r>
    </w:p>
    <w:p w:rsidR="00B80385" w:rsidRDefault="00B80385" w:rsidP="00B80385">
      <w:pPr>
        <w:tabs>
          <w:tab w:val="left" w:pos="284"/>
          <w:tab w:val="left" w:pos="426"/>
          <w:tab w:val="left" w:pos="709"/>
          <w:tab w:val="left" w:pos="4962"/>
        </w:tabs>
        <w:ind w:right="-1"/>
        <w:rPr>
          <w:rFonts w:cs="Arial"/>
          <w:sz w:val="22"/>
        </w:rPr>
      </w:pPr>
    </w:p>
    <w:p w:rsidR="00B80385" w:rsidRPr="00B80385" w:rsidRDefault="00B80385" w:rsidP="00B80385">
      <w:pPr>
        <w:tabs>
          <w:tab w:val="left" w:pos="284"/>
          <w:tab w:val="left" w:pos="426"/>
          <w:tab w:val="left" w:pos="709"/>
          <w:tab w:val="left" w:pos="4962"/>
        </w:tabs>
        <w:ind w:right="-1"/>
        <w:jc w:val="center"/>
        <w:rPr>
          <w:rFonts w:cs="Arial"/>
          <w:sz w:val="28"/>
          <w:szCs w:val="28"/>
        </w:rPr>
      </w:pPr>
      <w:r w:rsidRPr="00B80385">
        <w:rPr>
          <w:rFonts w:cs="Arial"/>
          <w:sz w:val="28"/>
          <w:szCs w:val="28"/>
        </w:rPr>
        <w:sym w:font="Wingdings" w:char="F0AF"/>
      </w:r>
      <w:r w:rsidRPr="00B80385">
        <w:rPr>
          <w:rFonts w:cs="Arial"/>
          <w:sz w:val="28"/>
          <w:szCs w:val="28"/>
        </w:rPr>
        <w:t xml:space="preserve"> </w:t>
      </w:r>
      <w:r w:rsidRPr="00B80385">
        <w:rPr>
          <w:rFonts w:cs="Arial"/>
          <w:sz w:val="28"/>
          <w:szCs w:val="28"/>
        </w:rPr>
        <w:sym w:font="Wingdings" w:char="F0AF"/>
      </w:r>
      <w:r w:rsidRPr="00B80385">
        <w:rPr>
          <w:rFonts w:cs="Arial"/>
          <w:sz w:val="28"/>
          <w:szCs w:val="28"/>
        </w:rPr>
        <w:t xml:space="preserve"> </w:t>
      </w:r>
      <w:r w:rsidRPr="00B80385">
        <w:rPr>
          <w:rFonts w:cs="Arial"/>
          <w:sz w:val="28"/>
          <w:szCs w:val="28"/>
        </w:rPr>
        <w:sym w:font="Wingdings" w:char="F0AF"/>
      </w:r>
      <w:r w:rsidRPr="00B80385">
        <w:rPr>
          <w:rFonts w:cs="Arial"/>
          <w:sz w:val="28"/>
          <w:szCs w:val="28"/>
        </w:rPr>
        <w:t xml:space="preserve"> </w:t>
      </w:r>
      <w:r w:rsidRPr="00B80385">
        <w:rPr>
          <w:rFonts w:cs="Arial"/>
          <w:sz w:val="28"/>
          <w:szCs w:val="28"/>
        </w:rPr>
        <w:sym w:font="Wingdings" w:char="F0AF"/>
      </w:r>
      <w:r w:rsidRPr="00B80385">
        <w:rPr>
          <w:rFonts w:cs="Arial"/>
          <w:sz w:val="28"/>
          <w:szCs w:val="28"/>
        </w:rPr>
        <w:t xml:space="preserve"> </w:t>
      </w:r>
      <w:r w:rsidRPr="00B80385">
        <w:rPr>
          <w:rFonts w:cs="Arial"/>
          <w:sz w:val="28"/>
          <w:szCs w:val="28"/>
        </w:rPr>
        <w:sym w:font="Wingdings" w:char="F0AF"/>
      </w:r>
    </w:p>
    <w:p w:rsidR="00B80385" w:rsidRDefault="00B80385" w:rsidP="00B80385">
      <w:pPr>
        <w:tabs>
          <w:tab w:val="left" w:pos="284"/>
          <w:tab w:val="left" w:pos="426"/>
          <w:tab w:val="left" w:pos="709"/>
          <w:tab w:val="left" w:pos="4962"/>
        </w:tabs>
        <w:ind w:right="-1"/>
        <w:rPr>
          <w:rFonts w:cs="Arial"/>
          <w:sz w:val="22"/>
        </w:rPr>
      </w:pPr>
    </w:p>
    <w:p w:rsidR="002B5656" w:rsidRDefault="002B5656">
      <w:pPr>
        <w:rPr>
          <w:b/>
          <w:caps/>
          <w:szCs w:val="24"/>
          <w:lang w:val="it-IT" w:eastAsia="it-IT"/>
        </w:rPr>
      </w:pPr>
      <w:bookmarkStart w:id="1" w:name="_Toc32253658"/>
      <w:bookmarkStart w:id="2" w:name="_Toc37096435"/>
      <w:r>
        <w:br w:type="page"/>
      </w:r>
    </w:p>
    <w:p w:rsidR="003D2B50" w:rsidRPr="00620DBC" w:rsidRDefault="002B5656" w:rsidP="002B5656">
      <w:pPr>
        <w:pStyle w:val="Titolo1"/>
        <w:ind w:left="567" w:hanging="567"/>
      </w:pPr>
      <w:bookmarkStart w:id="3" w:name="_Toc39677863"/>
      <w:r>
        <w:lastRenderedPageBreak/>
        <w:t>1.</w:t>
      </w:r>
      <w:r>
        <w:tab/>
      </w:r>
      <w:r w:rsidR="003D2B50" w:rsidRPr="00620DBC">
        <w:t>Introduzione</w:t>
      </w:r>
      <w:bookmarkEnd w:id="1"/>
      <w:bookmarkEnd w:id="2"/>
      <w:bookmarkEnd w:id="3"/>
    </w:p>
    <w:p w:rsidR="003D2B50" w:rsidRDefault="003D2B50" w:rsidP="003D2B50">
      <w:pPr>
        <w:pStyle w:val="Corpotesto"/>
        <w:tabs>
          <w:tab w:val="clear" w:pos="284"/>
          <w:tab w:val="clear" w:pos="426"/>
          <w:tab w:val="clear" w:pos="4962"/>
        </w:tabs>
        <w:rPr>
          <w:rFonts w:cs="Arial"/>
        </w:rPr>
      </w:pPr>
      <w:r w:rsidRPr="003F7676">
        <w:rPr>
          <w:rFonts w:cs="Arial"/>
        </w:rPr>
        <w:t>A quattro anni dall’introduzione della nuova Legge per l’innovazione economica (</w:t>
      </w:r>
      <w:proofErr w:type="spellStart"/>
      <w:r w:rsidRPr="003F7676">
        <w:rPr>
          <w:rFonts w:cs="Arial"/>
        </w:rPr>
        <w:t>LInn</w:t>
      </w:r>
      <w:proofErr w:type="spellEnd"/>
      <w:r w:rsidRPr="003F7676">
        <w:rPr>
          <w:rFonts w:cs="Arial"/>
        </w:rPr>
        <w:t xml:space="preserve">), approvata dal Gran Consiglio nella sua seduta del 14 dicembre 2015 ed entrata in vigore il 5 febbraio 2016, il messaggio governativo n. 7768 dell’11 dicembre 2019 </w:t>
      </w:r>
      <w:r>
        <w:rPr>
          <w:rFonts w:cs="Arial"/>
        </w:rPr>
        <w:t>conferma un</w:t>
      </w:r>
      <w:r w:rsidRPr="003F7676">
        <w:rPr>
          <w:rFonts w:cs="Arial"/>
        </w:rPr>
        <w:t xml:space="preserve"> bilancio sostanzialmente positivo, già tracciato con la presentazione del primo bilancio intermedio (</w:t>
      </w:r>
      <w:r w:rsidRPr="00CA15CE">
        <w:rPr>
          <w:rFonts w:cs="Arial"/>
          <w:i/>
        </w:rPr>
        <w:t>vedi messaggio n. 7557 del 4 luglio 2018</w:t>
      </w:r>
      <w:r w:rsidRPr="003F7676">
        <w:rPr>
          <w:rFonts w:cs="Arial"/>
        </w:rPr>
        <w:t>)</w:t>
      </w:r>
      <w:r>
        <w:rPr>
          <w:rFonts w:cs="Arial"/>
        </w:rPr>
        <w:t>. Con il messaggio si</w:t>
      </w:r>
      <w:r w:rsidRPr="003F7676">
        <w:rPr>
          <w:rFonts w:cs="Arial"/>
        </w:rPr>
        <w:t xml:space="preserve"> chiede al Parlamento di rinnovare questo strumento, stanziando un credito quadro di </w:t>
      </w:r>
      <w:r>
        <w:rPr>
          <w:rFonts w:cs="Arial"/>
        </w:rPr>
        <w:br/>
        <w:t xml:space="preserve">CHF 20'000'000 milioni </w:t>
      </w:r>
      <w:r w:rsidRPr="003F7676">
        <w:rPr>
          <w:rFonts w:cs="Arial"/>
        </w:rPr>
        <w:t>per misure a sostegno dell’innovazione ai sensi della Legge per l’innovazione economica (</w:t>
      </w:r>
      <w:proofErr w:type="spellStart"/>
      <w:r w:rsidRPr="003F7676">
        <w:rPr>
          <w:rFonts w:cs="Arial"/>
        </w:rPr>
        <w:t>LInn</w:t>
      </w:r>
      <w:proofErr w:type="spellEnd"/>
      <w:r w:rsidRPr="003F7676">
        <w:rPr>
          <w:rFonts w:cs="Arial"/>
        </w:rPr>
        <w:t>) per il periodo 2020-2023.</w:t>
      </w:r>
    </w:p>
    <w:p w:rsidR="003D2B50" w:rsidRDefault="003D2B50" w:rsidP="003D2B50">
      <w:pPr>
        <w:pStyle w:val="Corpotesto"/>
        <w:tabs>
          <w:tab w:val="clear" w:pos="284"/>
          <w:tab w:val="clear" w:pos="426"/>
          <w:tab w:val="clear" w:pos="4962"/>
        </w:tabs>
        <w:rPr>
          <w:rFonts w:cs="Arial"/>
        </w:rPr>
      </w:pPr>
    </w:p>
    <w:p w:rsidR="003D2B50" w:rsidRDefault="003D2B50" w:rsidP="003D2B50">
      <w:pPr>
        <w:rPr>
          <w:rFonts w:cs="Arial"/>
        </w:rPr>
      </w:pPr>
      <w:r>
        <w:rPr>
          <w:rFonts w:cs="Arial"/>
        </w:rPr>
        <w:t>In aggiunta, i</w:t>
      </w:r>
      <w:r w:rsidRPr="003F7676">
        <w:rPr>
          <w:rFonts w:cs="Arial"/>
        </w:rPr>
        <w:t xml:space="preserve">l Consiglio di Stato coglie l’occasione per proporre alcune modifiche di legge </w:t>
      </w:r>
      <w:r w:rsidRPr="006F0402">
        <w:rPr>
          <w:rFonts w:cs="Arial"/>
        </w:rPr>
        <w:t xml:space="preserve">(vedi capitolo 5.2) </w:t>
      </w:r>
      <w:r w:rsidRPr="003F7676">
        <w:rPr>
          <w:rFonts w:cs="Arial"/>
        </w:rPr>
        <w:t xml:space="preserve">finalizzate ad agevolare la gestione delle richieste e il monitoraggio dei progetti sussidiati e </w:t>
      </w:r>
      <w:r w:rsidRPr="00CC0245">
        <w:rPr>
          <w:rFonts w:cs="Arial"/>
        </w:rPr>
        <w:t>presenta inoltre il programma di promozione dell’innovazione 2020-2023 elaborato secondo le norme di legge.</w:t>
      </w:r>
    </w:p>
    <w:p w:rsidR="00620DBC" w:rsidRPr="002B5656" w:rsidRDefault="00620DBC" w:rsidP="003D2B50">
      <w:pPr>
        <w:rPr>
          <w:rFonts w:cs="Arial"/>
          <w:sz w:val="20"/>
          <w:szCs w:val="20"/>
        </w:rPr>
      </w:pPr>
    </w:p>
    <w:p w:rsidR="002B5656" w:rsidRPr="002B5656" w:rsidRDefault="002B5656" w:rsidP="003D2B50">
      <w:pPr>
        <w:rPr>
          <w:rFonts w:cs="Arial"/>
          <w:sz w:val="20"/>
          <w:szCs w:val="20"/>
        </w:rPr>
      </w:pPr>
    </w:p>
    <w:p w:rsidR="00620DBC" w:rsidRPr="002B5656" w:rsidRDefault="00620DBC" w:rsidP="003D2B50">
      <w:pPr>
        <w:rPr>
          <w:rFonts w:cs="Arial"/>
          <w:sz w:val="20"/>
          <w:szCs w:val="20"/>
        </w:rPr>
      </w:pPr>
    </w:p>
    <w:p w:rsidR="003D2B50" w:rsidRPr="003F7676" w:rsidRDefault="002B5656" w:rsidP="002B5656">
      <w:pPr>
        <w:pStyle w:val="Titolo1"/>
        <w:ind w:left="567" w:hanging="567"/>
      </w:pPr>
      <w:bookmarkStart w:id="4" w:name="_Ref18477395"/>
      <w:bookmarkStart w:id="5" w:name="_Toc25326120"/>
      <w:bookmarkStart w:id="6" w:name="_Toc32253659"/>
      <w:bookmarkStart w:id="7" w:name="_Toc37096436"/>
      <w:bookmarkStart w:id="8" w:name="_Toc39677864"/>
      <w:bookmarkStart w:id="9" w:name="_Toc432594757"/>
      <w:r>
        <w:t>2.</w:t>
      </w:r>
      <w:r>
        <w:tab/>
      </w:r>
      <w:r w:rsidR="003D2B50" w:rsidRPr="003F7676">
        <w:t>Contesto e obiettivi della legge per l’innovazione economica</w:t>
      </w:r>
      <w:bookmarkEnd w:id="4"/>
      <w:bookmarkEnd w:id="5"/>
      <w:bookmarkEnd w:id="6"/>
      <w:bookmarkEnd w:id="7"/>
      <w:bookmarkEnd w:id="8"/>
    </w:p>
    <w:p w:rsidR="003D2B50" w:rsidRPr="003F7676" w:rsidRDefault="003D2B50" w:rsidP="003D2B50">
      <w:pPr>
        <w:pStyle w:val="Corpotesto"/>
        <w:tabs>
          <w:tab w:val="clear" w:pos="284"/>
          <w:tab w:val="clear" w:pos="426"/>
          <w:tab w:val="clear" w:pos="4962"/>
        </w:tabs>
        <w:rPr>
          <w:rFonts w:cs="Arial"/>
        </w:rPr>
      </w:pPr>
      <w:r w:rsidRPr="003F7676">
        <w:rPr>
          <w:rFonts w:cs="Arial"/>
        </w:rPr>
        <w:t>L’innovazione riveste un’importanza crescente nella strategia e nell’operatività delle imprese, grandi o piccole che siano. Lo sviluppo di nuovi prodotti e servizi, l’adozione di nuove tecnologie e l’innovazione dei modelli d’affari garantiscono la competitività delle imprese e, in definitiva, assicurano il benessere della popolazione e uno sviluppo sostenibile ed equilibrato. Un territorio che sa posizionarsi nella distribuzione internazionale del sapere e delle competenze investendo in formazione, ricerca e innovazione, può costruirsi migliori condizioni di vita presenti e maggiori opportunità di sviluppo future.</w:t>
      </w:r>
    </w:p>
    <w:p w:rsidR="003D2B50" w:rsidRPr="003F7676" w:rsidRDefault="003D2B50" w:rsidP="003D2B50">
      <w:pPr>
        <w:pStyle w:val="Corpotesto"/>
        <w:tabs>
          <w:tab w:val="clear" w:pos="284"/>
          <w:tab w:val="clear" w:pos="426"/>
          <w:tab w:val="clear" w:pos="4962"/>
        </w:tabs>
        <w:rPr>
          <w:rFonts w:cs="Arial"/>
        </w:rPr>
      </w:pPr>
    </w:p>
    <w:p w:rsidR="003D2B50" w:rsidRDefault="003D2B50" w:rsidP="003D2B50">
      <w:pPr>
        <w:pStyle w:val="Corpotesto"/>
        <w:tabs>
          <w:tab w:val="clear" w:pos="284"/>
          <w:tab w:val="clear" w:pos="426"/>
          <w:tab w:val="clear" w:pos="4962"/>
        </w:tabs>
        <w:rPr>
          <w:rFonts w:cs="Arial"/>
        </w:rPr>
      </w:pPr>
      <w:r w:rsidRPr="003F7676">
        <w:rPr>
          <w:rFonts w:cs="Arial"/>
        </w:rPr>
        <w:t xml:space="preserve">La Svizzera primeggia in tutte le classifiche internazionali dell’innovazione, in particolare per quanto riguarda le pubblicazioni scientifiche per abitante, i brevetti depositati, le norme a tutela della proprietà intellettuale, i tassi di successo delle domande depositate per l’accesso ai programmi internazionali di ricerca e i fondi ottenuti, così come per la collaborazione tra imprese e università nel campo della ricerca. </w:t>
      </w:r>
    </w:p>
    <w:p w:rsidR="003D2B50" w:rsidRDefault="003D2B50" w:rsidP="003D2B50">
      <w:pPr>
        <w:pStyle w:val="Corpotesto"/>
        <w:tabs>
          <w:tab w:val="clear" w:pos="284"/>
          <w:tab w:val="clear" w:pos="426"/>
          <w:tab w:val="clear" w:pos="4962"/>
        </w:tabs>
        <w:rPr>
          <w:rFonts w:cs="Arial"/>
        </w:rPr>
      </w:pPr>
    </w:p>
    <w:p w:rsidR="003D2B50" w:rsidRPr="003F7676" w:rsidRDefault="003D2B50" w:rsidP="003D2B50">
      <w:pPr>
        <w:pStyle w:val="Corpotesto"/>
        <w:tabs>
          <w:tab w:val="clear" w:pos="284"/>
          <w:tab w:val="clear" w:pos="426"/>
          <w:tab w:val="clear" w:pos="4962"/>
        </w:tabs>
        <w:rPr>
          <w:rFonts w:cs="Arial"/>
        </w:rPr>
      </w:pPr>
      <w:r w:rsidRPr="003F7676">
        <w:rPr>
          <w:rFonts w:cs="Arial"/>
        </w:rPr>
        <w:t xml:space="preserve">Le condizioni quadro che offre la piazza economica svizzera sono ottime e rendono il Paese attrattivo per le attività a vocazione innovativa. La presenza simultanea in Svizzera di istituzioni pubbliche di ricerca di altissimo livello, ben classificate a livello internazionale, e di imprese multinazionali con i loro centri di ricerca e sviluppo attivi su scala mondiale, costituisce un ulteriore fattore d’attrazione per le imprese innovative. </w:t>
      </w:r>
    </w:p>
    <w:p w:rsidR="003D2B50" w:rsidRPr="003F7676" w:rsidRDefault="003D2B50" w:rsidP="003D2B50">
      <w:pPr>
        <w:pStyle w:val="Corpotesto"/>
        <w:tabs>
          <w:tab w:val="clear" w:pos="284"/>
          <w:tab w:val="clear" w:pos="426"/>
          <w:tab w:val="clear" w:pos="4962"/>
        </w:tabs>
        <w:rPr>
          <w:rFonts w:cs="Arial"/>
        </w:rPr>
      </w:pPr>
    </w:p>
    <w:p w:rsidR="003D2B50" w:rsidRDefault="003D2B50" w:rsidP="003D2B50">
      <w:pPr>
        <w:pStyle w:val="Corpotesto"/>
        <w:tabs>
          <w:tab w:val="clear" w:pos="284"/>
          <w:tab w:val="clear" w:pos="426"/>
          <w:tab w:val="clear" w:pos="4962"/>
        </w:tabs>
        <w:rPr>
          <w:rFonts w:cs="Arial"/>
        </w:rPr>
      </w:pPr>
      <w:r w:rsidRPr="003F7676">
        <w:rPr>
          <w:rFonts w:cs="Arial"/>
        </w:rPr>
        <w:t xml:space="preserve">In Ticino, grazie ai numerosi sforzi intrapresi negli ultimi anni in particolare con la politica universitaria e con la politica economica regionale, si stanno consolidando le basi per un rafforzamento del sistema regionale dell’innovazione. </w:t>
      </w:r>
    </w:p>
    <w:p w:rsidR="003D2B50" w:rsidRDefault="003D2B50" w:rsidP="003D2B50">
      <w:pPr>
        <w:pStyle w:val="Corpotesto"/>
        <w:tabs>
          <w:tab w:val="clear" w:pos="284"/>
          <w:tab w:val="clear" w:pos="426"/>
          <w:tab w:val="clear" w:pos="4962"/>
        </w:tabs>
        <w:rPr>
          <w:rFonts w:cs="Arial"/>
        </w:rPr>
      </w:pPr>
    </w:p>
    <w:p w:rsidR="003D2B50" w:rsidRDefault="003D2B50" w:rsidP="003D2B50">
      <w:pPr>
        <w:pStyle w:val="Corpotesto"/>
        <w:tabs>
          <w:tab w:val="clear" w:pos="284"/>
          <w:tab w:val="clear" w:pos="426"/>
          <w:tab w:val="clear" w:pos="4962"/>
        </w:tabs>
        <w:rPr>
          <w:rFonts w:cs="Arial"/>
        </w:rPr>
      </w:pPr>
      <w:r w:rsidRPr="003F7676">
        <w:rPr>
          <w:rFonts w:cs="Arial"/>
        </w:rPr>
        <w:t xml:space="preserve">Come evidenziato nel Programma d’attuazione 2020-2023 della politica economica </w:t>
      </w:r>
      <w:r w:rsidRPr="00CC0245">
        <w:rPr>
          <w:rFonts w:cs="Arial"/>
        </w:rPr>
        <w:t>regionale</w:t>
      </w:r>
      <w:r w:rsidRPr="00CC0245">
        <w:rPr>
          <w:rStyle w:val="Rimandonotaapidipagina"/>
          <w:rFonts w:cs="Arial"/>
        </w:rPr>
        <w:footnoteReference w:id="1"/>
      </w:r>
      <w:r w:rsidRPr="00CC0245">
        <w:rPr>
          <w:rFonts w:cs="Arial"/>
        </w:rPr>
        <w:t>,</w:t>
      </w:r>
      <w:r w:rsidRPr="003F7676">
        <w:rPr>
          <w:rFonts w:cs="Arial"/>
        </w:rPr>
        <w:t xml:space="preserve"> negli ultimi anni sono sicuramente </w:t>
      </w:r>
      <w:r w:rsidRPr="00226DDA">
        <w:rPr>
          <w:rFonts w:cs="Arial"/>
        </w:rPr>
        <w:t>migliorate in Ticino le condizioni quadro che favoriscono la nascita e lo sviluppo di attività innovative</w:t>
      </w:r>
      <w:r>
        <w:rPr>
          <w:rFonts w:cs="Arial"/>
        </w:rPr>
        <w:t>.</w:t>
      </w:r>
    </w:p>
    <w:p w:rsidR="003D2B50" w:rsidRDefault="003D2B50" w:rsidP="003D2B50">
      <w:pPr>
        <w:pStyle w:val="Corpotesto"/>
        <w:tabs>
          <w:tab w:val="clear" w:pos="284"/>
          <w:tab w:val="clear" w:pos="426"/>
          <w:tab w:val="clear" w:pos="4962"/>
        </w:tabs>
        <w:rPr>
          <w:rFonts w:cs="Arial"/>
        </w:rPr>
      </w:pPr>
    </w:p>
    <w:p w:rsidR="003D2B50" w:rsidRDefault="003D2B50" w:rsidP="003D2B50">
      <w:pPr>
        <w:pStyle w:val="Corpotesto"/>
        <w:tabs>
          <w:tab w:val="clear" w:pos="284"/>
          <w:tab w:val="clear" w:pos="426"/>
          <w:tab w:val="clear" w:pos="4962"/>
        </w:tabs>
        <w:rPr>
          <w:rFonts w:cs="Arial"/>
        </w:rPr>
      </w:pPr>
      <w:r w:rsidRPr="003F7676">
        <w:rPr>
          <w:rFonts w:cs="Arial"/>
        </w:rPr>
        <w:t xml:space="preserve">Con il significativo apporto della Legge per l’innovazione economica e la realizzazione di alcuni progetti strategici – primo tra tutti l’ottenimento di una sede di rete del parco svizzero dell’innovazione </w:t>
      </w:r>
      <w:proofErr w:type="spellStart"/>
      <w:r w:rsidRPr="003F7676">
        <w:rPr>
          <w:rFonts w:cs="Arial"/>
        </w:rPr>
        <w:t>Switzerland</w:t>
      </w:r>
      <w:proofErr w:type="spellEnd"/>
      <w:r w:rsidRPr="003F7676">
        <w:rPr>
          <w:rFonts w:cs="Arial"/>
        </w:rPr>
        <w:t xml:space="preserve"> </w:t>
      </w:r>
      <w:proofErr w:type="spellStart"/>
      <w:r w:rsidRPr="003F7676">
        <w:rPr>
          <w:rFonts w:cs="Arial"/>
        </w:rPr>
        <w:t>Innovation</w:t>
      </w:r>
      <w:proofErr w:type="spellEnd"/>
      <w:r w:rsidRPr="003F7676">
        <w:rPr>
          <w:rFonts w:cs="Arial"/>
        </w:rPr>
        <w:t xml:space="preserve"> – il nostro </w:t>
      </w:r>
      <w:r w:rsidRPr="00CC0245">
        <w:rPr>
          <w:rFonts w:cs="Arial"/>
        </w:rPr>
        <w:t>Cantone</w:t>
      </w:r>
      <w:r w:rsidRPr="003F7676">
        <w:rPr>
          <w:rFonts w:cs="Arial"/>
        </w:rPr>
        <w:t xml:space="preserve"> ambisce a raggiungere una </w:t>
      </w:r>
      <w:r w:rsidRPr="003F7676">
        <w:rPr>
          <w:rFonts w:cs="Arial"/>
        </w:rPr>
        <w:lastRenderedPageBreak/>
        <w:t xml:space="preserve">posizione di assoluta rilevanza sul piano nazionale e internazionale sotto il profilo della ricerca e dell’innovazione. </w:t>
      </w:r>
    </w:p>
    <w:p w:rsidR="003D2B50" w:rsidRDefault="003D2B50" w:rsidP="003D2B50">
      <w:pPr>
        <w:pStyle w:val="Corpotesto"/>
        <w:tabs>
          <w:tab w:val="clear" w:pos="284"/>
          <w:tab w:val="clear" w:pos="426"/>
          <w:tab w:val="clear" w:pos="4962"/>
        </w:tabs>
        <w:rPr>
          <w:rFonts w:cs="Arial"/>
        </w:rPr>
      </w:pPr>
    </w:p>
    <w:p w:rsidR="003D2B50" w:rsidRPr="003F7676" w:rsidRDefault="003D2B50" w:rsidP="003D2B50">
      <w:pPr>
        <w:pStyle w:val="Corpotesto"/>
        <w:tabs>
          <w:tab w:val="clear" w:pos="284"/>
          <w:tab w:val="clear" w:pos="426"/>
          <w:tab w:val="clear" w:pos="4962"/>
        </w:tabs>
        <w:rPr>
          <w:rFonts w:cs="Arial"/>
        </w:rPr>
      </w:pPr>
      <w:r w:rsidRPr="003F7676">
        <w:rPr>
          <w:rFonts w:cs="Arial"/>
        </w:rPr>
        <w:t xml:space="preserve">Secondo </w:t>
      </w:r>
      <w:r w:rsidRPr="00926779">
        <w:rPr>
          <w:rFonts w:cs="Arial"/>
          <w:i/>
        </w:rPr>
        <w:t xml:space="preserve">il </w:t>
      </w:r>
      <w:proofErr w:type="spellStart"/>
      <w:r w:rsidRPr="00926779">
        <w:rPr>
          <w:rFonts w:cs="Arial"/>
          <w:i/>
        </w:rPr>
        <w:t>Regional</w:t>
      </w:r>
      <w:proofErr w:type="spellEnd"/>
      <w:r w:rsidRPr="00926779">
        <w:rPr>
          <w:rFonts w:cs="Arial"/>
          <w:i/>
        </w:rPr>
        <w:t xml:space="preserve"> </w:t>
      </w:r>
      <w:proofErr w:type="spellStart"/>
      <w:r>
        <w:rPr>
          <w:rFonts w:cs="Arial"/>
          <w:i/>
        </w:rPr>
        <w:t>I</w:t>
      </w:r>
      <w:r w:rsidRPr="00926779">
        <w:rPr>
          <w:rFonts w:cs="Arial"/>
          <w:i/>
        </w:rPr>
        <w:t>nnovation</w:t>
      </w:r>
      <w:proofErr w:type="spellEnd"/>
      <w:r w:rsidRPr="00926779">
        <w:rPr>
          <w:rFonts w:cs="Arial"/>
          <w:i/>
        </w:rPr>
        <w:t xml:space="preserve"> </w:t>
      </w:r>
      <w:proofErr w:type="spellStart"/>
      <w:r w:rsidRPr="00926779">
        <w:rPr>
          <w:rFonts w:cs="Arial"/>
          <w:i/>
        </w:rPr>
        <w:t>Scoreboard</w:t>
      </w:r>
      <w:proofErr w:type="spellEnd"/>
      <w:r w:rsidRPr="00926779">
        <w:rPr>
          <w:rFonts w:cs="Arial"/>
          <w:i/>
        </w:rPr>
        <w:t xml:space="preserve"> 2019</w:t>
      </w:r>
      <w:bookmarkStart w:id="10" w:name="_Hlk33596738"/>
      <w:r w:rsidRPr="003F7676">
        <w:rPr>
          <w:rStyle w:val="Rimandonotaapidipagina"/>
          <w:rFonts w:cs="Arial"/>
        </w:rPr>
        <w:footnoteReference w:id="2"/>
      </w:r>
      <w:bookmarkEnd w:id="10"/>
      <w:r w:rsidRPr="003F7676">
        <w:rPr>
          <w:rFonts w:cs="Arial"/>
        </w:rPr>
        <w:t xml:space="preserve">, che situa il </w:t>
      </w:r>
      <w:r w:rsidRPr="00E978EC">
        <w:rPr>
          <w:rFonts w:cs="Arial"/>
          <w:u w:val="single"/>
        </w:rPr>
        <w:t>Ticino al secondo posto dopo Zurigo tra 238 regioni europee</w:t>
      </w:r>
      <w:r w:rsidRPr="00595D40">
        <w:rPr>
          <w:rFonts w:cs="Arial"/>
          <w:b/>
        </w:rPr>
        <w:t xml:space="preserve"> </w:t>
      </w:r>
      <w:r w:rsidRPr="003F7676">
        <w:rPr>
          <w:rFonts w:cs="Arial"/>
        </w:rPr>
        <w:t>in termini di innovazione (con il più grande balzo in avanti tra le grandi regioni svizzere rispetto alla ri</w:t>
      </w:r>
      <w:r>
        <w:rPr>
          <w:rFonts w:cs="Arial"/>
        </w:rPr>
        <w:t>levazione del 2011), il nostro C</w:t>
      </w:r>
      <w:r w:rsidRPr="003F7676">
        <w:rPr>
          <w:rFonts w:cs="Arial"/>
        </w:rPr>
        <w:t>antone è al primo posto per l’introduzione di innovazioni di marketing o organizzative e per la percentuale di piccole e medie imprese (PMI) che hanno realizzato un’innovazione internamente (</w:t>
      </w:r>
      <w:r>
        <w:rPr>
          <w:rFonts w:cs="Arial"/>
        </w:rPr>
        <w:t xml:space="preserve">definito </w:t>
      </w:r>
      <w:r w:rsidRPr="00926779">
        <w:rPr>
          <w:rFonts w:cs="Arial"/>
          <w:i/>
        </w:rPr>
        <w:t>in-</w:t>
      </w:r>
      <w:proofErr w:type="spellStart"/>
      <w:r w:rsidRPr="00926779">
        <w:rPr>
          <w:rFonts w:cs="Arial"/>
          <w:i/>
        </w:rPr>
        <w:t>house</w:t>
      </w:r>
      <w:proofErr w:type="spellEnd"/>
      <w:r w:rsidRPr="003F7676">
        <w:rPr>
          <w:rFonts w:cs="Arial"/>
        </w:rPr>
        <w:t>) e al secondo posto per l’introduzione di innovazioni di prodotto o di servizio e per il deposito di marchi.</w:t>
      </w:r>
    </w:p>
    <w:p w:rsidR="003D2B50" w:rsidRPr="003F7676" w:rsidRDefault="003D2B50" w:rsidP="003D2B50">
      <w:pPr>
        <w:pStyle w:val="Corpotesto"/>
        <w:tabs>
          <w:tab w:val="clear" w:pos="284"/>
          <w:tab w:val="clear" w:pos="426"/>
          <w:tab w:val="clear" w:pos="4962"/>
        </w:tabs>
        <w:rPr>
          <w:rFonts w:cs="Arial"/>
        </w:rPr>
      </w:pPr>
    </w:p>
    <w:p w:rsidR="003D2B50" w:rsidRPr="0050758A" w:rsidRDefault="003D2B50" w:rsidP="003D2B50">
      <w:pPr>
        <w:pStyle w:val="Corpotesto"/>
        <w:rPr>
          <w:rFonts w:cs="Arial"/>
        </w:rPr>
      </w:pPr>
      <w:r w:rsidRPr="0050758A">
        <w:rPr>
          <w:rFonts w:cs="Arial"/>
        </w:rPr>
        <w:t>La politica dell’innovazione, che in Ticino si articola come per tutte le altre politiche di sviluppo economico sui tre livelli:</w:t>
      </w:r>
    </w:p>
    <w:p w:rsidR="003D2B50" w:rsidRPr="0050758A" w:rsidRDefault="003D2B50" w:rsidP="00203F24">
      <w:pPr>
        <w:pStyle w:val="Corpotesto"/>
        <w:numPr>
          <w:ilvl w:val="0"/>
          <w:numId w:val="43"/>
        </w:numPr>
        <w:tabs>
          <w:tab w:val="clear" w:pos="426"/>
        </w:tabs>
        <w:spacing w:before="40"/>
        <w:ind w:left="284" w:hanging="284"/>
        <w:rPr>
          <w:rFonts w:cs="Arial"/>
        </w:rPr>
      </w:pPr>
      <w:r w:rsidRPr="0050758A">
        <w:rPr>
          <w:rFonts w:cs="Arial"/>
        </w:rPr>
        <w:t>del sostegno alle condizioni quadro;</w:t>
      </w:r>
    </w:p>
    <w:p w:rsidR="003D2B50" w:rsidRPr="0050758A" w:rsidRDefault="003D2B50" w:rsidP="00203F24">
      <w:pPr>
        <w:pStyle w:val="Corpotesto"/>
        <w:numPr>
          <w:ilvl w:val="0"/>
          <w:numId w:val="43"/>
        </w:numPr>
        <w:tabs>
          <w:tab w:val="clear" w:pos="426"/>
        </w:tabs>
        <w:spacing w:before="40"/>
        <w:ind w:left="284" w:hanging="284"/>
        <w:rPr>
          <w:rFonts w:cs="Arial"/>
        </w:rPr>
      </w:pPr>
      <w:r w:rsidRPr="0050758A">
        <w:rPr>
          <w:rFonts w:cs="Arial"/>
        </w:rPr>
        <w:t>del sostegno diretto a iniziative innovative;</w:t>
      </w:r>
    </w:p>
    <w:p w:rsidR="003D2B50" w:rsidRPr="0050758A" w:rsidRDefault="003D2B50" w:rsidP="00203F24">
      <w:pPr>
        <w:pStyle w:val="Corpotesto"/>
        <w:numPr>
          <w:ilvl w:val="0"/>
          <w:numId w:val="43"/>
        </w:numPr>
        <w:tabs>
          <w:tab w:val="clear" w:pos="426"/>
        </w:tabs>
        <w:spacing w:before="40"/>
        <w:ind w:left="284" w:hanging="284"/>
        <w:rPr>
          <w:rFonts w:cs="Arial"/>
        </w:rPr>
      </w:pPr>
      <w:r w:rsidRPr="0050758A">
        <w:rPr>
          <w:rFonts w:cs="Arial"/>
        </w:rPr>
        <w:t>della promozione attiva;</w:t>
      </w:r>
    </w:p>
    <w:p w:rsidR="003D2B50" w:rsidRDefault="003D2B50" w:rsidP="00203F24">
      <w:pPr>
        <w:pStyle w:val="Corpotesto"/>
        <w:tabs>
          <w:tab w:val="clear" w:pos="284"/>
          <w:tab w:val="clear" w:pos="426"/>
          <w:tab w:val="clear" w:pos="4962"/>
        </w:tabs>
        <w:spacing w:before="40"/>
        <w:rPr>
          <w:rFonts w:cs="Arial"/>
        </w:rPr>
      </w:pPr>
      <w:r w:rsidRPr="0050758A">
        <w:rPr>
          <w:rFonts w:cs="Arial"/>
        </w:rPr>
        <w:t>rappresenta un ambito d’intervento prioritario per il Consiglio di Stato, come ben descritto dall’obiettivo 19 del programma di legislatura 2019-2023, di seguito citato.</w:t>
      </w:r>
    </w:p>
    <w:p w:rsidR="003D2B50" w:rsidRDefault="003D2B50" w:rsidP="003D2B50">
      <w:pPr>
        <w:pStyle w:val="Corpotesto"/>
        <w:tabs>
          <w:tab w:val="clear" w:pos="284"/>
          <w:tab w:val="clear" w:pos="426"/>
          <w:tab w:val="clear" w:pos="4962"/>
        </w:tabs>
        <w:rPr>
          <w:rFonts w:cs="Arial"/>
        </w:rPr>
      </w:pPr>
    </w:p>
    <w:p w:rsidR="003D2B50" w:rsidRPr="00620DBC" w:rsidRDefault="003D2B50" w:rsidP="003D2B50">
      <w:pPr>
        <w:pStyle w:val="Corpotesto"/>
        <w:tabs>
          <w:tab w:val="clear" w:pos="284"/>
          <w:tab w:val="clear" w:pos="426"/>
          <w:tab w:val="clear" w:pos="4962"/>
        </w:tabs>
        <w:rPr>
          <w:rFonts w:cs="Arial"/>
          <w:sz w:val="23"/>
          <w:szCs w:val="23"/>
        </w:rPr>
      </w:pPr>
      <w:r w:rsidRPr="00620DBC">
        <w:rPr>
          <w:rFonts w:cs="Arial"/>
          <w:sz w:val="23"/>
          <w:szCs w:val="23"/>
        </w:rPr>
        <w:t>“</w:t>
      </w:r>
      <w:r w:rsidRPr="00620DBC">
        <w:rPr>
          <w:rFonts w:cs="Arial"/>
          <w:i/>
          <w:sz w:val="23"/>
          <w:szCs w:val="23"/>
        </w:rPr>
        <w:t>La crescita duratura, sostenibile e armoniosa dell’economia ticinese è possibile grazie a un ecosistema favorevole all’imprenditorialità che funga da stimolo all’innovazione. Grazie al consolidamento dei molti strumenti messi in atto in questo ambito, così come a una sempre più efficace messa in rete delle competenze e degli attori economici, accademici e istituzionali presenti in Ticino, sarà possibile rinforzare le basi su cui poggiano i tre pilastri che compongono la strategia di sviluppo economico</w:t>
      </w:r>
      <w:r w:rsidRPr="00620DBC">
        <w:rPr>
          <w:rFonts w:cs="Arial"/>
          <w:sz w:val="23"/>
          <w:szCs w:val="23"/>
        </w:rPr>
        <w:t xml:space="preserve">” </w:t>
      </w:r>
    </w:p>
    <w:p w:rsidR="00620DBC" w:rsidRPr="003F7676" w:rsidRDefault="00620DBC" w:rsidP="003D2B50">
      <w:pPr>
        <w:pStyle w:val="Corpotesto"/>
        <w:tabs>
          <w:tab w:val="clear" w:pos="284"/>
          <w:tab w:val="clear" w:pos="426"/>
          <w:tab w:val="clear" w:pos="4962"/>
        </w:tabs>
        <w:rPr>
          <w:rFonts w:cs="Arial"/>
        </w:rPr>
      </w:pPr>
    </w:p>
    <w:p w:rsidR="003D2B50" w:rsidRPr="00226DDA" w:rsidRDefault="003D2B50" w:rsidP="003D2B50">
      <w:pPr>
        <w:rPr>
          <w:rFonts w:cs="Arial"/>
        </w:rPr>
      </w:pPr>
      <w:r w:rsidRPr="00226DDA">
        <w:rPr>
          <w:rFonts w:cs="Arial"/>
        </w:rPr>
        <w:t>Ad eccezione delle misure indirette legate alle attività di informazione e di sensibilizzazione, la Legge per l’innovazione economica (</w:t>
      </w:r>
      <w:proofErr w:type="spellStart"/>
      <w:r w:rsidRPr="00226DDA">
        <w:rPr>
          <w:rFonts w:cs="Arial"/>
        </w:rPr>
        <w:t>LInn</w:t>
      </w:r>
      <w:proofErr w:type="spellEnd"/>
      <w:r w:rsidRPr="00226DDA">
        <w:rPr>
          <w:rFonts w:cs="Arial"/>
        </w:rPr>
        <w:t>) va ad inserirsi in una fase relativamente avanzata del processo di innovazione, sostenendo le imprese nei loro progetti di ricerca applicata, negli investimenti in ricerca e sviluppo, nello sviluppo e nell’acquisto di macchinari innovativi e</w:t>
      </w:r>
      <w:r>
        <w:rPr>
          <w:rFonts w:cs="Arial"/>
        </w:rPr>
        <w:t>,</w:t>
      </w:r>
      <w:r w:rsidRPr="00226DDA">
        <w:rPr>
          <w:rFonts w:cs="Arial"/>
        </w:rPr>
        <w:t xml:space="preserve"> infine</w:t>
      </w:r>
      <w:r>
        <w:rPr>
          <w:rFonts w:cs="Arial"/>
        </w:rPr>
        <w:t>,</w:t>
      </w:r>
      <w:r w:rsidRPr="00226DDA">
        <w:rPr>
          <w:rFonts w:cs="Arial"/>
        </w:rPr>
        <w:t xml:space="preserve"> nella commercializzazione su scala internazionale.</w:t>
      </w:r>
    </w:p>
    <w:p w:rsidR="003D2B50" w:rsidRDefault="003D2B50" w:rsidP="003D2B50">
      <w:pPr>
        <w:pStyle w:val="Corpotesto"/>
        <w:tabs>
          <w:tab w:val="clear" w:pos="284"/>
          <w:tab w:val="clear" w:pos="426"/>
          <w:tab w:val="clear" w:pos="4962"/>
        </w:tabs>
        <w:rPr>
          <w:rFonts w:cs="Arial"/>
        </w:rPr>
      </w:pPr>
      <w:r w:rsidRPr="00226DDA">
        <w:rPr>
          <w:rFonts w:cs="Arial"/>
        </w:rPr>
        <w:t xml:space="preserve">Infatti prima di questo processo, intervengono le misure di politica economica regionale, che concorrono a sostenere le PMI tramite attività di </w:t>
      </w:r>
      <w:proofErr w:type="spellStart"/>
      <w:r w:rsidRPr="00226DDA">
        <w:rPr>
          <w:rFonts w:cs="Arial"/>
        </w:rPr>
        <w:t>coaching</w:t>
      </w:r>
      <w:proofErr w:type="spellEnd"/>
      <w:r w:rsidRPr="00226DDA">
        <w:rPr>
          <w:rFonts w:cs="Arial"/>
        </w:rPr>
        <w:t xml:space="preserve"> e messa in rete, la realizzazione di centri di competenze e di infrastrutture per l’innovazione, nonché le misure di marketing territoriale, che invece si occupano della promozione economica esterna e dell’attrazione di investimenti. </w:t>
      </w:r>
    </w:p>
    <w:p w:rsidR="00620DBC" w:rsidRPr="002B5656" w:rsidRDefault="00620DBC" w:rsidP="003D2B50">
      <w:pPr>
        <w:pStyle w:val="Corpotesto"/>
        <w:tabs>
          <w:tab w:val="clear" w:pos="284"/>
          <w:tab w:val="clear" w:pos="426"/>
          <w:tab w:val="clear" w:pos="4962"/>
        </w:tabs>
        <w:rPr>
          <w:rFonts w:cs="Arial"/>
          <w:sz w:val="20"/>
        </w:rPr>
      </w:pPr>
    </w:p>
    <w:p w:rsidR="002B5656" w:rsidRPr="002B5656" w:rsidRDefault="002B5656" w:rsidP="003D2B50">
      <w:pPr>
        <w:pStyle w:val="Corpotesto"/>
        <w:tabs>
          <w:tab w:val="clear" w:pos="284"/>
          <w:tab w:val="clear" w:pos="426"/>
          <w:tab w:val="clear" w:pos="4962"/>
        </w:tabs>
        <w:rPr>
          <w:rFonts w:cs="Arial"/>
          <w:sz w:val="20"/>
        </w:rPr>
      </w:pPr>
    </w:p>
    <w:p w:rsidR="00620DBC" w:rsidRPr="002B5656" w:rsidRDefault="00620DBC" w:rsidP="003D2B50">
      <w:pPr>
        <w:pStyle w:val="Corpotesto"/>
        <w:tabs>
          <w:tab w:val="clear" w:pos="284"/>
          <w:tab w:val="clear" w:pos="426"/>
          <w:tab w:val="clear" w:pos="4962"/>
        </w:tabs>
        <w:rPr>
          <w:rFonts w:cs="Arial"/>
          <w:sz w:val="20"/>
        </w:rPr>
      </w:pPr>
    </w:p>
    <w:p w:rsidR="003D2B50" w:rsidRPr="003F7676" w:rsidRDefault="002B5656" w:rsidP="002B5656">
      <w:pPr>
        <w:pStyle w:val="Titolo1"/>
        <w:ind w:left="567" w:hanging="567"/>
      </w:pPr>
      <w:bookmarkStart w:id="11" w:name="_Toc25326121"/>
      <w:bookmarkStart w:id="12" w:name="_Toc32253660"/>
      <w:bookmarkStart w:id="13" w:name="_Toc37096437"/>
      <w:bookmarkStart w:id="14" w:name="_Toc39677865"/>
      <w:r>
        <w:t>3.</w:t>
      </w:r>
      <w:r>
        <w:tab/>
      </w:r>
      <w:r w:rsidR="003D2B50" w:rsidRPr="003F7676">
        <w:t>Bilancio 2016-2019</w:t>
      </w:r>
      <w:bookmarkEnd w:id="11"/>
      <w:bookmarkEnd w:id="12"/>
      <w:bookmarkEnd w:id="13"/>
      <w:bookmarkEnd w:id="14"/>
    </w:p>
    <w:p w:rsidR="003D2B50" w:rsidRDefault="003D2B50" w:rsidP="003D2B50">
      <w:pPr>
        <w:rPr>
          <w:rFonts w:cs="Arial"/>
          <w:color w:val="000000"/>
        </w:rPr>
      </w:pPr>
      <w:bookmarkStart w:id="15" w:name="_Toc512440913"/>
      <w:bookmarkStart w:id="16" w:name="_Toc515353794"/>
      <w:bookmarkStart w:id="17" w:name="_Toc516152526"/>
      <w:bookmarkStart w:id="18" w:name="_Toc516155326"/>
      <w:bookmarkStart w:id="19" w:name="_Toc512440914"/>
      <w:bookmarkStart w:id="20" w:name="_Toc515353795"/>
      <w:bookmarkStart w:id="21" w:name="_Toc516152527"/>
      <w:bookmarkStart w:id="22" w:name="_Toc516155327"/>
      <w:bookmarkEnd w:id="9"/>
      <w:bookmarkEnd w:id="15"/>
      <w:bookmarkEnd w:id="16"/>
      <w:bookmarkEnd w:id="17"/>
      <w:bookmarkEnd w:id="18"/>
      <w:bookmarkEnd w:id="19"/>
      <w:bookmarkEnd w:id="20"/>
      <w:bookmarkEnd w:id="21"/>
      <w:bookmarkEnd w:id="22"/>
      <w:r w:rsidRPr="00226DDA">
        <w:rPr>
          <w:rFonts w:eastAsia="Times New Roman" w:cs="Arial"/>
          <w:szCs w:val="20"/>
          <w:lang w:val="it-IT" w:eastAsia="it-IT"/>
        </w:rPr>
        <w:t xml:space="preserve">Rispetto al bilancio intermedio presentato nel </w:t>
      </w:r>
      <w:r w:rsidRPr="00CC0245">
        <w:rPr>
          <w:rFonts w:eastAsia="Times New Roman" w:cs="Arial"/>
          <w:szCs w:val="20"/>
          <w:lang w:val="it-IT" w:eastAsia="it-IT"/>
        </w:rPr>
        <w:t>messaggio n. 7557 del 4 luglio 2018,</w:t>
      </w:r>
      <w:r w:rsidRPr="00226DDA">
        <w:rPr>
          <w:rFonts w:eastAsia="Times New Roman" w:cs="Arial"/>
          <w:szCs w:val="20"/>
          <w:lang w:val="it-IT" w:eastAsia="it-IT"/>
        </w:rPr>
        <w:t xml:space="preserve"> appare sempre più evidente la progressiva convergenza degli strumenti di promozione dell’innovazione a livello cantonale. In particolare, con l’adozione della nuova </w:t>
      </w:r>
      <w:proofErr w:type="spellStart"/>
      <w:r w:rsidRPr="00226DDA">
        <w:rPr>
          <w:rFonts w:eastAsia="Times New Roman" w:cs="Arial"/>
          <w:szCs w:val="20"/>
          <w:lang w:val="it-IT" w:eastAsia="it-IT"/>
        </w:rPr>
        <w:t>LInn</w:t>
      </w:r>
      <w:proofErr w:type="spellEnd"/>
      <w:r w:rsidRPr="00226DDA">
        <w:rPr>
          <w:rFonts w:eastAsia="Times New Roman" w:cs="Arial"/>
          <w:szCs w:val="20"/>
          <w:lang w:val="it-IT" w:eastAsia="it-IT"/>
        </w:rPr>
        <w:t xml:space="preserve">, la concretizzazione dei progetti strategici </w:t>
      </w:r>
      <w:r w:rsidRPr="00730D3D">
        <w:rPr>
          <w:rFonts w:eastAsia="Times New Roman" w:cs="Arial"/>
          <w:szCs w:val="20"/>
          <w:lang w:val="it-IT" w:eastAsia="it-IT"/>
        </w:rPr>
        <w:t xml:space="preserve">Greater </w:t>
      </w:r>
      <w:proofErr w:type="spellStart"/>
      <w:r w:rsidRPr="00730D3D">
        <w:rPr>
          <w:rFonts w:eastAsia="Times New Roman" w:cs="Arial"/>
          <w:szCs w:val="20"/>
          <w:lang w:val="it-IT" w:eastAsia="it-IT"/>
        </w:rPr>
        <w:t>Zurich</w:t>
      </w:r>
      <w:proofErr w:type="spellEnd"/>
      <w:r w:rsidRPr="00730D3D">
        <w:rPr>
          <w:rFonts w:eastAsia="Times New Roman" w:cs="Arial"/>
          <w:szCs w:val="20"/>
          <w:lang w:val="it-IT" w:eastAsia="it-IT"/>
        </w:rPr>
        <w:t xml:space="preserve"> Area</w:t>
      </w:r>
      <w:r w:rsidRPr="00226DDA">
        <w:rPr>
          <w:rFonts w:eastAsia="Times New Roman" w:cs="Arial"/>
          <w:szCs w:val="20"/>
          <w:lang w:val="it-IT" w:eastAsia="it-IT"/>
        </w:rPr>
        <w:t xml:space="preserve"> e Parco svizzero dell’innovazione (</w:t>
      </w:r>
      <w:proofErr w:type="spellStart"/>
      <w:r w:rsidRPr="00730D3D">
        <w:rPr>
          <w:rFonts w:eastAsia="Times New Roman" w:cs="Arial"/>
          <w:szCs w:val="20"/>
          <w:lang w:val="it-IT" w:eastAsia="it-IT"/>
        </w:rPr>
        <w:t>Switzerland</w:t>
      </w:r>
      <w:proofErr w:type="spellEnd"/>
      <w:r w:rsidRPr="00730D3D">
        <w:rPr>
          <w:rFonts w:eastAsia="Times New Roman" w:cs="Arial"/>
          <w:szCs w:val="20"/>
          <w:lang w:val="it-IT" w:eastAsia="it-IT"/>
        </w:rPr>
        <w:t xml:space="preserve"> </w:t>
      </w:r>
      <w:proofErr w:type="spellStart"/>
      <w:r w:rsidRPr="00730D3D">
        <w:rPr>
          <w:rFonts w:eastAsia="Times New Roman" w:cs="Arial"/>
          <w:szCs w:val="20"/>
          <w:lang w:val="it-IT" w:eastAsia="it-IT"/>
        </w:rPr>
        <w:t>Innovation</w:t>
      </w:r>
      <w:proofErr w:type="spellEnd"/>
      <w:r w:rsidRPr="00730D3D">
        <w:rPr>
          <w:rFonts w:eastAsia="Times New Roman" w:cs="Arial"/>
          <w:i/>
          <w:szCs w:val="20"/>
          <w:lang w:val="it-IT" w:eastAsia="it-IT"/>
        </w:rPr>
        <w:t>),</w:t>
      </w:r>
      <w:r w:rsidRPr="00226DDA">
        <w:rPr>
          <w:rFonts w:eastAsia="Times New Roman" w:cs="Arial"/>
          <w:szCs w:val="20"/>
          <w:lang w:val="it-IT" w:eastAsia="it-IT"/>
        </w:rPr>
        <w:t xml:space="preserve"> nonché la messa in campo delle misure di politica economica regionale</w:t>
      </w:r>
      <w:r w:rsidRPr="003F7676">
        <w:rPr>
          <w:rFonts w:cs="Arial"/>
          <w:color w:val="000000"/>
        </w:rPr>
        <w:t xml:space="preserve"> destinate al sostegno alle piccole e medie imprese (PMI), si sta consolidando in Ticino un vero e proprio sistema regionale dell’innovazione, </w:t>
      </w:r>
      <w:r w:rsidRPr="00D90195">
        <w:rPr>
          <w:rFonts w:cs="Arial"/>
          <w:color w:val="000000"/>
          <w:u w:val="single"/>
        </w:rPr>
        <w:t xml:space="preserve">riconosciuto dalla Confederazione come uno dei sei sistemi attivi </w:t>
      </w:r>
      <w:r w:rsidRPr="00273B64">
        <w:rPr>
          <w:rFonts w:cs="Arial"/>
          <w:color w:val="000000"/>
          <w:u w:val="single"/>
        </w:rPr>
        <w:t>a livello nazionale</w:t>
      </w:r>
      <w:r w:rsidRPr="00646F6C">
        <w:rPr>
          <w:rStyle w:val="Rimandonotaapidipagina"/>
          <w:rFonts w:cs="Arial"/>
          <w:color w:val="000000"/>
        </w:rPr>
        <w:footnoteReference w:id="3"/>
      </w:r>
      <w:r w:rsidRPr="00273B64">
        <w:rPr>
          <w:rFonts w:cs="Arial"/>
          <w:color w:val="000000"/>
        </w:rPr>
        <w:t>.</w:t>
      </w:r>
    </w:p>
    <w:p w:rsidR="003D2B50" w:rsidRDefault="003D2B50" w:rsidP="003D2B50">
      <w:pPr>
        <w:rPr>
          <w:rFonts w:cs="Arial"/>
          <w:color w:val="000000"/>
        </w:rPr>
      </w:pPr>
    </w:p>
    <w:p w:rsidR="003D2B50" w:rsidRPr="00226DDA" w:rsidRDefault="003D2B50" w:rsidP="003D2B50">
      <w:pPr>
        <w:rPr>
          <w:rFonts w:eastAsia="Times New Roman" w:cs="Arial"/>
          <w:szCs w:val="20"/>
          <w:lang w:val="it-IT" w:eastAsia="it-IT"/>
        </w:rPr>
      </w:pPr>
      <w:r w:rsidRPr="003F7676">
        <w:rPr>
          <w:rFonts w:cs="Arial"/>
          <w:color w:val="000000"/>
        </w:rPr>
        <w:lastRenderedPageBreak/>
        <w:t xml:space="preserve">Nel frattempo, si sono aggiunte le misure fiscali volte a incoraggiare gli investimenti in start-up innovative, approvate in votazione </w:t>
      </w:r>
      <w:r w:rsidRPr="00226DDA">
        <w:rPr>
          <w:rFonts w:eastAsia="Times New Roman" w:cs="Arial"/>
          <w:szCs w:val="20"/>
          <w:lang w:val="it-IT" w:eastAsia="it-IT"/>
        </w:rPr>
        <w:t>popolare nell’aprile del 2018, mentre altri strumenti sono appena entrati in vigore</w:t>
      </w:r>
      <w:r>
        <w:rPr>
          <w:rFonts w:eastAsia="Times New Roman" w:cs="Arial"/>
          <w:szCs w:val="20"/>
          <w:lang w:val="it-IT" w:eastAsia="it-IT"/>
        </w:rPr>
        <w:t xml:space="preserve"> </w:t>
      </w:r>
      <w:r w:rsidRPr="00226DDA">
        <w:rPr>
          <w:rFonts w:eastAsia="Times New Roman" w:cs="Arial"/>
          <w:szCs w:val="20"/>
          <w:lang w:val="it-IT" w:eastAsia="it-IT"/>
        </w:rPr>
        <w:t>(adeguamento della Legge tributaria cantonale alla Legge federale concernente la riforma fiscale), ciò che incoraggerà le aziende a investire ulteriormente in ricerca e sviluppo, contribuendo positivamente al grado di innovazione e allo sviluppo sostenibile dell’economia cantonale.</w:t>
      </w:r>
    </w:p>
    <w:p w:rsidR="003D2B50" w:rsidRPr="002B5656" w:rsidRDefault="003D2B50" w:rsidP="003D2B50">
      <w:pPr>
        <w:pStyle w:val="Corpotesto"/>
        <w:tabs>
          <w:tab w:val="clear" w:pos="284"/>
          <w:tab w:val="clear" w:pos="426"/>
          <w:tab w:val="clear" w:pos="4962"/>
        </w:tabs>
        <w:rPr>
          <w:rFonts w:cs="Arial"/>
          <w:sz w:val="20"/>
        </w:rPr>
      </w:pPr>
    </w:p>
    <w:p w:rsidR="003D2B50" w:rsidRPr="000007BF" w:rsidRDefault="003D2B50" w:rsidP="003D2B50">
      <w:pPr>
        <w:rPr>
          <w:rFonts w:cs="Arial"/>
          <w:bCs/>
          <w:color w:val="000000"/>
        </w:rPr>
      </w:pPr>
      <w:r w:rsidRPr="00732F37">
        <w:rPr>
          <w:rFonts w:cs="Arial"/>
          <w:bCs/>
          <w:color w:val="000000"/>
        </w:rPr>
        <w:t xml:space="preserve">Il presente rapporto attualizza i dati presentati con il messaggio n. 7768, che erano stati elaborati al 30 settembre 2019. Il rapporto presenta pertanto la situazione al </w:t>
      </w:r>
      <w:r w:rsidRPr="00732F37">
        <w:rPr>
          <w:rFonts w:cs="Arial"/>
          <w:bCs/>
          <w:color w:val="000000"/>
        </w:rPr>
        <w:br/>
        <w:t xml:space="preserve">31 dicembre 2019, coprendo perciò l’intero periodo del credito </w:t>
      </w:r>
      <w:r w:rsidRPr="000007BF">
        <w:rPr>
          <w:rFonts w:cs="Arial"/>
          <w:bCs/>
          <w:color w:val="000000"/>
        </w:rPr>
        <w:t>quadro 2016-2019.</w:t>
      </w:r>
    </w:p>
    <w:p w:rsidR="003D2B50" w:rsidRPr="002B5656" w:rsidRDefault="003D2B50" w:rsidP="003D2B50">
      <w:pPr>
        <w:pStyle w:val="Corpotesto"/>
        <w:tabs>
          <w:tab w:val="clear" w:pos="284"/>
          <w:tab w:val="clear" w:pos="426"/>
          <w:tab w:val="clear" w:pos="4962"/>
        </w:tabs>
        <w:rPr>
          <w:rFonts w:cs="Arial"/>
          <w:sz w:val="20"/>
        </w:rPr>
      </w:pPr>
    </w:p>
    <w:p w:rsidR="003D2B50" w:rsidRPr="000007BF" w:rsidRDefault="003D2B50" w:rsidP="003D2B50">
      <w:pPr>
        <w:pStyle w:val="Corpotesto"/>
        <w:tabs>
          <w:tab w:val="clear" w:pos="284"/>
          <w:tab w:val="clear" w:pos="426"/>
          <w:tab w:val="clear" w:pos="4962"/>
        </w:tabs>
        <w:rPr>
          <w:rFonts w:cs="Arial"/>
        </w:rPr>
      </w:pPr>
      <w:r w:rsidRPr="000007BF">
        <w:rPr>
          <w:rFonts w:cs="Arial"/>
        </w:rPr>
        <w:t xml:space="preserve">La </w:t>
      </w:r>
      <w:proofErr w:type="spellStart"/>
      <w:r w:rsidRPr="000007BF">
        <w:rPr>
          <w:rFonts w:cs="Arial"/>
        </w:rPr>
        <w:t>LInn</w:t>
      </w:r>
      <w:proofErr w:type="spellEnd"/>
      <w:r w:rsidRPr="000007BF">
        <w:rPr>
          <w:rFonts w:cs="Arial"/>
        </w:rPr>
        <w:t xml:space="preserve"> si articola in un numero di misure che spaziano:</w:t>
      </w:r>
    </w:p>
    <w:p w:rsidR="003D2B50" w:rsidRPr="000007BF" w:rsidRDefault="003D2B50" w:rsidP="00203F24">
      <w:pPr>
        <w:pStyle w:val="Corpotesto"/>
        <w:numPr>
          <w:ilvl w:val="0"/>
          <w:numId w:val="43"/>
        </w:numPr>
        <w:tabs>
          <w:tab w:val="clear" w:pos="426"/>
        </w:tabs>
        <w:spacing w:before="60"/>
        <w:ind w:left="284" w:hanging="284"/>
        <w:rPr>
          <w:rFonts w:cs="Arial"/>
        </w:rPr>
      </w:pPr>
      <w:r w:rsidRPr="000007BF">
        <w:rPr>
          <w:rFonts w:cs="Arial"/>
        </w:rPr>
        <w:t>dalla promozione di attività di informazione;</w:t>
      </w:r>
    </w:p>
    <w:p w:rsidR="003D2B50" w:rsidRPr="000007BF" w:rsidRDefault="003D2B50" w:rsidP="00203F24">
      <w:pPr>
        <w:pStyle w:val="Corpotesto"/>
        <w:numPr>
          <w:ilvl w:val="0"/>
          <w:numId w:val="43"/>
        </w:numPr>
        <w:tabs>
          <w:tab w:val="clear" w:pos="426"/>
        </w:tabs>
        <w:spacing w:before="60"/>
        <w:ind w:left="284" w:hanging="284"/>
        <w:rPr>
          <w:rFonts w:cs="Arial"/>
        </w:rPr>
      </w:pPr>
      <w:r w:rsidRPr="000007BF">
        <w:rPr>
          <w:rFonts w:cs="Arial"/>
        </w:rPr>
        <w:t>al sostegno a progetti di ricerca applicata;</w:t>
      </w:r>
    </w:p>
    <w:p w:rsidR="003D2B50" w:rsidRPr="000007BF" w:rsidRDefault="003D2B50" w:rsidP="00203F24">
      <w:pPr>
        <w:pStyle w:val="Corpotesto"/>
        <w:numPr>
          <w:ilvl w:val="0"/>
          <w:numId w:val="43"/>
        </w:numPr>
        <w:tabs>
          <w:tab w:val="clear" w:pos="426"/>
        </w:tabs>
        <w:spacing w:before="60"/>
        <w:ind w:left="284" w:hanging="284"/>
        <w:rPr>
          <w:rFonts w:cs="Arial"/>
        </w:rPr>
      </w:pPr>
      <w:r w:rsidRPr="000007BF">
        <w:rPr>
          <w:rFonts w:cs="Arial"/>
        </w:rPr>
        <w:t>dagli investimenti in ricerca e sviluppo;</w:t>
      </w:r>
    </w:p>
    <w:p w:rsidR="003D2B50" w:rsidRPr="000007BF" w:rsidRDefault="003D2B50" w:rsidP="00203F24">
      <w:pPr>
        <w:pStyle w:val="Corpotesto"/>
        <w:numPr>
          <w:ilvl w:val="0"/>
          <w:numId w:val="43"/>
        </w:numPr>
        <w:tabs>
          <w:tab w:val="clear" w:pos="426"/>
        </w:tabs>
        <w:spacing w:before="60"/>
        <w:ind w:left="284" w:hanging="284"/>
        <w:rPr>
          <w:rFonts w:cs="Arial"/>
        </w:rPr>
      </w:pPr>
      <w:r w:rsidRPr="000007BF">
        <w:rPr>
          <w:rFonts w:cs="Arial"/>
        </w:rPr>
        <w:t>allo sviluppo e acquisto di macchinari innovativi;</w:t>
      </w:r>
    </w:p>
    <w:p w:rsidR="003D2B50" w:rsidRPr="000007BF" w:rsidRDefault="003D2B50" w:rsidP="00203F24">
      <w:pPr>
        <w:pStyle w:val="Corpotesto"/>
        <w:numPr>
          <w:ilvl w:val="0"/>
          <w:numId w:val="43"/>
        </w:numPr>
        <w:tabs>
          <w:tab w:val="clear" w:pos="426"/>
        </w:tabs>
        <w:spacing w:before="60"/>
        <w:ind w:left="284" w:hanging="284"/>
        <w:rPr>
          <w:rFonts w:cs="Arial"/>
        </w:rPr>
      </w:pPr>
      <w:r w:rsidRPr="000007BF">
        <w:rPr>
          <w:rFonts w:cs="Arial"/>
        </w:rPr>
        <w:t>all’internazionalizzazione;</w:t>
      </w:r>
    </w:p>
    <w:p w:rsidR="003D2B50" w:rsidRPr="000007BF" w:rsidRDefault="003D2B50" w:rsidP="00203F24">
      <w:pPr>
        <w:pStyle w:val="Corpotesto"/>
        <w:numPr>
          <w:ilvl w:val="0"/>
          <w:numId w:val="43"/>
        </w:numPr>
        <w:tabs>
          <w:tab w:val="clear" w:pos="426"/>
        </w:tabs>
        <w:spacing w:before="60"/>
        <w:ind w:left="284" w:hanging="284"/>
        <w:rPr>
          <w:rFonts w:cs="Arial"/>
        </w:rPr>
      </w:pPr>
      <w:r w:rsidRPr="000007BF">
        <w:rPr>
          <w:rFonts w:cs="Arial"/>
        </w:rPr>
        <w:t xml:space="preserve">alla promozione economica esterna (marketing territoriale). </w:t>
      </w:r>
    </w:p>
    <w:p w:rsidR="003D2B50" w:rsidRPr="002B5656" w:rsidRDefault="003D2B50" w:rsidP="003D2B50">
      <w:pPr>
        <w:pStyle w:val="Corpotesto"/>
        <w:tabs>
          <w:tab w:val="clear" w:pos="284"/>
          <w:tab w:val="clear" w:pos="426"/>
          <w:tab w:val="clear" w:pos="4962"/>
        </w:tabs>
        <w:rPr>
          <w:rFonts w:cs="Arial"/>
          <w:sz w:val="20"/>
        </w:rPr>
      </w:pPr>
    </w:p>
    <w:p w:rsidR="003D2B50" w:rsidRPr="00226DDA" w:rsidRDefault="003D2B50" w:rsidP="003D2B50">
      <w:pPr>
        <w:pStyle w:val="Corpotesto"/>
        <w:tabs>
          <w:tab w:val="clear" w:pos="284"/>
          <w:tab w:val="clear" w:pos="426"/>
          <w:tab w:val="clear" w:pos="4962"/>
        </w:tabs>
        <w:rPr>
          <w:rFonts w:cs="Arial"/>
        </w:rPr>
      </w:pPr>
      <w:r w:rsidRPr="00226DDA">
        <w:rPr>
          <w:rFonts w:cs="Arial"/>
        </w:rPr>
        <w:t xml:space="preserve">Per l’eterogeneità che contraddistingue l’insieme di queste misure, di seguito si presentano i risultati dell’impiego dei mezzi finanziari nel quadriennio 2016-2019 (stato al 31 dicembre 2019) distinguendoli tra misure dirette (art. 7, 8, 9, 10 e 11 </w:t>
      </w:r>
      <w:proofErr w:type="spellStart"/>
      <w:r w:rsidRPr="00226DDA">
        <w:rPr>
          <w:rFonts w:cs="Arial"/>
        </w:rPr>
        <w:t>LInn</w:t>
      </w:r>
      <w:proofErr w:type="spellEnd"/>
      <w:r w:rsidRPr="00226DDA">
        <w:rPr>
          <w:rFonts w:cs="Arial"/>
        </w:rPr>
        <w:t xml:space="preserve">) – di gran lunga le misure più utilizzate – e quelle indirette (art. 12, 13 e 14 </w:t>
      </w:r>
      <w:proofErr w:type="spellStart"/>
      <w:r w:rsidRPr="00226DDA">
        <w:rPr>
          <w:rFonts w:cs="Arial"/>
        </w:rPr>
        <w:t>LInn</w:t>
      </w:r>
      <w:proofErr w:type="spellEnd"/>
      <w:r w:rsidRPr="00226DDA">
        <w:rPr>
          <w:rFonts w:cs="Arial"/>
        </w:rPr>
        <w:t>).</w:t>
      </w:r>
    </w:p>
    <w:p w:rsidR="003D2B50" w:rsidRPr="002B5656" w:rsidRDefault="003D2B50" w:rsidP="003D2B50">
      <w:pPr>
        <w:pStyle w:val="Corpotesto"/>
        <w:tabs>
          <w:tab w:val="clear" w:pos="284"/>
          <w:tab w:val="clear" w:pos="426"/>
          <w:tab w:val="clear" w:pos="4962"/>
        </w:tabs>
        <w:rPr>
          <w:rFonts w:cs="Arial"/>
          <w:sz w:val="20"/>
        </w:rPr>
      </w:pPr>
    </w:p>
    <w:p w:rsidR="00620DBC" w:rsidRPr="002B5656" w:rsidRDefault="00620DBC" w:rsidP="003D2B50">
      <w:pPr>
        <w:pStyle w:val="Corpotesto"/>
        <w:tabs>
          <w:tab w:val="clear" w:pos="284"/>
          <w:tab w:val="clear" w:pos="426"/>
          <w:tab w:val="clear" w:pos="4962"/>
        </w:tabs>
        <w:rPr>
          <w:rFonts w:cs="Arial"/>
          <w:sz w:val="20"/>
        </w:rPr>
      </w:pPr>
    </w:p>
    <w:p w:rsidR="003D2B50" w:rsidRPr="003F7676" w:rsidRDefault="002B5656" w:rsidP="002B5656">
      <w:pPr>
        <w:pStyle w:val="Titolo2"/>
      </w:pPr>
      <w:bookmarkStart w:id="23" w:name="_Toc32253661"/>
      <w:bookmarkStart w:id="24" w:name="_Toc37096438"/>
      <w:bookmarkStart w:id="25" w:name="_Toc39677866"/>
      <w:r>
        <w:t>3.1</w:t>
      </w:r>
      <w:r>
        <w:tab/>
      </w:r>
      <w:r w:rsidR="003D2B50" w:rsidRPr="003F7676">
        <w:t>Misure dirette</w:t>
      </w:r>
      <w:bookmarkEnd w:id="23"/>
      <w:r w:rsidR="003D2B50">
        <w:t xml:space="preserve"> (art. 7, 8, 9, 10, 11 </w:t>
      </w:r>
      <w:proofErr w:type="spellStart"/>
      <w:r w:rsidR="003D2B50">
        <w:t>LInn</w:t>
      </w:r>
      <w:proofErr w:type="spellEnd"/>
      <w:r w:rsidR="003D2B50">
        <w:t>)</w:t>
      </w:r>
      <w:bookmarkEnd w:id="24"/>
      <w:bookmarkEnd w:id="25"/>
    </w:p>
    <w:p w:rsidR="003D2B50" w:rsidRPr="00226DDA" w:rsidRDefault="003D2B50" w:rsidP="003D2B50">
      <w:pPr>
        <w:pStyle w:val="Corpotesto"/>
        <w:tabs>
          <w:tab w:val="clear" w:pos="284"/>
          <w:tab w:val="clear" w:pos="426"/>
          <w:tab w:val="clear" w:pos="4962"/>
        </w:tabs>
        <w:rPr>
          <w:rFonts w:cs="Arial"/>
        </w:rPr>
      </w:pPr>
      <w:r w:rsidRPr="00CC0245">
        <w:rPr>
          <w:rFonts w:cs="Arial"/>
        </w:rPr>
        <w:t>Nel periodo 2016 – 2019 sono stati sostenuti, con un montante complessivo di sussidi di quasi 18 milioni di franchi (per la precisione, CHF 17'816'188), un totale di 408 progetti facenti capo a 123 aziende, per un investimento globale di oltre 162 milioni di franchi. Il computabile è stato di quasi 86.2 milioni, pari a una percentuale del 53% sull’investimento previsto, mentre l’effetto leva è stato di 1 a 9.</w:t>
      </w:r>
    </w:p>
    <w:p w:rsidR="003D2B50" w:rsidRPr="00226DDA" w:rsidRDefault="003D2B50" w:rsidP="003D2B50">
      <w:pPr>
        <w:pStyle w:val="Corpotesto"/>
        <w:tabs>
          <w:tab w:val="clear" w:pos="284"/>
          <w:tab w:val="clear" w:pos="426"/>
          <w:tab w:val="clear" w:pos="4962"/>
        </w:tabs>
        <w:rPr>
          <w:rFonts w:cs="Arial"/>
        </w:rPr>
      </w:pPr>
    </w:p>
    <w:p w:rsidR="003D2B50" w:rsidRPr="00620DBC" w:rsidRDefault="003D2B50" w:rsidP="00620DBC">
      <w:pPr>
        <w:pStyle w:val="Didascalia"/>
        <w:tabs>
          <w:tab w:val="left" w:pos="1134"/>
        </w:tabs>
        <w:spacing w:after="240" w:line="240" w:lineRule="auto"/>
        <w:ind w:left="1134" w:hanging="1134"/>
        <w:rPr>
          <w:b/>
        </w:rPr>
      </w:pPr>
      <w:r w:rsidRPr="00620DBC">
        <w:rPr>
          <w:b/>
        </w:rPr>
        <w:t xml:space="preserve">Tabella </w:t>
      </w:r>
      <w:r w:rsidRPr="00620DBC">
        <w:rPr>
          <w:b/>
        </w:rPr>
        <w:fldChar w:fldCharType="begin"/>
      </w:r>
      <w:r w:rsidRPr="00620DBC">
        <w:rPr>
          <w:b/>
        </w:rPr>
        <w:instrText xml:space="preserve"> SEQ Figura \* ARABIC </w:instrText>
      </w:r>
      <w:r w:rsidRPr="00620DBC">
        <w:rPr>
          <w:b/>
        </w:rPr>
        <w:fldChar w:fldCharType="separate"/>
      </w:r>
      <w:r w:rsidR="00646F6C">
        <w:rPr>
          <w:b/>
          <w:noProof/>
        </w:rPr>
        <w:t>1</w:t>
      </w:r>
      <w:r w:rsidRPr="00620DBC">
        <w:rPr>
          <w:b/>
        </w:rPr>
        <w:fldChar w:fldCharType="end"/>
      </w:r>
      <w:r w:rsidR="00620DBC">
        <w:rPr>
          <w:b/>
        </w:rPr>
        <w:t>:</w:t>
      </w:r>
      <w:r w:rsidR="00620DBC">
        <w:rPr>
          <w:b/>
        </w:rPr>
        <w:tab/>
      </w:r>
      <w:r w:rsidRPr="00620DBC">
        <w:rPr>
          <w:b/>
        </w:rPr>
        <w:t xml:space="preserve">numero di progetti, numero di aziende, sussidi stanziati e investimenti nel periodo </w:t>
      </w:r>
      <w:r w:rsidR="00620DBC">
        <w:rPr>
          <w:b/>
        </w:rPr>
        <w:br/>
      </w:r>
      <w:r w:rsidRPr="00620DBC">
        <w:rPr>
          <w:b/>
        </w:rPr>
        <w:t>2016-2019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527"/>
        <w:gridCol w:w="1592"/>
        <w:gridCol w:w="1599"/>
        <w:gridCol w:w="1850"/>
        <w:gridCol w:w="1535"/>
      </w:tblGrid>
      <w:tr w:rsidR="003D2B50" w:rsidRPr="00B5082E" w:rsidTr="00203F24">
        <w:trPr>
          <w:trHeight w:val="918"/>
        </w:trPr>
        <w:tc>
          <w:tcPr>
            <w:tcW w:w="1589" w:type="dxa"/>
            <w:shd w:val="clear" w:color="auto" w:fill="F2F2F2"/>
            <w:vAlign w:val="center"/>
          </w:tcPr>
          <w:p w:rsidR="003D2B50" w:rsidRPr="00B5082E" w:rsidRDefault="003D2B50" w:rsidP="00203F24">
            <w:pPr>
              <w:jc w:val="center"/>
              <w:rPr>
                <w:rFonts w:eastAsia="Times New Roman" w:cs="Arial"/>
                <w:b/>
                <w:bCs/>
                <w:sz w:val="20"/>
                <w:szCs w:val="20"/>
                <w:lang w:val="it-IT" w:eastAsia="zh-CN"/>
              </w:rPr>
            </w:pPr>
            <w:r w:rsidRPr="00B5082E">
              <w:rPr>
                <w:rFonts w:eastAsia="Times New Roman" w:cs="Arial"/>
                <w:b/>
                <w:bCs/>
                <w:sz w:val="20"/>
                <w:szCs w:val="20"/>
                <w:lang w:val="it-IT" w:eastAsia="zh-CN"/>
              </w:rPr>
              <w:t>Totale progetti</w:t>
            </w:r>
          </w:p>
        </w:tc>
        <w:tc>
          <w:tcPr>
            <w:tcW w:w="1589" w:type="dxa"/>
            <w:shd w:val="clear" w:color="auto" w:fill="F2F2F2"/>
            <w:vAlign w:val="center"/>
          </w:tcPr>
          <w:p w:rsidR="003D2B50" w:rsidRPr="00B5082E" w:rsidRDefault="003D2B50" w:rsidP="00203F24">
            <w:pPr>
              <w:jc w:val="center"/>
              <w:rPr>
                <w:rFonts w:eastAsia="Times New Roman" w:cs="Arial"/>
                <w:b/>
                <w:bCs/>
                <w:sz w:val="20"/>
                <w:szCs w:val="20"/>
                <w:lang w:val="it-IT" w:eastAsia="zh-CN"/>
              </w:rPr>
            </w:pPr>
            <w:r w:rsidRPr="00B5082E">
              <w:rPr>
                <w:rFonts w:eastAsia="Times New Roman" w:cs="Arial"/>
                <w:b/>
                <w:bCs/>
                <w:sz w:val="20"/>
                <w:szCs w:val="20"/>
                <w:lang w:val="it-IT" w:eastAsia="zh-CN"/>
              </w:rPr>
              <w:t>Numero aziende</w:t>
            </w:r>
          </w:p>
        </w:tc>
        <w:tc>
          <w:tcPr>
            <w:tcW w:w="1615" w:type="dxa"/>
            <w:shd w:val="clear" w:color="auto" w:fill="F2F2F2"/>
            <w:vAlign w:val="center"/>
          </w:tcPr>
          <w:p w:rsidR="003D2B50" w:rsidRPr="00B5082E" w:rsidRDefault="003D2B50" w:rsidP="00203F24">
            <w:pPr>
              <w:jc w:val="center"/>
              <w:rPr>
                <w:rFonts w:eastAsia="Times New Roman" w:cs="Arial"/>
                <w:b/>
                <w:bCs/>
                <w:sz w:val="20"/>
                <w:szCs w:val="20"/>
                <w:lang w:val="it-IT" w:eastAsia="zh-CN"/>
              </w:rPr>
            </w:pPr>
            <w:r w:rsidRPr="00B5082E">
              <w:rPr>
                <w:rFonts w:eastAsia="Times New Roman" w:cs="Arial"/>
                <w:b/>
                <w:bCs/>
                <w:sz w:val="20"/>
                <w:szCs w:val="20"/>
                <w:lang w:val="it-IT" w:eastAsia="zh-CN"/>
              </w:rPr>
              <w:t>Investimenti totali attivati</w:t>
            </w:r>
          </w:p>
        </w:tc>
        <w:tc>
          <w:tcPr>
            <w:tcW w:w="1618" w:type="dxa"/>
            <w:shd w:val="clear" w:color="auto" w:fill="F2F2F2"/>
            <w:vAlign w:val="center"/>
          </w:tcPr>
          <w:p w:rsidR="003D2B50" w:rsidRPr="00B5082E" w:rsidRDefault="003D2B50" w:rsidP="00203F24">
            <w:pPr>
              <w:jc w:val="center"/>
              <w:rPr>
                <w:rFonts w:eastAsia="Times New Roman" w:cs="Arial"/>
                <w:b/>
                <w:bCs/>
                <w:sz w:val="20"/>
                <w:szCs w:val="20"/>
                <w:lang w:val="it-IT" w:eastAsia="zh-CN"/>
              </w:rPr>
            </w:pPr>
            <w:r w:rsidRPr="00B5082E">
              <w:rPr>
                <w:rFonts w:eastAsia="Times New Roman" w:cs="Arial"/>
                <w:b/>
                <w:bCs/>
                <w:sz w:val="20"/>
                <w:szCs w:val="20"/>
                <w:lang w:val="it-IT" w:eastAsia="zh-CN"/>
              </w:rPr>
              <w:t>Computabile</w:t>
            </w:r>
          </w:p>
        </w:tc>
        <w:tc>
          <w:tcPr>
            <w:tcW w:w="1850" w:type="dxa"/>
            <w:shd w:val="clear" w:color="auto" w:fill="F2F2F2"/>
            <w:vAlign w:val="center"/>
          </w:tcPr>
          <w:p w:rsidR="003D2B50" w:rsidRPr="00B5082E" w:rsidRDefault="003D2B50" w:rsidP="00203F24">
            <w:pPr>
              <w:jc w:val="center"/>
              <w:rPr>
                <w:rFonts w:eastAsia="Times New Roman" w:cs="Arial"/>
                <w:b/>
                <w:bCs/>
                <w:sz w:val="20"/>
                <w:szCs w:val="20"/>
                <w:lang w:val="it-IT" w:eastAsia="zh-CN"/>
              </w:rPr>
            </w:pPr>
            <w:r w:rsidRPr="00B5082E">
              <w:rPr>
                <w:rFonts w:eastAsia="Times New Roman" w:cs="Arial"/>
                <w:b/>
                <w:bCs/>
                <w:sz w:val="20"/>
                <w:szCs w:val="20"/>
                <w:lang w:val="it-IT" w:eastAsia="zh-CN"/>
              </w:rPr>
              <w:t>Percentuale dell’investimento previsto</w:t>
            </w:r>
          </w:p>
        </w:tc>
        <w:tc>
          <w:tcPr>
            <w:tcW w:w="1593" w:type="dxa"/>
            <w:shd w:val="clear" w:color="auto" w:fill="F2F2F2"/>
            <w:vAlign w:val="center"/>
          </w:tcPr>
          <w:p w:rsidR="003D2B50" w:rsidRPr="00B5082E" w:rsidRDefault="003D2B50" w:rsidP="00203F24">
            <w:pPr>
              <w:jc w:val="center"/>
              <w:rPr>
                <w:rFonts w:eastAsia="Times New Roman" w:cs="Arial"/>
                <w:b/>
                <w:bCs/>
                <w:sz w:val="20"/>
                <w:szCs w:val="20"/>
                <w:lang w:val="it-IT" w:eastAsia="zh-CN"/>
              </w:rPr>
            </w:pPr>
            <w:r w:rsidRPr="00B5082E">
              <w:rPr>
                <w:rFonts w:eastAsia="Times New Roman" w:cs="Arial"/>
                <w:b/>
                <w:bCs/>
                <w:sz w:val="20"/>
                <w:szCs w:val="20"/>
                <w:lang w:val="it-IT" w:eastAsia="zh-CN"/>
              </w:rPr>
              <w:t>Effetto leva dei sussidi stanziati</w:t>
            </w:r>
          </w:p>
        </w:tc>
      </w:tr>
      <w:tr w:rsidR="003D2B50" w:rsidRPr="00B5082E" w:rsidTr="00203F24">
        <w:trPr>
          <w:trHeight w:val="361"/>
        </w:trPr>
        <w:tc>
          <w:tcPr>
            <w:tcW w:w="1589" w:type="dxa"/>
            <w:shd w:val="clear" w:color="auto" w:fill="auto"/>
            <w:vAlign w:val="center"/>
          </w:tcPr>
          <w:p w:rsidR="003D2B50" w:rsidRPr="00B5082E" w:rsidRDefault="003D2B50" w:rsidP="00203F24">
            <w:pPr>
              <w:jc w:val="center"/>
              <w:rPr>
                <w:rFonts w:eastAsia="Times New Roman" w:cs="Arial"/>
                <w:bCs/>
                <w:sz w:val="20"/>
                <w:szCs w:val="20"/>
                <w:lang w:val="it-IT" w:eastAsia="zh-CN"/>
              </w:rPr>
            </w:pPr>
            <w:r w:rsidRPr="00B5082E">
              <w:rPr>
                <w:rFonts w:eastAsia="Times New Roman" w:cs="Arial"/>
                <w:bCs/>
                <w:sz w:val="20"/>
                <w:szCs w:val="20"/>
                <w:lang w:val="it-IT" w:eastAsia="zh-CN"/>
              </w:rPr>
              <w:t>408</w:t>
            </w:r>
          </w:p>
        </w:tc>
        <w:tc>
          <w:tcPr>
            <w:tcW w:w="1589" w:type="dxa"/>
            <w:shd w:val="clear" w:color="auto" w:fill="auto"/>
            <w:vAlign w:val="center"/>
          </w:tcPr>
          <w:p w:rsidR="003D2B50" w:rsidRPr="00B5082E" w:rsidRDefault="003D2B50" w:rsidP="00203F24">
            <w:pPr>
              <w:jc w:val="center"/>
              <w:rPr>
                <w:rFonts w:eastAsia="Times New Roman" w:cs="Arial"/>
                <w:bCs/>
                <w:sz w:val="20"/>
                <w:szCs w:val="20"/>
                <w:lang w:val="it-IT" w:eastAsia="zh-CN"/>
              </w:rPr>
            </w:pPr>
            <w:r w:rsidRPr="00083750">
              <w:rPr>
                <w:rFonts w:eastAsia="Times New Roman" w:cs="Arial"/>
                <w:bCs/>
                <w:sz w:val="20"/>
                <w:szCs w:val="20"/>
                <w:lang w:val="it-IT" w:eastAsia="zh-CN"/>
              </w:rPr>
              <w:t>123</w:t>
            </w:r>
          </w:p>
        </w:tc>
        <w:tc>
          <w:tcPr>
            <w:tcW w:w="1615" w:type="dxa"/>
            <w:shd w:val="clear" w:color="auto" w:fill="auto"/>
            <w:vAlign w:val="center"/>
          </w:tcPr>
          <w:p w:rsidR="003D2B50" w:rsidRPr="00B5082E" w:rsidRDefault="003D2B50" w:rsidP="00203F24">
            <w:pPr>
              <w:jc w:val="center"/>
              <w:rPr>
                <w:rFonts w:eastAsia="Times New Roman" w:cs="Arial"/>
                <w:bCs/>
                <w:sz w:val="20"/>
                <w:szCs w:val="20"/>
                <w:lang w:val="it-IT" w:eastAsia="zh-CN"/>
              </w:rPr>
            </w:pPr>
            <w:r w:rsidRPr="00B5082E">
              <w:rPr>
                <w:rFonts w:eastAsia="Times New Roman" w:cs="Arial"/>
                <w:bCs/>
                <w:sz w:val="20"/>
                <w:szCs w:val="20"/>
                <w:lang w:val="it-IT" w:eastAsia="zh-CN"/>
              </w:rPr>
              <w:t>162 mio</w:t>
            </w:r>
          </w:p>
        </w:tc>
        <w:tc>
          <w:tcPr>
            <w:tcW w:w="1618" w:type="dxa"/>
            <w:shd w:val="clear" w:color="auto" w:fill="auto"/>
            <w:vAlign w:val="center"/>
          </w:tcPr>
          <w:p w:rsidR="003D2B50" w:rsidRPr="00B5082E" w:rsidRDefault="003D2B50" w:rsidP="00203F24">
            <w:pPr>
              <w:jc w:val="center"/>
              <w:rPr>
                <w:rFonts w:eastAsia="Times New Roman" w:cs="Arial"/>
                <w:bCs/>
                <w:sz w:val="20"/>
                <w:szCs w:val="20"/>
                <w:lang w:val="it-IT" w:eastAsia="zh-CN"/>
              </w:rPr>
            </w:pPr>
            <w:r w:rsidRPr="00B5082E">
              <w:rPr>
                <w:rFonts w:eastAsia="Times New Roman" w:cs="Arial"/>
                <w:bCs/>
                <w:sz w:val="20"/>
                <w:szCs w:val="20"/>
                <w:lang w:val="it-IT" w:eastAsia="zh-CN"/>
              </w:rPr>
              <w:t>86.2 mio</w:t>
            </w:r>
          </w:p>
        </w:tc>
        <w:tc>
          <w:tcPr>
            <w:tcW w:w="1850" w:type="dxa"/>
            <w:shd w:val="clear" w:color="auto" w:fill="auto"/>
            <w:vAlign w:val="center"/>
          </w:tcPr>
          <w:p w:rsidR="003D2B50" w:rsidRPr="00B5082E" w:rsidRDefault="003D2B50" w:rsidP="00203F24">
            <w:pPr>
              <w:jc w:val="center"/>
              <w:rPr>
                <w:rFonts w:eastAsia="Times New Roman" w:cs="Arial"/>
                <w:bCs/>
                <w:sz w:val="20"/>
                <w:szCs w:val="20"/>
                <w:lang w:val="it-IT" w:eastAsia="zh-CN"/>
              </w:rPr>
            </w:pPr>
            <w:r w:rsidRPr="00B5082E">
              <w:rPr>
                <w:rFonts w:eastAsia="Times New Roman" w:cs="Arial"/>
                <w:bCs/>
                <w:sz w:val="20"/>
                <w:szCs w:val="20"/>
                <w:lang w:val="it-IT" w:eastAsia="zh-CN"/>
              </w:rPr>
              <w:t>53%</w:t>
            </w:r>
          </w:p>
        </w:tc>
        <w:tc>
          <w:tcPr>
            <w:tcW w:w="1593" w:type="dxa"/>
            <w:shd w:val="clear" w:color="auto" w:fill="auto"/>
            <w:vAlign w:val="center"/>
          </w:tcPr>
          <w:p w:rsidR="003D2B50" w:rsidRPr="00B5082E" w:rsidRDefault="003D2B50" w:rsidP="00203F24">
            <w:pPr>
              <w:jc w:val="center"/>
              <w:rPr>
                <w:rFonts w:eastAsia="Times New Roman" w:cs="Arial"/>
                <w:bCs/>
                <w:sz w:val="20"/>
                <w:szCs w:val="20"/>
                <w:lang w:val="it-IT" w:eastAsia="zh-CN"/>
              </w:rPr>
            </w:pPr>
            <w:r w:rsidRPr="00B5082E">
              <w:rPr>
                <w:rFonts w:eastAsia="Times New Roman" w:cs="Arial"/>
                <w:bCs/>
                <w:sz w:val="20"/>
                <w:szCs w:val="20"/>
                <w:lang w:val="it-IT" w:eastAsia="zh-CN"/>
              </w:rPr>
              <w:t>1 a 9</w:t>
            </w:r>
          </w:p>
        </w:tc>
      </w:tr>
    </w:tbl>
    <w:p w:rsidR="003D2B50" w:rsidRPr="003F7676" w:rsidRDefault="003D2B50" w:rsidP="003D2B50">
      <w:pPr>
        <w:pStyle w:val="Didascalia"/>
        <w:spacing w:line="240" w:lineRule="auto"/>
        <w:jc w:val="right"/>
        <w:rPr>
          <w:highlight w:val="yellow"/>
        </w:rPr>
      </w:pPr>
      <w:r w:rsidRPr="003F7676">
        <w:t>Fonte: UAC, elaborazione dati al 31.12.2019.</w:t>
      </w:r>
    </w:p>
    <w:p w:rsidR="003D2B50" w:rsidRPr="00226DDA" w:rsidRDefault="003D2B50" w:rsidP="003D2B50">
      <w:pPr>
        <w:pStyle w:val="Corpotesto"/>
        <w:tabs>
          <w:tab w:val="clear" w:pos="284"/>
          <w:tab w:val="clear" w:pos="426"/>
          <w:tab w:val="clear" w:pos="4962"/>
        </w:tabs>
        <w:rPr>
          <w:rFonts w:cs="Arial"/>
        </w:rPr>
      </w:pPr>
    </w:p>
    <w:p w:rsidR="003D2B50" w:rsidRDefault="003D2B50" w:rsidP="003D2B50">
      <w:pPr>
        <w:pStyle w:val="Corpotesto"/>
        <w:tabs>
          <w:tab w:val="clear" w:pos="284"/>
          <w:tab w:val="clear" w:pos="426"/>
          <w:tab w:val="clear" w:pos="4962"/>
        </w:tabs>
        <w:rPr>
          <w:rFonts w:cs="Arial"/>
        </w:rPr>
      </w:pPr>
      <w:r w:rsidRPr="00730D3D">
        <w:rPr>
          <w:rFonts w:cs="Arial"/>
        </w:rPr>
        <w:t>Riguardo alla ripartizione regionale dei sus</w:t>
      </w:r>
      <w:r>
        <w:rPr>
          <w:rFonts w:cs="Arial"/>
        </w:rPr>
        <w:t xml:space="preserve">sidi stanziati e degli investimenti attivati </w:t>
      </w:r>
      <w:r w:rsidRPr="00730D3D">
        <w:rPr>
          <w:rFonts w:cs="Arial"/>
        </w:rPr>
        <w:t>le regioni maggiormente beneficiarie</w:t>
      </w:r>
      <w:r>
        <w:rPr>
          <w:rFonts w:cs="Arial"/>
        </w:rPr>
        <w:t xml:space="preserve"> dell’insieme delle misure </w:t>
      </w:r>
      <w:proofErr w:type="spellStart"/>
      <w:r>
        <w:rPr>
          <w:rFonts w:cs="Arial"/>
        </w:rPr>
        <w:t>LInn</w:t>
      </w:r>
      <w:proofErr w:type="spellEnd"/>
      <w:r w:rsidRPr="00730D3D">
        <w:rPr>
          <w:rFonts w:cs="Arial"/>
        </w:rPr>
        <w:t xml:space="preserve"> sono</w:t>
      </w:r>
      <w:r>
        <w:rPr>
          <w:rFonts w:cs="Arial"/>
        </w:rPr>
        <w:t>:</w:t>
      </w:r>
    </w:p>
    <w:p w:rsidR="003D2B50" w:rsidRPr="004453CD" w:rsidRDefault="003D2B50" w:rsidP="003D2B50">
      <w:pPr>
        <w:pStyle w:val="Corpotesto"/>
        <w:numPr>
          <w:ilvl w:val="0"/>
          <w:numId w:val="27"/>
        </w:numPr>
        <w:tabs>
          <w:tab w:val="clear" w:pos="426"/>
        </w:tabs>
        <w:spacing w:before="40"/>
        <w:ind w:left="284" w:hanging="284"/>
        <w:rPr>
          <w:rFonts w:cs="Arial"/>
        </w:rPr>
      </w:pPr>
      <w:r w:rsidRPr="004453CD">
        <w:rPr>
          <w:rFonts w:cs="Arial"/>
        </w:rPr>
        <w:t>Bellinzonese e Valli, con CHF 7 milioni sussidi stanziati e CHF 68 milioni di investimenti attivati;</w:t>
      </w:r>
    </w:p>
    <w:p w:rsidR="003D2B50" w:rsidRPr="004453CD" w:rsidRDefault="003D2B50" w:rsidP="003D2B50">
      <w:pPr>
        <w:pStyle w:val="Corpotesto"/>
        <w:numPr>
          <w:ilvl w:val="0"/>
          <w:numId w:val="27"/>
        </w:numPr>
        <w:tabs>
          <w:tab w:val="clear" w:pos="426"/>
        </w:tabs>
        <w:spacing w:before="40"/>
        <w:ind w:left="284" w:hanging="284"/>
        <w:rPr>
          <w:rFonts w:cs="Arial"/>
        </w:rPr>
      </w:pPr>
      <w:r w:rsidRPr="004453CD">
        <w:rPr>
          <w:rFonts w:cs="Arial"/>
        </w:rPr>
        <w:t>il Luganese con CHF 6.7 milioni di sussidi stanziati e CHF 51.4 milioni di investimenti attivati;</w:t>
      </w:r>
    </w:p>
    <w:p w:rsidR="003D2B50" w:rsidRPr="004453CD" w:rsidRDefault="003D2B50" w:rsidP="003D2B50">
      <w:pPr>
        <w:pStyle w:val="Corpotesto"/>
        <w:numPr>
          <w:ilvl w:val="0"/>
          <w:numId w:val="27"/>
        </w:numPr>
        <w:tabs>
          <w:tab w:val="clear" w:pos="426"/>
        </w:tabs>
        <w:spacing w:before="40"/>
        <w:ind w:left="284" w:hanging="284"/>
        <w:rPr>
          <w:rFonts w:cs="Arial"/>
        </w:rPr>
      </w:pPr>
      <w:r w:rsidRPr="004453CD">
        <w:rPr>
          <w:rFonts w:cs="Arial"/>
        </w:rPr>
        <w:t>Mendrisiotto e Basso Ceresio (CHF 2.3 milioni e, rispettivamente, CHF 27.8 milioni);</w:t>
      </w:r>
    </w:p>
    <w:p w:rsidR="003D2B50" w:rsidRPr="004453CD" w:rsidRDefault="003D2B50" w:rsidP="003D2B50">
      <w:pPr>
        <w:pStyle w:val="Corpotesto"/>
        <w:numPr>
          <w:ilvl w:val="0"/>
          <w:numId w:val="27"/>
        </w:numPr>
        <w:tabs>
          <w:tab w:val="clear" w:pos="426"/>
        </w:tabs>
        <w:spacing w:before="40"/>
        <w:ind w:left="284" w:hanging="284"/>
        <w:rPr>
          <w:rFonts w:cs="Arial"/>
        </w:rPr>
      </w:pPr>
      <w:r w:rsidRPr="004453CD">
        <w:rPr>
          <w:rFonts w:cs="Arial"/>
        </w:rPr>
        <w:t>Locarnese e Vallemaggia (CHF 1.8 milioni e rispettivamente CHF 14.9 milioni).</w:t>
      </w:r>
    </w:p>
    <w:p w:rsidR="003D2B50" w:rsidRPr="00226DDA" w:rsidRDefault="003D2B50" w:rsidP="003D2B50">
      <w:pPr>
        <w:pStyle w:val="Corpotesto"/>
        <w:tabs>
          <w:tab w:val="clear" w:pos="284"/>
          <w:tab w:val="clear" w:pos="426"/>
          <w:tab w:val="clear" w:pos="4962"/>
        </w:tabs>
        <w:rPr>
          <w:rFonts w:cs="Arial"/>
        </w:rPr>
      </w:pPr>
    </w:p>
    <w:p w:rsidR="003D2B50" w:rsidRDefault="003D2B50" w:rsidP="003D2B50">
      <w:pPr>
        <w:pStyle w:val="Didascalia"/>
        <w:tabs>
          <w:tab w:val="left" w:pos="1134"/>
        </w:tabs>
        <w:spacing w:after="0" w:line="240" w:lineRule="auto"/>
        <w:ind w:left="1134" w:hanging="1134"/>
        <w:rPr>
          <w:b/>
        </w:rPr>
      </w:pPr>
      <w:r w:rsidRPr="00620DBC">
        <w:rPr>
          <w:b/>
        </w:rPr>
        <w:t>Figura 1:</w:t>
      </w:r>
      <w:r w:rsidRPr="00620DBC">
        <w:rPr>
          <w:b/>
        </w:rPr>
        <w:tab/>
        <w:t>investimenti preventivati e sussidi stanziati suddivisi per regione nel periodo 2016-2019</w:t>
      </w:r>
    </w:p>
    <w:p w:rsidR="00203F24" w:rsidRPr="00203F24" w:rsidRDefault="00203F24" w:rsidP="00203F24">
      <w:pPr>
        <w:rPr>
          <w:lang w:val="it-IT" w:eastAsia="zh-CN"/>
        </w:rPr>
      </w:pPr>
    </w:p>
    <w:p w:rsidR="003D2B50" w:rsidRPr="003F7676" w:rsidRDefault="003D2B50" w:rsidP="003D2B50">
      <w:pPr>
        <w:jc w:val="right"/>
        <w:rPr>
          <w:rFonts w:cs="Arial"/>
          <w:bCs/>
          <w:highlight w:val="yellow"/>
          <w:lang w:val="it-IT"/>
        </w:rPr>
      </w:pPr>
      <w:r w:rsidRPr="00B5082E">
        <w:rPr>
          <w:rFonts w:cs="Arial"/>
          <w:noProof/>
          <w:lang w:eastAsia="it-CH"/>
        </w:rPr>
        <w:drawing>
          <wp:inline distT="0" distB="0" distL="0" distR="0">
            <wp:extent cx="4743450" cy="24669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3450" cy="2466975"/>
                    </a:xfrm>
                    <a:prstGeom prst="rect">
                      <a:avLst/>
                    </a:prstGeom>
                    <a:noFill/>
                    <a:ln>
                      <a:noFill/>
                    </a:ln>
                  </pic:spPr>
                </pic:pic>
              </a:graphicData>
            </a:graphic>
          </wp:inline>
        </w:drawing>
      </w:r>
    </w:p>
    <w:p w:rsidR="003D2B50" w:rsidRDefault="003D2B50" w:rsidP="003D2B50">
      <w:pPr>
        <w:pStyle w:val="Didascalia"/>
        <w:spacing w:line="240" w:lineRule="auto"/>
        <w:jc w:val="right"/>
      </w:pPr>
      <w:r w:rsidRPr="003F7676">
        <w:t>Fonte: UAC, elaborazione dati al 31.12.2019.</w:t>
      </w:r>
    </w:p>
    <w:p w:rsidR="00620DBC" w:rsidRPr="00620DBC" w:rsidRDefault="00620DBC" w:rsidP="00620DBC">
      <w:pPr>
        <w:rPr>
          <w:lang w:val="it-IT" w:eastAsia="zh-CN"/>
        </w:rPr>
      </w:pPr>
    </w:p>
    <w:p w:rsidR="003D2B50" w:rsidRDefault="003D2B50" w:rsidP="003D2B50">
      <w:pPr>
        <w:rPr>
          <w:rFonts w:cs="Arial"/>
          <w:b/>
          <w:bCs/>
          <w:highlight w:val="yellow"/>
        </w:rPr>
      </w:pPr>
    </w:p>
    <w:p w:rsidR="003D2B50" w:rsidRDefault="003D2B50" w:rsidP="003D2B50">
      <w:pPr>
        <w:rPr>
          <w:rFonts w:cs="Arial"/>
          <w:bCs/>
          <w:noProof/>
          <w:lang w:eastAsia="it-CH"/>
        </w:rPr>
      </w:pPr>
      <w:r w:rsidRPr="003F7676">
        <w:rPr>
          <w:rFonts w:cs="Arial"/>
          <w:bCs/>
          <w:noProof/>
          <w:lang w:eastAsia="it-CH"/>
        </w:rPr>
        <w:t xml:space="preserve">La Tabella </w:t>
      </w:r>
      <w:r>
        <w:rPr>
          <w:rFonts w:cs="Arial"/>
          <w:bCs/>
          <w:noProof/>
          <w:lang w:eastAsia="it-CH"/>
        </w:rPr>
        <w:t>2,</w:t>
      </w:r>
      <w:r w:rsidRPr="003F7676">
        <w:rPr>
          <w:rFonts w:cs="Arial"/>
          <w:bCs/>
          <w:noProof/>
          <w:lang w:eastAsia="it-CH"/>
        </w:rPr>
        <w:t xml:space="preserve"> illustra nel dettaglio l’impiego dei fondi LInn per le singole misure. </w:t>
      </w:r>
    </w:p>
    <w:p w:rsidR="003D2B50" w:rsidRDefault="003D2B50" w:rsidP="003D2B50">
      <w:pPr>
        <w:rPr>
          <w:rFonts w:cs="Arial"/>
          <w:bCs/>
          <w:noProof/>
          <w:lang w:eastAsia="it-CH"/>
        </w:rPr>
      </w:pPr>
    </w:p>
    <w:p w:rsidR="003D2B50" w:rsidRPr="003F7676" w:rsidRDefault="003D2B50" w:rsidP="003D2B50">
      <w:pPr>
        <w:rPr>
          <w:rFonts w:cs="Arial"/>
          <w:bCs/>
          <w:noProof/>
          <w:lang w:eastAsia="it-CH"/>
        </w:rPr>
      </w:pPr>
      <w:r w:rsidRPr="00543C75">
        <w:rPr>
          <w:rFonts w:cs="Arial"/>
          <w:bCs/>
        </w:rPr>
        <w:t>Una sola azienda</w:t>
      </w:r>
      <w:r w:rsidRPr="003F7676">
        <w:rPr>
          <w:rFonts w:cs="Arial"/>
          <w:bCs/>
        </w:rPr>
        <w:t xml:space="preserve"> ha beneficiato della misura volta a incentivare la partecipazione al programma di </w:t>
      </w:r>
      <w:proofErr w:type="spellStart"/>
      <w:r w:rsidRPr="003F7676">
        <w:rPr>
          <w:rFonts w:cs="Arial"/>
          <w:bCs/>
        </w:rPr>
        <w:t>coaching</w:t>
      </w:r>
      <w:proofErr w:type="spellEnd"/>
      <w:r w:rsidRPr="003F7676">
        <w:rPr>
          <w:rFonts w:cs="Arial"/>
          <w:bCs/>
        </w:rPr>
        <w:t xml:space="preserve"> per start-up promossa da </w:t>
      </w:r>
      <w:proofErr w:type="spellStart"/>
      <w:r w:rsidRPr="003F7676">
        <w:rPr>
          <w:rFonts w:cs="Arial"/>
          <w:bCs/>
        </w:rPr>
        <w:t>Innosuisse</w:t>
      </w:r>
      <w:proofErr w:type="spellEnd"/>
      <w:r w:rsidRPr="003F7676">
        <w:rPr>
          <w:rFonts w:cs="Arial"/>
          <w:bCs/>
        </w:rPr>
        <w:t xml:space="preserve">, presentando 2 progetti per investimenti pari a poco più di 167'000 franchi, a fronte di 25'000 franchi di sussidi. La misura, relativamente nuova (è stata varata nel 2017), è indirizzata a una platea particolarmente ristretta di potenziali beneficiari (1-2 start-up all’anno), ragione per cui non è ipotizzabile un suo maggiore impiego in futuro. Recentemente, tuttavia, </w:t>
      </w:r>
      <w:proofErr w:type="spellStart"/>
      <w:r w:rsidRPr="003F7676">
        <w:rPr>
          <w:rFonts w:cs="Arial"/>
          <w:bCs/>
        </w:rPr>
        <w:t>Innosuisse</w:t>
      </w:r>
      <w:proofErr w:type="spellEnd"/>
      <w:r w:rsidRPr="003F7676">
        <w:rPr>
          <w:rFonts w:cs="Arial"/>
          <w:bCs/>
        </w:rPr>
        <w:t xml:space="preserve"> ha esteso la possibilità di beneficiare del sostegno federale ed è stata di conseguenza pure adattata la misura a livello cantonale.</w:t>
      </w:r>
    </w:p>
    <w:p w:rsidR="003D2B50" w:rsidRPr="003F7676" w:rsidRDefault="003D2B50" w:rsidP="003D2B50">
      <w:pPr>
        <w:rPr>
          <w:rFonts w:cs="Arial"/>
          <w:b/>
          <w:bCs/>
          <w:highlight w:val="yellow"/>
        </w:rPr>
      </w:pPr>
    </w:p>
    <w:p w:rsidR="003D2B50" w:rsidRPr="003F7676" w:rsidRDefault="003D2B50" w:rsidP="003D2B50">
      <w:pPr>
        <w:rPr>
          <w:rFonts w:cs="Arial"/>
          <w:bCs/>
        </w:rPr>
      </w:pPr>
      <w:r w:rsidRPr="003F7676">
        <w:rPr>
          <w:rFonts w:cs="Arial"/>
          <w:bCs/>
        </w:rPr>
        <w:t>Un’altra misura riguarda l’incentivo alla partecipazione a progetti di ricerca applicata sostenuti dalla Commissione europea (</w:t>
      </w:r>
      <w:proofErr w:type="spellStart"/>
      <w:r w:rsidRPr="00D307FC">
        <w:rPr>
          <w:rFonts w:cs="Arial"/>
          <w:i/>
        </w:rPr>
        <w:t>Horizon</w:t>
      </w:r>
      <w:proofErr w:type="spellEnd"/>
      <w:r w:rsidRPr="00D307FC">
        <w:rPr>
          <w:rFonts w:cs="Arial"/>
          <w:i/>
        </w:rPr>
        <w:t xml:space="preserve"> 2020, </w:t>
      </w:r>
      <w:proofErr w:type="spellStart"/>
      <w:r w:rsidRPr="00D307FC">
        <w:rPr>
          <w:rFonts w:cs="Arial"/>
          <w:i/>
        </w:rPr>
        <w:t>Eurostars</w:t>
      </w:r>
      <w:proofErr w:type="spellEnd"/>
      <w:r w:rsidRPr="00D307FC">
        <w:rPr>
          <w:rFonts w:cs="Arial"/>
          <w:i/>
        </w:rPr>
        <w:t>, AAL</w:t>
      </w:r>
      <w:r>
        <w:rPr>
          <w:rStyle w:val="Rimandonotaapidipagina"/>
          <w:rFonts w:cs="Arial"/>
          <w:i/>
        </w:rPr>
        <w:footnoteReference w:id="4"/>
      </w:r>
      <w:r w:rsidRPr="003F7676">
        <w:rPr>
          <w:rFonts w:cs="Arial"/>
          <w:bCs/>
        </w:rPr>
        <w:t xml:space="preserve">). Hanno usufruito di questa misura </w:t>
      </w:r>
      <w:r w:rsidRPr="00543C75">
        <w:rPr>
          <w:rFonts w:cs="Arial"/>
          <w:bCs/>
        </w:rPr>
        <w:t>10 aziende</w:t>
      </w:r>
      <w:r w:rsidRPr="003F7676">
        <w:rPr>
          <w:rFonts w:cs="Arial"/>
          <w:bCs/>
        </w:rPr>
        <w:t xml:space="preserve"> per un totale di 30 progetti. L’ammontare complessivo dei sussidi stanziati è modesto (</w:t>
      </w:r>
      <w:r>
        <w:rPr>
          <w:rFonts w:cs="Arial"/>
          <w:bCs/>
        </w:rPr>
        <w:t xml:space="preserve">CHF </w:t>
      </w:r>
      <w:r w:rsidRPr="003F7676">
        <w:rPr>
          <w:rFonts w:cs="Arial"/>
          <w:bCs/>
        </w:rPr>
        <w:t>240</w:t>
      </w:r>
      <w:r>
        <w:rPr>
          <w:rFonts w:cs="Arial"/>
          <w:bCs/>
        </w:rPr>
        <w:t>'000</w:t>
      </w:r>
      <w:r w:rsidRPr="003F7676">
        <w:rPr>
          <w:rFonts w:cs="Arial"/>
          <w:bCs/>
        </w:rPr>
        <w:t xml:space="preserve">), mentre gli investimenti generati sono rilevanti (oltre </w:t>
      </w:r>
      <w:r>
        <w:rPr>
          <w:rFonts w:cs="Arial"/>
          <w:bCs/>
        </w:rPr>
        <w:t>CHF 3 milioni</w:t>
      </w:r>
      <w:r w:rsidRPr="003F7676">
        <w:rPr>
          <w:rFonts w:cs="Arial"/>
          <w:bCs/>
        </w:rPr>
        <w:t>).</w:t>
      </w:r>
    </w:p>
    <w:p w:rsidR="003D2B50" w:rsidRPr="003F7676" w:rsidRDefault="003D2B50" w:rsidP="003D2B50">
      <w:pPr>
        <w:rPr>
          <w:rFonts w:cs="Arial"/>
          <w:bCs/>
        </w:rPr>
      </w:pPr>
    </w:p>
    <w:p w:rsidR="003D2B50" w:rsidRDefault="003D2B50" w:rsidP="003D2B50">
      <w:pPr>
        <w:jc w:val="left"/>
        <w:rPr>
          <w:rFonts w:cs="Arial"/>
        </w:rPr>
      </w:pPr>
      <w:r w:rsidRPr="003F7676">
        <w:rPr>
          <w:rFonts w:cs="Arial"/>
          <w:bCs/>
        </w:rPr>
        <w:t>Un notevole successo lo ha riportato la misura che incentiva le aziende a partecipare ai progetti di ricerca nazionali</w:t>
      </w:r>
      <w:r w:rsidRPr="003F7676">
        <w:rPr>
          <w:rFonts w:cs="Arial"/>
        </w:rPr>
        <w:t xml:space="preserve"> finanziati da </w:t>
      </w:r>
      <w:proofErr w:type="spellStart"/>
      <w:r w:rsidRPr="003F7676">
        <w:rPr>
          <w:rFonts w:cs="Arial"/>
        </w:rPr>
        <w:t>Innosuisse</w:t>
      </w:r>
      <w:proofErr w:type="spellEnd"/>
      <w:r w:rsidRPr="003F7676">
        <w:rPr>
          <w:rFonts w:cs="Arial"/>
        </w:rPr>
        <w:t xml:space="preserve"> (già Commissione per la tecnologia e l’innovazione) per un totale di 34 progetti sostenuti, </w:t>
      </w:r>
      <w:r w:rsidRPr="00543C75">
        <w:rPr>
          <w:rFonts w:cs="Arial"/>
        </w:rPr>
        <w:t>presentati</w:t>
      </w:r>
      <w:r w:rsidRPr="00517F32">
        <w:rPr>
          <w:rFonts w:cs="Arial"/>
        </w:rPr>
        <w:t xml:space="preserve"> </w:t>
      </w:r>
      <w:r w:rsidRPr="00543C75">
        <w:rPr>
          <w:rFonts w:cs="Arial"/>
        </w:rPr>
        <w:t>da 17 aziende</w:t>
      </w:r>
      <w:r w:rsidRPr="003F7676">
        <w:rPr>
          <w:rFonts w:cs="Arial"/>
        </w:rPr>
        <w:t xml:space="preserve">. I sussidi stanziati sono stati pari a </w:t>
      </w:r>
      <w:r>
        <w:rPr>
          <w:rFonts w:cs="Arial"/>
        </w:rPr>
        <w:t xml:space="preserve">CHF </w:t>
      </w:r>
      <w:r w:rsidRPr="003F7676">
        <w:rPr>
          <w:rFonts w:cs="Arial"/>
        </w:rPr>
        <w:t>2.2</w:t>
      </w:r>
      <w:r>
        <w:rPr>
          <w:rFonts w:cs="Arial"/>
        </w:rPr>
        <w:t xml:space="preserve"> milioni</w:t>
      </w:r>
      <w:r w:rsidRPr="003F7676">
        <w:rPr>
          <w:rFonts w:cs="Arial"/>
        </w:rPr>
        <w:t xml:space="preserve"> e hanno generato investimenti in ricerca e sviluppo pari a </w:t>
      </w:r>
      <w:r>
        <w:rPr>
          <w:rFonts w:cs="Arial"/>
        </w:rPr>
        <w:t xml:space="preserve">CHF </w:t>
      </w:r>
      <w:r w:rsidRPr="003F7676">
        <w:rPr>
          <w:rFonts w:cs="Arial"/>
        </w:rPr>
        <w:t>27.5 milioni.</w:t>
      </w:r>
    </w:p>
    <w:p w:rsidR="003D2B50" w:rsidRPr="003F7676" w:rsidRDefault="003D2B50" w:rsidP="003D2B50">
      <w:pPr>
        <w:rPr>
          <w:rFonts w:cs="Arial"/>
        </w:rPr>
      </w:pPr>
    </w:p>
    <w:p w:rsidR="002B5656" w:rsidRDefault="002B5656">
      <w:pPr>
        <w:rPr>
          <w:rFonts w:eastAsia="Times New Roman" w:cs="Arial"/>
          <w:b/>
          <w:bCs/>
          <w:sz w:val="20"/>
          <w:szCs w:val="20"/>
          <w:lang w:val="it-IT" w:eastAsia="zh-CN"/>
        </w:rPr>
      </w:pPr>
      <w:r>
        <w:rPr>
          <w:b/>
        </w:rPr>
        <w:br w:type="page"/>
      </w:r>
    </w:p>
    <w:p w:rsidR="003D2B50" w:rsidRPr="00620DBC" w:rsidRDefault="003D2B50" w:rsidP="002B5656">
      <w:pPr>
        <w:pStyle w:val="Didascalia"/>
        <w:tabs>
          <w:tab w:val="left" w:pos="1134"/>
        </w:tabs>
        <w:spacing w:after="240" w:line="240" w:lineRule="auto"/>
        <w:ind w:left="1134" w:hanging="1134"/>
        <w:rPr>
          <w:b/>
        </w:rPr>
      </w:pPr>
      <w:r w:rsidRPr="00620DBC">
        <w:rPr>
          <w:b/>
        </w:rPr>
        <w:lastRenderedPageBreak/>
        <w:t xml:space="preserve">Tabella 2: </w:t>
      </w:r>
      <w:r w:rsidRPr="00620DBC">
        <w:rPr>
          <w:b/>
        </w:rPr>
        <w:tab/>
      </w:r>
      <w:r w:rsidR="002B5656">
        <w:rPr>
          <w:b/>
        </w:rPr>
        <w:t>i</w:t>
      </w:r>
      <w:r w:rsidRPr="00620DBC">
        <w:rPr>
          <w:b/>
        </w:rPr>
        <w:t xml:space="preserve">nvestimenti preventivati, computabili, sussidi stanziati e numero di progetti, per misura </w:t>
      </w:r>
      <w:r w:rsidRPr="00620DBC">
        <w:rPr>
          <w:b/>
        </w:rPr>
        <w:br/>
        <w:t>(2016-2019)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2095"/>
        <w:gridCol w:w="1824"/>
        <w:gridCol w:w="1816"/>
        <w:gridCol w:w="1428"/>
      </w:tblGrid>
      <w:tr w:rsidR="003D2B50" w:rsidRPr="00B5082E" w:rsidTr="00203F24">
        <w:trPr>
          <w:trHeight w:val="708"/>
        </w:trPr>
        <w:tc>
          <w:tcPr>
            <w:tcW w:w="2518" w:type="dxa"/>
            <w:shd w:val="clear" w:color="auto" w:fill="F2F2F2"/>
            <w:vAlign w:val="center"/>
          </w:tcPr>
          <w:p w:rsidR="003D2B50" w:rsidRPr="00B5082E" w:rsidRDefault="003D2B50" w:rsidP="00203F24">
            <w:pPr>
              <w:jc w:val="center"/>
              <w:rPr>
                <w:rFonts w:eastAsia="Times New Roman" w:cs="Arial"/>
                <w:b/>
                <w:bCs/>
                <w:sz w:val="20"/>
                <w:szCs w:val="20"/>
                <w:lang w:val="it-IT" w:eastAsia="zh-CN"/>
              </w:rPr>
            </w:pPr>
          </w:p>
        </w:tc>
        <w:tc>
          <w:tcPr>
            <w:tcW w:w="2126" w:type="dxa"/>
            <w:shd w:val="clear" w:color="auto" w:fill="F2F2F2"/>
            <w:vAlign w:val="center"/>
          </w:tcPr>
          <w:p w:rsidR="003D2B50" w:rsidRPr="00B5082E" w:rsidRDefault="003D2B50" w:rsidP="00203F24">
            <w:pPr>
              <w:jc w:val="center"/>
              <w:rPr>
                <w:rFonts w:eastAsia="Times New Roman" w:cs="Arial"/>
                <w:b/>
                <w:bCs/>
                <w:sz w:val="20"/>
                <w:szCs w:val="20"/>
                <w:lang w:val="it-IT" w:eastAsia="zh-CN"/>
              </w:rPr>
            </w:pPr>
            <w:r w:rsidRPr="00B5082E">
              <w:rPr>
                <w:rFonts w:eastAsia="Times New Roman" w:cs="Arial"/>
                <w:b/>
                <w:bCs/>
                <w:sz w:val="20"/>
                <w:szCs w:val="20"/>
                <w:lang w:val="it-IT" w:eastAsia="zh-CN"/>
              </w:rPr>
              <w:t>Investimenti preventivati</w:t>
            </w:r>
          </w:p>
        </w:tc>
        <w:tc>
          <w:tcPr>
            <w:tcW w:w="1843" w:type="dxa"/>
            <w:shd w:val="clear" w:color="auto" w:fill="F2F2F2"/>
            <w:vAlign w:val="center"/>
          </w:tcPr>
          <w:p w:rsidR="003D2B50" w:rsidRPr="00B5082E" w:rsidRDefault="003D2B50" w:rsidP="00203F24">
            <w:pPr>
              <w:jc w:val="center"/>
              <w:rPr>
                <w:rFonts w:eastAsia="Times New Roman" w:cs="Arial"/>
                <w:b/>
                <w:bCs/>
                <w:sz w:val="20"/>
                <w:szCs w:val="20"/>
                <w:lang w:val="it-IT" w:eastAsia="zh-CN"/>
              </w:rPr>
            </w:pPr>
            <w:r w:rsidRPr="00B5082E">
              <w:rPr>
                <w:rFonts w:eastAsia="Times New Roman" w:cs="Arial"/>
                <w:b/>
                <w:bCs/>
                <w:sz w:val="20"/>
                <w:szCs w:val="20"/>
                <w:lang w:val="it-IT" w:eastAsia="zh-CN"/>
              </w:rPr>
              <w:t>Investimenti computabili</w:t>
            </w:r>
          </w:p>
        </w:tc>
        <w:tc>
          <w:tcPr>
            <w:tcW w:w="1843" w:type="dxa"/>
            <w:shd w:val="clear" w:color="auto" w:fill="F2F2F2"/>
            <w:vAlign w:val="center"/>
          </w:tcPr>
          <w:p w:rsidR="003D2B50" w:rsidRPr="00B5082E" w:rsidRDefault="003D2B50" w:rsidP="00203F24">
            <w:pPr>
              <w:jc w:val="center"/>
              <w:rPr>
                <w:rFonts w:eastAsia="Times New Roman" w:cs="Arial"/>
                <w:b/>
                <w:bCs/>
                <w:sz w:val="20"/>
                <w:szCs w:val="20"/>
                <w:lang w:val="it-IT" w:eastAsia="zh-CN"/>
              </w:rPr>
            </w:pPr>
            <w:r w:rsidRPr="00B5082E">
              <w:rPr>
                <w:rFonts w:eastAsia="Times New Roman" w:cs="Arial"/>
                <w:b/>
                <w:bCs/>
                <w:sz w:val="20"/>
                <w:szCs w:val="20"/>
                <w:lang w:val="it-IT" w:eastAsia="zh-CN"/>
              </w:rPr>
              <w:t>Sussidi stanziati</w:t>
            </w:r>
          </w:p>
        </w:tc>
        <w:tc>
          <w:tcPr>
            <w:tcW w:w="1448" w:type="dxa"/>
            <w:shd w:val="clear" w:color="auto" w:fill="F2F2F2"/>
            <w:vAlign w:val="center"/>
          </w:tcPr>
          <w:p w:rsidR="003D2B50" w:rsidRPr="00B5082E" w:rsidRDefault="003D2B50" w:rsidP="00203F24">
            <w:pPr>
              <w:jc w:val="center"/>
              <w:rPr>
                <w:rFonts w:eastAsia="Times New Roman" w:cs="Arial"/>
                <w:b/>
                <w:bCs/>
                <w:sz w:val="20"/>
                <w:szCs w:val="20"/>
                <w:lang w:val="it-IT" w:eastAsia="zh-CN"/>
              </w:rPr>
            </w:pPr>
            <w:r w:rsidRPr="00B5082E">
              <w:rPr>
                <w:rFonts w:eastAsia="Times New Roman" w:cs="Arial"/>
                <w:b/>
                <w:bCs/>
                <w:sz w:val="20"/>
                <w:szCs w:val="20"/>
                <w:lang w:val="it-IT" w:eastAsia="zh-CN"/>
              </w:rPr>
              <w:t>Numero di progetti</w:t>
            </w:r>
          </w:p>
        </w:tc>
      </w:tr>
      <w:tr w:rsidR="003D2B50" w:rsidRPr="00B5082E" w:rsidTr="00203F24">
        <w:trPr>
          <w:trHeight w:val="397"/>
        </w:trPr>
        <w:tc>
          <w:tcPr>
            <w:tcW w:w="2518" w:type="dxa"/>
            <w:shd w:val="clear" w:color="auto" w:fill="auto"/>
            <w:vAlign w:val="center"/>
          </w:tcPr>
          <w:p w:rsidR="003D2B50" w:rsidRPr="00B5082E" w:rsidRDefault="003D2B50" w:rsidP="00203F24">
            <w:pPr>
              <w:jc w:val="left"/>
              <w:rPr>
                <w:sz w:val="20"/>
                <w:szCs w:val="20"/>
                <w:lang w:val="it-IT" w:eastAsia="zh-CN"/>
              </w:rPr>
            </w:pPr>
            <w:r w:rsidRPr="00B5082E">
              <w:rPr>
                <w:sz w:val="20"/>
                <w:szCs w:val="20"/>
                <w:lang w:val="it-IT" w:eastAsia="zh-CN"/>
              </w:rPr>
              <w:t>Investimenti materiali</w:t>
            </w:r>
          </w:p>
        </w:tc>
        <w:tc>
          <w:tcPr>
            <w:tcW w:w="2126"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94'094’051</w:t>
            </w:r>
          </w:p>
        </w:tc>
        <w:tc>
          <w:tcPr>
            <w:tcW w:w="1843"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45'475’034</w:t>
            </w:r>
          </w:p>
        </w:tc>
        <w:tc>
          <w:tcPr>
            <w:tcW w:w="1843"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8'662’833</w:t>
            </w:r>
          </w:p>
        </w:tc>
        <w:tc>
          <w:tcPr>
            <w:tcW w:w="1448"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14</w:t>
            </w:r>
          </w:p>
        </w:tc>
      </w:tr>
      <w:tr w:rsidR="003D2B50" w:rsidRPr="00B5082E" w:rsidTr="00203F24">
        <w:trPr>
          <w:trHeight w:val="397"/>
        </w:trPr>
        <w:tc>
          <w:tcPr>
            <w:tcW w:w="2518" w:type="dxa"/>
            <w:shd w:val="clear" w:color="auto" w:fill="auto"/>
            <w:vAlign w:val="center"/>
          </w:tcPr>
          <w:p w:rsidR="003D2B50" w:rsidRPr="00B5082E" w:rsidRDefault="003D2B50" w:rsidP="00203F24">
            <w:pPr>
              <w:jc w:val="left"/>
              <w:rPr>
                <w:sz w:val="20"/>
                <w:szCs w:val="20"/>
                <w:lang w:val="it-IT" w:eastAsia="zh-CN"/>
              </w:rPr>
            </w:pPr>
            <w:r w:rsidRPr="00B5082E">
              <w:rPr>
                <w:sz w:val="20"/>
                <w:szCs w:val="20"/>
                <w:lang w:val="it-IT" w:eastAsia="zh-CN"/>
              </w:rPr>
              <w:t>Investimenti immateriali</w:t>
            </w:r>
          </w:p>
        </w:tc>
        <w:tc>
          <w:tcPr>
            <w:tcW w:w="2126"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29'462’770</w:t>
            </w:r>
          </w:p>
        </w:tc>
        <w:tc>
          <w:tcPr>
            <w:tcW w:w="1843"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20'272’085</w:t>
            </w:r>
          </w:p>
        </w:tc>
        <w:tc>
          <w:tcPr>
            <w:tcW w:w="1843"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3'942’279</w:t>
            </w:r>
          </w:p>
        </w:tc>
        <w:tc>
          <w:tcPr>
            <w:tcW w:w="1448"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10</w:t>
            </w:r>
          </w:p>
        </w:tc>
      </w:tr>
      <w:tr w:rsidR="003D2B50" w:rsidRPr="00B5082E" w:rsidTr="00203F24">
        <w:trPr>
          <w:trHeight w:val="397"/>
        </w:trPr>
        <w:tc>
          <w:tcPr>
            <w:tcW w:w="2518" w:type="dxa"/>
            <w:shd w:val="clear" w:color="auto" w:fill="auto"/>
            <w:vAlign w:val="center"/>
          </w:tcPr>
          <w:p w:rsidR="003D2B50" w:rsidRPr="00B5082E" w:rsidRDefault="003D2B50" w:rsidP="00203F24">
            <w:pPr>
              <w:jc w:val="left"/>
              <w:rPr>
                <w:sz w:val="20"/>
                <w:szCs w:val="20"/>
                <w:lang w:val="it-IT" w:eastAsia="zh-CN"/>
              </w:rPr>
            </w:pPr>
            <w:r w:rsidRPr="00B5082E">
              <w:rPr>
                <w:sz w:val="20"/>
                <w:szCs w:val="20"/>
                <w:lang w:val="it-IT" w:eastAsia="zh-CN"/>
              </w:rPr>
              <w:t>Fiere</w:t>
            </w:r>
          </w:p>
        </w:tc>
        <w:tc>
          <w:tcPr>
            <w:tcW w:w="2126"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7'959’664</w:t>
            </w:r>
          </w:p>
        </w:tc>
        <w:tc>
          <w:tcPr>
            <w:tcW w:w="1843"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8'156’404</w:t>
            </w:r>
          </w:p>
        </w:tc>
        <w:tc>
          <w:tcPr>
            <w:tcW w:w="1843"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2'669’252</w:t>
            </w:r>
          </w:p>
        </w:tc>
        <w:tc>
          <w:tcPr>
            <w:tcW w:w="1448"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309</w:t>
            </w:r>
          </w:p>
        </w:tc>
      </w:tr>
      <w:tr w:rsidR="003D2B50" w:rsidRPr="00B5082E" w:rsidTr="00203F24">
        <w:trPr>
          <w:trHeight w:val="397"/>
        </w:trPr>
        <w:tc>
          <w:tcPr>
            <w:tcW w:w="2518" w:type="dxa"/>
            <w:shd w:val="clear" w:color="auto" w:fill="auto"/>
            <w:vAlign w:val="center"/>
          </w:tcPr>
          <w:p w:rsidR="003D2B50" w:rsidRPr="00B5082E" w:rsidRDefault="003D2B50" w:rsidP="00203F24">
            <w:pPr>
              <w:jc w:val="left"/>
              <w:rPr>
                <w:sz w:val="20"/>
                <w:szCs w:val="20"/>
                <w:lang w:val="it-IT" w:eastAsia="zh-CN"/>
              </w:rPr>
            </w:pPr>
            <w:proofErr w:type="spellStart"/>
            <w:r w:rsidRPr="00B5082E">
              <w:rPr>
                <w:sz w:val="20"/>
                <w:szCs w:val="20"/>
                <w:lang w:val="it-IT" w:eastAsia="zh-CN"/>
              </w:rPr>
              <w:t>Innosuisse</w:t>
            </w:r>
            <w:proofErr w:type="spellEnd"/>
          </w:p>
        </w:tc>
        <w:tc>
          <w:tcPr>
            <w:tcW w:w="2126"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27'560’280</w:t>
            </w:r>
          </w:p>
        </w:tc>
        <w:tc>
          <w:tcPr>
            <w:tcW w:w="1843"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11'999’850</w:t>
            </w:r>
          </w:p>
        </w:tc>
        <w:tc>
          <w:tcPr>
            <w:tcW w:w="1843"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2'242’706</w:t>
            </w:r>
          </w:p>
        </w:tc>
        <w:tc>
          <w:tcPr>
            <w:tcW w:w="1448"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34</w:t>
            </w:r>
          </w:p>
        </w:tc>
      </w:tr>
      <w:tr w:rsidR="003D2B50" w:rsidRPr="00B5082E" w:rsidTr="00203F24">
        <w:trPr>
          <w:trHeight w:val="397"/>
        </w:trPr>
        <w:tc>
          <w:tcPr>
            <w:tcW w:w="2518" w:type="dxa"/>
            <w:shd w:val="clear" w:color="auto" w:fill="auto"/>
            <w:vAlign w:val="center"/>
          </w:tcPr>
          <w:p w:rsidR="003D2B50" w:rsidRPr="00B5082E" w:rsidRDefault="003D2B50" w:rsidP="00203F24">
            <w:pPr>
              <w:jc w:val="left"/>
              <w:rPr>
                <w:sz w:val="20"/>
                <w:szCs w:val="20"/>
                <w:lang w:val="it-IT" w:eastAsia="zh-CN"/>
              </w:rPr>
            </w:pPr>
            <w:r w:rsidRPr="00B5082E">
              <w:rPr>
                <w:sz w:val="20"/>
                <w:szCs w:val="20"/>
                <w:lang w:val="it-IT" w:eastAsia="zh-CN"/>
              </w:rPr>
              <w:t>UE</w:t>
            </w:r>
          </w:p>
        </w:tc>
        <w:tc>
          <w:tcPr>
            <w:tcW w:w="2126"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3'041’274</w:t>
            </w:r>
          </w:p>
        </w:tc>
        <w:tc>
          <w:tcPr>
            <w:tcW w:w="1843"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w:t>
            </w:r>
          </w:p>
        </w:tc>
        <w:tc>
          <w:tcPr>
            <w:tcW w:w="1843"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240’000</w:t>
            </w:r>
          </w:p>
        </w:tc>
        <w:tc>
          <w:tcPr>
            <w:tcW w:w="1448"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30</w:t>
            </w:r>
          </w:p>
        </w:tc>
      </w:tr>
      <w:tr w:rsidR="003D2B50" w:rsidRPr="00B5082E" w:rsidTr="00203F24">
        <w:trPr>
          <w:trHeight w:val="397"/>
        </w:trPr>
        <w:tc>
          <w:tcPr>
            <w:tcW w:w="2518" w:type="dxa"/>
            <w:shd w:val="clear" w:color="auto" w:fill="auto"/>
            <w:vAlign w:val="center"/>
          </w:tcPr>
          <w:p w:rsidR="003D2B50" w:rsidRPr="00B5082E" w:rsidRDefault="003D2B50" w:rsidP="00203F24">
            <w:pPr>
              <w:jc w:val="left"/>
              <w:rPr>
                <w:sz w:val="20"/>
                <w:szCs w:val="20"/>
                <w:lang w:val="it-IT" w:eastAsia="zh-CN"/>
              </w:rPr>
            </w:pPr>
            <w:r w:rsidRPr="00B5082E">
              <w:rPr>
                <w:sz w:val="20"/>
                <w:szCs w:val="20"/>
                <w:lang w:val="it-IT" w:eastAsia="zh-CN"/>
              </w:rPr>
              <w:t>SGE</w:t>
            </w:r>
          </w:p>
        </w:tc>
        <w:tc>
          <w:tcPr>
            <w:tcW w:w="2126"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113’854</w:t>
            </w:r>
          </w:p>
        </w:tc>
        <w:tc>
          <w:tcPr>
            <w:tcW w:w="1843"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114’963</w:t>
            </w:r>
          </w:p>
        </w:tc>
        <w:tc>
          <w:tcPr>
            <w:tcW w:w="1843"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34’118</w:t>
            </w:r>
          </w:p>
        </w:tc>
        <w:tc>
          <w:tcPr>
            <w:tcW w:w="1448"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9</w:t>
            </w:r>
          </w:p>
        </w:tc>
      </w:tr>
      <w:tr w:rsidR="003D2B50" w:rsidRPr="00B5082E" w:rsidTr="00203F24">
        <w:trPr>
          <w:trHeight w:val="397"/>
        </w:trPr>
        <w:tc>
          <w:tcPr>
            <w:tcW w:w="2518" w:type="dxa"/>
            <w:shd w:val="clear" w:color="auto" w:fill="auto"/>
            <w:vAlign w:val="center"/>
          </w:tcPr>
          <w:p w:rsidR="003D2B50" w:rsidRPr="00B5082E" w:rsidRDefault="003D2B50" w:rsidP="00203F24">
            <w:pPr>
              <w:jc w:val="left"/>
              <w:rPr>
                <w:sz w:val="20"/>
                <w:szCs w:val="20"/>
                <w:lang w:val="it-IT" w:eastAsia="zh-CN"/>
              </w:rPr>
            </w:pPr>
            <w:proofErr w:type="spellStart"/>
            <w:r w:rsidRPr="00B5082E">
              <w:rPr>
                <w:sz w:val="20"/>
                <w:szCs w:val="20"/>
                <w:lang w:val="it-IT" w:eastAsia="zh-CN"/>
              </w:rPr>
              <w:t>Coaching</w:t>
            </w:r>
            <w:proofErr w:type="spellEnd"/>
            <w:r w:rsidRPr="00B5082E">
              <w:rPr>
                <w:sz w:val="20"/>
                <w:szCs w:val="20"/>
                <w:lang w:val="it-IT" w:eastAsia="zh-CN"/>
              </w:rPr>
              <w:t xml:space="preserve"> Start up</w:t>
            </w:r>
          </w:p>
        </w:tc>
        <w:tc>
          <w:tcPr>
            <w:tcW w:w="2126"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167’888</w:t>
            </w:r>
          </w:p>
        </w:tc>
        <w:tc>
          <w:tcPr>
            <w:tcW w:w="1843"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166’754</w:t>
            </w:r>
          </w:p>
        </w:tc>
        <w:tc>
          <w:tcPr>
            <w:tcW w:w="1843"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25’000</w:t>
            </w:r>
          </w:p>
        </w:tc>
        <w:tc>
          <w:tcPr>
            <w:tcW w:w="1448"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2</w:t>
            </w:r>
          </w:p>
        </w:tc>
      </w:tr>
      <w:tr w:rsidR="003D2B50" w:rsidRPr="00B5082E" w:rsidTr="00203F24">
        <w:trPr>
          <w:trHeight w:val="397"/>
        </w:trPr>
        <w:tc>
          <w:tcPr>
            <w:tcW w:w="2518" w:type="dxa"/>
            <w:shd w:val="clear" w:color="auto" w:fill="F2F2F2"/>
            <w:vAlign w:val="center"/>
          </w:tcPr>
          <w:p w:rsidR="003D2B50" w:rsidRPr="00B5082E" w:rsidRDefault="003D2B50" w:rsidP="00203F24">
            <w:pPr>
              <w:jc w:val="left"/>
              <w:rPr>
                <w:b/>
                <w:sz w:val="20"/>
                <w:szCs w:val="20"/>
                <w:lang w:val="it-IT" w:eastAsia="zh-CN"/>
              </w:rPr>
            </w:pPr>
            <w:r w:rsidRPr="00B5082E">
              <w:rPr>
                <w:b/>
                <w:sz w:val="20"/>
                <w:szCs w:val="20"/>
                <w:lang w:val="it-IT" w:eastAsia="zh-CN"/>
              </w:rPr>
              <w:t>Totale misure dirette</w:t>
            </w:r>
          </w:p>
        </w:tc>
        <w:tc>
          <w:tcPr>
            <w:tcW w:w="2126" w:type="dxa"/>
            <w:shd w:val="clear" w:color="auto" w:fill="F2F2F2"/>
            <w:vAlign w:val="center"/>
          </w:tcPr>
          <w:p w:rsidR="003D2B50" w:rsidRPr="00B5082E" w:rsidRDefault="003D2B50" w:rsidP="00203F24">
            <w:pPr>
              <w:jc w:val="right"/>
              <w:rPr>
                <w:b/>
                <w:sz w:val="20"/>
                <w:szCs w:val="20"/>
                <w:lang w:val="it-IT" w:eastAsia="zh-CN"/>
              </w:rPr>
            </w:pPr>
            <w:r w:rsidRPr="00B5082E">
              <w:rPr>
                <w:b/>
                <w:sz w:val="20"/>
                <w:szCs w:val="20"/>
                <w:lang w:val="it-IT" w:eastAsia="zh-CN"/>
              </w:rPr>
              <w:t>162'399’781</w:t>
            </w:r>
          </w:p>
        </w:tc>
        <w:tc>
          <w:tcPr>
            <w:tcW w:w="1843" w:type="dxa"/>
            <w:shd w:val="clear" w:color="auto" w:fill="F2F2F2"/>
            <w:vAlign w:val="center"/>
          </w:tcPr>
          <w:p w:rsidR="003D2B50" w:rsidRPr="00B5082E" w:rsidRDefault="003D2B50" w:rsidP="00203F24">
            <w:pPr>
              <w:jc w:val="right"/>
              <w:rPr>
                <w:b/>
                <w:sz w:val="20"/>
                <w:szCs w:val="20"/>
                <w:lang w:val="it-IT" w:eastAsia="zh-CN"/>
              </w:rPr>
            </w:pPr>
            <w:r w:rsidRPr="00B5082E">
              <w:rPr>
                <w:b/>
                <w:sz w:val="20"/>
                <w:szCs w:val="20"/>
                <w:lang w:val="it-IT" w:eastAsia="zh-CN"/>
              </w:rPr>
              <w:t>86'185’090</w:t>
            </w:r>
          </w:p>
        </w:tc>
        <w:tc>
          <w:tcPr>
            <w:tcW w:w="1843" w:type="dxa"/>
            <w:shd w:val="clear" w:color="auto" w:fill="F2F2F2"/>
            <w:vAlign w:val="center"/>
          </w:tcPr>
          <w:p w:rsidR="003D2B50" w:rsidRPr="00B5082E" w:rsidRDefault="003D2B50" w:rsidP="00203F24">
            <w:pPr>
              <w:jc w:val="right"/>
              <w:rPr>
                <w:b/>
                <w:sz w:val="20"/>
                <w:szCs w:val="20"/>
                <w:lang w:val="it-IT" w:eastAsia="zh-CN"/>
              </w:rPr>
            </w:pPr>
            <w:r w:rsidRPr="00B5082E">
              <w:rPr>
                <w:b/>
                <w:sz w:val="20"/>
                <w:szCs w:val="20"/>
                <w:lang w:val="it-IT" w:eastAsia="zh-CN"/>
              </w:rPr>
              <w:t>17'816’188</w:t>
            </w:r>
          </w:p>
        </w:tc>
        <w:tc>
          <w:tcPr>
            <w:tcW w:w="1448" w:type="dxa"/>
            <w:shd w:val="clear" w:color="auto" w:fill="F2F2F2"/>
            <w:vAlign w:val="center"/>
          </w:tcPr>
          <w:p w:rsidR="003D2B50" w:rsidRPr="00B5082E" w:rsidRDefault="003D2B50" w:rsidP="00203F24">
            <w:pPr>
              <w:jc w:val="right"/>
              <w:rPr>
                <w:b/>
                <w:sz w:val="20"/>
                <w:szCs w:val="20"/>
                <w:lang w:val="it-IT" w:eastAsia="zh-CN"/>
              </w:rPr>
            </w:pPr>
            <w:r w:rsidRPr="00B5082E">
              <w:rPr>
                <w:b/>
                <w:sz w:val="20"/>
                <w:szCs w:val="20"/>
                <w:lang w:val="it-IT" w:eastAsia="zh-CN"/>
              </w:rPr>
              <w:t>408</w:t>
            </w:r>
          </w:p>
        </w:tc>
      </w:tr>
    </w:tbl>
    <w:p w:rsidR="003D2B50" w:rsidRPr="003F7676" w:rsidRDefault="003D2B50" w:rsidP="003D2B50">
      <w:pPr>
        <w:pStyle w:val="Didascalia"/>
        <w:spacing w:line="240" w:lineRule="auto"/>
        <w:jc w:val="right"/>
      </w:pPr>
      <w:r w:rsidRPr="00452B1D">
        <w:t>Fonte: UAC, elaborazione dati al 31.12.2019</w:t>
      </w:r>
    </w:p>
    <w:p w:rsidR="003D2B50" w:rsidRPr="003F7676" w:rsidRDefault="003D2B50" w:rsidP="003D2B50">
      <w:pPr>
        <w:rPr>
          <w:rFonts w:cs="Arial"/>
          <w:bCs/>
        </w:rPr>
      </w:pPr>
    </w:p>
    <w:p w:rsidR="002B5656" w:rsidRDefault="003D2B50" w:rsidP="003D2B50">
      <w:pPr>
        <w:rPr>
          <w:rFonts w:cs="Arial"/>
          <w:bCs/>
        </w:rPr>
      </w:pPr>
      <w:r w:rsidRPr="00543C75">
        <w:rPr>
          <w:rFonts w:cs="Arial"/>
          <w:bCs/>
          <w:noProof/>
          <w:lang w:eastAsia="it-CH"/>
        </w:rPr>
        <w:t xml:space="preserve">Tra le misure principali </w:t>
      </w:r>
      <w:r w:rsidRPr="00517F32">
        <w:rPr>
          <w:rFonts w:cs="Arial"/>
          <w:bCs/>
          <w:noProof/>
          <w:lang w:eastAsia="it-CH"/>
        </w:rPr>
        <w:t>(</w:t>
      </w:r>
      <w:r>
        <w:rPr>
          <w:rFonts w:cs="Arial"/>
          <w:bCs/>
          <w:noProof/>
          <w:lang w:eastAsia="it-CH"/>
        </w:rPr>
        <w:t>vedi t</w:t>
      </w:r>
      <w:r w:rsidRPr="00517F32">
        <w:rPr>
          <w:rFonts w:cs="Arial"/>
          <w:bCs/>
          <w:noProof/>
          <w:lang w:eastAsia="it-CH"/>
        </w:rPr>
        <w:t>abella 3),</w:t>
      </w:r>
      <w:r w:rsidRPr="00384C62">
        <w:rPr>
          <w:rFonts w:cs="Arial"/>
          <w:bCs/>
          <w:noProof/>
          <w:lang w:eastAsia="it-CH"/>
        </w:rPr>
        <w:t xml:space="preserve"> si conferma l’utilizzo importante dell’incentivo </w:t>
      </w:r>
      <w:r w:rsidRPr="00384C62">
        <w:rPr>
          <w:rFonts w:cs="Arial"/>
          <w:bCs/>
        </w:rPr>
        <w:t xml:space="preserve">per il sostegno agli investimenti immateriali (art. 7 </w:t>
      </w:r>
      <w:proofErr w:type="spellStart"/>
      <w:r w:rsidRPr="00384C62">
        <w:rPr>
          <w:rFonts w:cs="Arial"/>
          <w:bCs/>
        </w:rPr>
        <w:t>LInn</w:t>
      </w:r>
      <w:proofErr w:type="spellEnd"/>
      <w:r w:rsidRPr="00384C62">
        <w:rPr>
          <w:rFonts w:cs="Arial"/>
          <w:bCs/>
        </w:rPr>
        <w:t xml:space="preserve">). Esso è stato concesso a </w:t>
      </w:r>
      <w:r w:rsidRPr="00543C75">
        <w:rPr>
          <w:rFonts w:cs="Arial"/>
          <w:bCs/>
        </w:rPr>
        <w:t>10 progetti facenti capo ad altrettante aziende</w:t>
      </w:r>
      <w:r w:rsidRPr="00384C62">
        <w:rPr>
          <w:rFonts w:cs="Arial"/>
          <w:bCs/>
        </w:rPr>
        <w:t xml:space="preserve">, per un sussidio complessivo di oltre </w:t>
      </w:r>
      <w:r>
        <w:rPr>
          <w:rFonts w:cs="Arial"/>
          <w:bCs/>
        </w:rPr>
        <w:t>CHF 3.9 milioni</w:t>
      </w:r>
      <w:r w:rsidRPr="00384C62">
        <w:rPr>
          <w:rFonts w:cs="Arial"/>
          <w:bCs/>
        </w:rPr>
        <w:t xml:space="preserve">, a fronte di un investimento totale di </w:t>
      </w:r>
      <w:r>
        <w:rPr>
          <w:rFonts w:cs="Arial"/>
          <w:bCs/>
        </w:rPr>
        <w:t xml:space="preserve">CHF </w:t>
      </w:r>
      <w:r w:rsidRPr="00384C62">
        <w:rPr>
          <w:rFonts w:cs="Arial"/>
          <w:bCs/>
        </w:rPr>
        <w:t xml:space="preserve">29.5 milioni (di cui </w:t>
      </w:r>
      <w:r>
        <w:rPr>
          <w:rFonts w:cs="Arial"/>
          <w:bCs/>
        </w:rPr>
        <w:br/>
        <w:t xml:space="preserve">CHF </w:t>
      </w:r>
      <w:r w:rsidRPr="00384C62">
        <w:rPr>
          <w:rFonts w:cs="Arial"/>
          <w:bCs/>
        </w:rPr>
        <w:t xml:space="preserve">20.3 milioni ritenuti computabili ai fini della concessione del sussidio, pari al 69% dell’investimento). </w:t>
      </w:r>
      <w:r w:rsidRPr="00452B1D">
        <w:rPr>
          <w:rFonts w:cs="Arial"/>
          <w:bCs/>
        </w:rPr>
        <w:t>L’effetto leva è consistente (1 a 7),</w:t>
      </w:r>
      <w:r w:rsidRPr="00384C62">
        <w:rPr>
          <w:rFonts w:cs="Arial"/>
          <w:bCs/>
        </w:rPr>
        <w:t xml:space="preserve"> mentre</w:t>
      </w:r>
      <w:r w:rsidRPr="00384C62">
        <w:rPr>
          <w:rFonts w:cs="Arial"/>
        </w:rPr>
        <w:t xml:space="preserve"> la percentuale </w:t>
      </w:r>
      <w:r w:rsidRPr="00384C62">
        <w:rPr>
          <w:rFonts w:cs="Arial"/>
          <w:bCs/>
        </w:rPr>
        <w:t>di sussidio media s</w:t>
      </w:r>
      <w:r w:rsidR="002B5656">
        <w:rPr>
          <w:rFonts w:cs="Arial"/>
          <w:bCs/>
        </w:rPr>
        <w:t>ul computabile è stata del 19%.</w:t>
      </w:r>
    </w:p>
    <w:p w:rsidR="002B5656" w:rsidRPr="002B5656" w:rsidRDefault="002B5656" w:rsidP="003D2B50">
      <w:pPr>
        <w:rPr>
          <w:rFonts w:cs="Arial"/>
          <w:bCs/>
          <w:sz w:val="18"/>
          <w:szCs w:val="18"/>
        </w:rPr>
      </w:pPr>
    </w:p>
    <w:p w:rsidR="003D2B50" w:rsidRDefault="003D2B50" w:rsidP="003D2B50">
      <w:pPr>
        <w:rPr>
          <w:rFonts w:cs="Arial"/>
          <w:bCs/>
        </w:rPr>
      </w:pPr>
      <w:r w:rsidRPr="003F7676">
        <w:rPr>
          <w:rFonts w:cs="Arial"/>
          <w:bCs/>
        </w:rPr>
        <w:t xml:space="preserve">La misura del sostegno agli </w:t>
      </w:r>
      <w:r w:rsidRPr="00257888">
        <w:rPr>
          <w:rFonts w:cs="Arial"/>
          <w:bCs/>
          <w:u w:val="single"/>
        </w:rPr>
        <w:t>investimenti materiali</w:t>
      </w:r>
      <w:r w:rsidRPr="003F7676">
        <w:rPr>
          <w:rFonts w:cs="Arial"/>
          <w:bCs/>
        </w:rPr>
        <w:t xml:space="preserve"> (art. 8 </w:t>
      </w:r>
      <w:proofErr w:type="spellStart"/>
      <w:r w:rsidRPr="003F7676">
        <w:rPr>
          <w:rFonts w:cs="Arial"/>
          <w:bCs/>
        </w:rPr>
        <w:t>LInn</w:t>
      </w:r>
      <w:proofErr w:type="spellEnd"/>
      <w:r w:rsidRPr="003F7676">
        <w:rPr>
          <w:rFonts w:cs="Arial"/>
          <w:bCs/>
        </w:rPr>
        <w:t xml:space="preserve">), benché concessa in misura molto mirata, si conferma la misura principale della </w:t>
      </w:r>
      <w:proofErr w:type="spellStart"/>
      <w:r w:rsidRPr="003F7676">
        <w:rPr>
          <w:rFonts w:cs="Arial"/>
          <w:bCs/>
        </w:rPr>
        <w:t>LInn</w:t>
      </w:r>
      <w:proofErr w:type="spellEnd"/>
      <w:r w:rsidRPr="003F7676">
        <w:rPr>
          <w:rFonts w:cs="Arial"/>
          <w:bCs/>
        </w:rPr>
        <w:t xml:space="preserve">. </w:t>
      </w:r>
    </w:p>
    <w:p w:rsidR="003D2B50" w:rsidRPr="002B5656" w:rsidRDefault="003D2B50" w:rsidP="003D2B50">
      <w:pPr>
        <w:rPr>
          <w:rFonts w:cs="Arial"/>
          <w:bCs/>
          <w:sz w:val="18"/>
          <w:szCs w:val="18"/>
        </w:rPr>
      </w:pPr>
    </w:p>
    <w:p w:rsidR="003D2B50" w:rsidRDefault="003D2B50" w:rsidP="003D2B50">
      <w:pPr>
        <w:rPr>
          <w:rFonts w:cs="Arial"/>
          <w:bCs/>
        </w:rPr>
      </w:pPr>
      <w:r w:rsidRPr="00452B1D">
        <w:rPr>
          <w:rFonts w:cs="Arial"/>
          <w:bCs/>
        </w:rPr>
        <w:t xml:space="preserve">Nel quadriennio 2016-2019 sono stati sostenuti, con un sussidio complessivo di </w:t>
      </w:r>
      <w:r w:rsidRPr="00452B1D">
        <w:rPr>
          <w:rFonts w:cs="Arial"/>
          <w:bCs/>
        </w:rPr>
        <w:br/>
      </w:r>
      <w:r w:rsidRPr="00517F32">
        <w:rPr>
          <w:rFonts w:cs="Arial"/>
          <w:bCs/>
        </w:rPr>
        <w:t>CHF 8.6 milioni</w:t>
      </w:r>
      <w:r w:rsidRPr="00452B1D">
        <w:rPr>
          <w:rFonts w:cs="Arial"/>
          <w:bCs/>
        </w:rPr>
        <w:t xml:space="preserve">, un totale </w:t>
      </w:r>
      <w:r w:rsidRPr="00543C75">
        <w:rPr>
          <w:rFonts w:cs="Arial"/>
          <w:bCs/>
        </w:rPr>
        <w:t>di 14 progetti promossi da altrettante aziende</w:t>
      </w:r>
      <w:r w:rsidRPr="00452B1D">
        <w:rPr>
          <w:rFonts w:cs="Arial"/>
          <w:bCs/>
        </w:rPr>
        <w:t>, per un investimento totale pari a CHF 94.1 milioni (con un computabile di CHF 45.5 milioni, pari al 48%). L’effetto leva è stato molto importante (1 a 11).</w:t>
      </w:r>
      <w:r w:rsidRPr="003F7676">
        <w:rPr>
          <w:rFonts w:cs="Arial"/>
          <w:bCs/>
        </w:rPr>
        <w:t xml:space="preserve"> </w:t>
      </w:r>
    </w:p>
    <w:p w:rsidR="003D2B50" w:rsidRPr="002B5656" w:rsidRDefault="003D2B50" w:rsidP="003D2B50">
      <w:pPr>
        <w:rPr>
          <w:rFonts w:cs="Arial"/>
          <w:bCs/>
          <w:sz w:val="18"/>
          <w:szCs w:val="18"/>
        </w:rPr>
      </w:pPr>
    </w:p>
    <w:p w:rsidR="003D2B50" w:rsidRDefault="003D2B50" w:rsidP="003D2B50">
      <w:pPr>
        <w:rPr>
          <w:rFonts w:cs="Arial"/>
          <w:bCs/>
        </w:rPr>
      </w:pPr>
      <w:r w:rsidRPr="003F7676">
        <w:rPr>
          <w:rFonts w:cs="Arial"/>
          <w:bCs/>
        </w:rPr>
        <w:t xml:space="preserve">La misura di gran lunga più utilizzata, dal punto di vista del numero di beneficiari, è quella ereditata dal precedente quadriennio volta a incentivare le aziende a partecipare a fiere specialistiche di valenza internazionale (art. 9 </w:t>
      </w:r>
      <w:proofErr w:type="spellStart"/>
      <w:r w:rsidRPr="003F7676">
        <w:rPr>
          <w:rFonts w:cs="Arial"/>
          <w:bCs/>
        </w:rPr>
        <w:t>LInn</w:t>
      </w:r>
      <w:proofErr w:type="spellEnd"/>
      <w:r w:rsidRPr="003F7676">
        <w:rPr>
          <w:rFonts w:cs="Arial"/>
          <w:bCs/>
        </w:rPr>
        <w:t xml:space="preserve">). </w:t>
      </w:r>
    </w:p>
    <w:p w:rsidR="003D2B50" w:rsidRPr="002B5656" w:rsidRDefault="003D2B50" w:rsidP="003D2B50">
      <w:pPr>
        <w:rPr>
          <w:rFonts w:cs="Arial"/>
          <w:bCs/>
          <w:sz w:val="18"/>
          <w:szCs w:val="18"/>
        </w:rPr>
      </w:pPr>
    </w:p>
    <w:p w:rsidR="003D2B50" w:rsidRDefault="003D2B50" w:rsidP="003D2B50">
      <w:pPr>
        <w:rPr>
          <w:rFonts w:cs="Arial"/>
          <w:bCs/>
        </w:rPr>
      </w:pPr>
      <w:r w:rsidRPr="003F7676">
        <w:rPr>
          <w:rFonts w:cs="Arial"/>
          <w:bCs/>
        </w:rPr>
        <w:t xml:space="preserve">Nel quadriennio 2016-2019 sono stati sostenuti, con un sussidio complessivo di </w:t>
      </w:r>
      <w:r>
        <w:rPr>
          <w:rFonts w:cs="Arial"/>
          <w:bCs/>
        </w:rPr>
        <w:t xml:space="preserve">CHF </w:t>
      </w:r>
      <w:r w:rsidRPr="003F7676">
        <w:rPr>
          <w:rFonts w:cs="Arial"/>
          <w:bCs/>
        </w:rPr>
        <w:t>2.7</w:t>
      </w:r>
      <w:r>
        <w:rPr>
          <w:rFonts w:cs="Arial"/>
          <w:bCs/>
        </w:rPr>
        <w:t xml:space="preserve"> milioni</w:t>
      </w:r>
      <w:r w:rsidRPr="003F7676">
        <w:rPr>
          <w:rFonts w:cs="Arial"/>
          <w:bCs/>
        </w:rPr>
        <w:t xml:space="preserve">, un totale di </w:t>
      </w:r>
      <w:r w:rsidRPr="00543C75">
        <w:rPr>
          <w:rFonts w:cs="Arial"/>
          <w:bCs/>
        </w:rPr>
        <w:t>309 progetti promossi da 87 aziende</w:t>
      </w:r>
      <w:r w:rsidRPr="003F7676">
        <w:rPr>
          <w:rFonts w:cs="Arial"/>
          <w:bCs/>
        </w:rPr>
        <w:t xml:space="preserve">, per un investimento totale pari a </w:t>
      </w:r>
      <w:r>
        <w:rPr>
          <w:rFonts w:cs="Arial"/>
          <w:bCs/>
        </w:rPr>
        <w:t xml:space="preserve">CHF </w:t>
      </w:r>
      <w:r w:rsidRPr="003F7676">
        <w:rPr>
          <w:rFonts w:cs="Arial"/>
          <w:bCs/>
        </w:rPr>
        <w:t>8</w:t>
      </w:r>
      <w:r>
        <w:rPr>
          <w:rFonts w:cs="Arial"/>
          <w:bCs/>
        </w:rPr>
        <w:t xml:space="preserve"> milioni</w:t>
      </w:r>
      <w:r w:rsidRPr="003F7676">
        <w:rPr>
          <w:rFonts w:cs="Arial"/>
          <w:bCs/>
        </w:rPr>
        <w:t xml:space="preserve"> (di cui 8.2 milioni ritenuti computabili, tenuto conto dell’IVA). </w:t>
      </w:r>
    </w:p>
    <w:p w:rsidR="003D2B50" w:rsidRPr="003F7676" w:rsidRDefault="003D2B50" w:rsidP="003D2B50">
      <w:pPr>
        <w:rPr>
          <w:rFonts w:cs="Arial"/>
          <w:bCs/>
        </w:rPr>
      </w:pPr>
      <w:r w:rsidRPr="003F7676">
        <w:rPr>
          <w:rFonts w:cs="Arial"/>
          <w:bCs/>
        </w:rPr>
        <w:t>La misura è stata utilizzata meno che in passato (</w:t>
      </w:r>
      <w:r w:rsidRPr="003F7676">
        <w:rPr>
          <w:rFonts w:cs="Arial"/>
        </w:rPr>
        <w:t xml:space="preserve">451 i progetti decisi nel quadriennio 2012-2015, per un ammontare di sussidi pari a </w:t>
      </w:r>
      <w:r>
        <w:rPr>
          <w:rFonts w:cs="Arial"/>
        </w:rPr>
        <w:t>CHF</w:t>
      </w:r>
      <w:r w:rsidRPr="003F7676">
        <w:rPr>
          <w:rFonts w:cs="Arial"/>
        </w:rPr>
        <w:t xml:space="preserve"> </w:t>
      </w:r>
      <w:r w:rsidRPr="003F7676">
        <w:rPr>
          <w:rFonts w:cs="Arial"/>
          <w:bCs/>
        </w:rPr>
        <w:t xml:space="preserve">4.2 mio). </w:t>
      </w:r>
    </w:p>
    <w:p w:rsidR="003D2B50" w:rsidRPr="002B5656" w:rsidRDefault="003D2B50" w:rsidP="003D2B50">
      <w:pPr>
        <w:rPr>
          <w:rFonts w:cs="Arial"/>
          <w:bCs/>
          <w:sz w:val="18"/>
          <w:szCs w:val="18"/>
        </w:rPr>
      </w:pPr>
    </w:p>
    <w:p w:rsidR="003D2B50" w:rsidRPr="003F7676" w:rsidRDefault="003D2B50" w:rsidP="003D2B50">
      <w:pPr>
        <w:rPr>
          <w:rFonts w:cs="Arial"/>
          <w:bCs/>
        </w:rPr>
      </w:pPr>
      <w:r w:rsidRPr="003F7676">
        <w:rPr>
          <w:rFonts w:cs="Arial"/>
          <w:bCs/>
        </w:rPr>
        <w:t xml:space="preserve">Infine, il sussidio volto a coprire i costi di consulenza per le prestazioni offerte da </w:t>
      </w:r>
      <w:proofErr w:type="spellStart"/>
      <w:r w:rsidRPr="003F7676">
        <w:rPr>
          <w:rFonts w:cs="Arial"/>
          <w:bCs/>
        </w:rPr>
        <w:t>S</w:t>
      </w:r>
      <w:r>
        <w:rPr>
          <w:rFonts w:cs="Arial"/>
          <w:bCs/>
        </w:rPr>
        <w:t>witzerland</w:t>
      </w:r>
      <w:proofErr w:type="spellEnd"/>
      <w:r>
        <w:rPr>
          <w:rFonts w:cs="Arial"/>
          <w:bCs/>
        </w:rPr>
        <w:t xml:space="preserve"> Global Enterprise (S</w:t>
      </w:r>
      <w:r w:rsidRPr="003F7676">
        <w:rPr>
          <w:rFonts w:cs="Arial"/>
          <w:bCs/>
        </w:rPr>
        <w:t xml:space="preserve">GE) nell’ambito di progetti di internazionalizzazione è stata concessa a </w:t>
      </w:r>
      <w:r w:rsidRPr="00543C75">
        <w:rPr>
          <w:rFonts w:cs="Arial"/>
          <w:bCs/>
        </w:rPr>
        <w:t>9 progetti promossi da 5 aziende</w:t>
      </w:r>
      <w:r w:rsidRPr="003F7676">
        <w:rPr>
          <w:rFonts w:cs="Arial"/>
          <w:bCs/>
        </w:rPr>
        <w:t xml:space="preserve">, per un ammontare complessivo di sussidi stanziati pari a </w:t>
      </w:r>
      <w:r>
        <w:rPr>
          <w:rFonts w:cs="Arial"/>
          <w:bCs/>
        </w:rPr>
        <w:t xml:space="preserve">CHF </w:t>
      </w:r>
      <w:r w:rsidRPr="003F7676">
        <w:rPr>
          <w:rFonts w:cs="Arial"/>
          <w:bCs/>
        </w:rPr>
        <w:t xml:space="preserve">34’118 a fronte di investimenti totali di </w:t>
      </w:r>
      <w:r>
        <w:rPr>
          <w:rFonts w:cs="Arial"/>
          <w:bCs/>
        </w:rPr>
        <w:t xml:space="preserve">CHF </w:t>
      </w:r>
      <w:r w:rsidRPr="003F7676">
        <w:rPr>
          <w:rFonts w:cs="Arial"/>
          <w:bCs/>
        </w:rPr>
        <w:t>113'854</w:t>
      </w:r>
      <w:r>
        <w:rPr>
          <w:rFonts w:cs="Arial"/>
          <w:bCs/>
        </w:rPr>
        <w:t>.</w:t>
      </w:r>
    </w:p>
    <w:p w:rsidR="003D2B50" w:rsidRPr="002B5656" w:rsidRDefault="003D2B50" w:rsidP="003D2B50">
      <w:pPr>
        <w:rPr>
          <w:rFonts w:cs="Arial"/>
          <w:bCs/>
          <w:sz w:val="18"/>
          <w:szCs w:val="18"/>
        </w:rPr>
      </w:pPr>
    </w:p>
    <w:p w:rsidR="003D2B50" w:rsidRPr="00620DBC" w:rsidRDefault="003D2B50" w:rsidP="003D2B50">
      <w:pPr>
        <w:rPr>
          <w:rFonts w:cs="Arial"/>
          <w:b/>
          <w:bCs/>
          <w:sz w:val="23"/>
          <w:szCs w:val="23"/>
        </w:rPr>
      </w:pPr>
      <w:r w:rsidRPr="00620DBC">
        <w:rPr>
          <w:rFonts w:cs="Arial"/>
          <w:b/>
          <w:bCs/>
          <w:sz w:val="23"/>
          <w:szCs w:val="23"/>
        </w:rPr>
        <w:t xml:space="preserve">Nel periodo 2016-2019 non è stata accordata alcuna fideiussione cantonale </w:t>
      </w:r>
      <w:r w:rsidRPr="00620DBC">
        <w:rPr>
          <w:rFonts w:cs="Arial"/>
          <w:b/>
          <w:bCs/>
          <w:sz w:val="23"/>
          <w:szCs w:val="23"/>
        </w:rPr>
        <w:br/>
        <w:t xml:space="preserve">(art. 10 </w:t>
      </w:r>
      <w:proofErr w:type="spellStart"/>
      <w:r w:rsidRPr="00620DBC">
        <w:rPr>
          <w:rFonts w:cs="Arial"/>
          <w:b/>
          <w:bCs/>
          <w:sz w:val="23"/>
          <w:szCs w:val="23"/>
        </w:rPr>
        <w:t>LInn</w:t>
      </w:r>
      <w:proofErr w:type="spellEnd"/>
      <w:r w:rsidRPr="00620DBC">
        <w:rPr>
          <w:rFonts w:cs="Arial"/>
          <w:b/>
          <w:bCs/>
          <w:sz w:val="23"/>
          <w:szCs w:val="23"/>
        </w:rPr>
        <w:t>), così come non è stata concessa nessuna agevolazione fiscal</w:t>
      </w:r>
      <w:r w:rsidR="00620DBC" w:rsidRPr="00620DBC">
        <w:rPr>
          <w:rFonts w:cs="Arial"/>
          <w:b/>
          <w:bCs/>
          <w:sz w:val="23"/>
          <w:szCs w:val="23"/>
        </w:rPr>
        <w:t xml:space="preserve">e (art. 11 </w:t>
      </w:r>
      <w:proofErr w:type="spellStart"/>
      <w:r w:rsidR="00620DBC" w:rsidRPr="00620DBC">
        <w:rPr>
          <w:rFonts w:cs="Arial"/>
          <w:b/>
          <w:bCs/>
          <w:sz w:val="23"/>
          <w:szCs w:val="23"/>
        </w:rPr>
        <w:t>LInn</w:t>
      </w:r>
      <w:proofErr w:type="spellEnd"/>
      <w:r w:rsidR="00620DBC" w:rsidRPr="00620DBC">
        <w:rPr>
          <w:rFonts w:cs="Arial"/>
          <w:b/>
          <w:bCs/>
          <w:sz w:val="23"/>
          <w:szCs w:val="23"/>
        </w:rPr>
        <w:t>).</w:t>
      </w:r>
    </w:p>
    <w:p w:rsidR="00620DBC" w:rsidRPr="00620DBC" w:rsidRDefault="00620DBC" w:rsidP="003D2B50">
      <w:pPr>
        <w:rPr>
          <w:rFonts w:cs="Arial"/>
          <w:bCs/>
        </w:rPr>
      </w:pPr>
    </w:p>
    <w:p w:rsidR="003D2B50" w:rsidRPr="003F7676" w:rsidRDefault="002B5656" w:rsidP="002B5656">
      <w:pPr>
        <w:pStyle w:val="Titolo2"/>
      </w:pPr>
      <w:bookmarkStart w:id="27" w:name="_Toc19547064"/>
      <w:bookmarkStart w:id="28" w:name="_Toc25326126"/>
      <w:bookmarkStart w:id="29" w:name="_Toc32253662"/>
      <w:bookmarkStart w:id="30" w:name="_Toc37096439"/>
      <w:bookmarkStart w:id="31" w:name="_Toc39677867"/>
      <w:r>
        <w:lastRenderedPageBreak/>
        <w:t>3.2</w:t>
      </w:r>
      <w:r>
        <w:tab/>
      </w:r>
      <w:r w:rsidR="003D2B50" w:rsidRPr="003F7676">
        <w:t>Misure indirette</w:t>
      </w:r>
      <w:bookmarkEnd w:id="27"/>
      <w:bookmarkEnd w:id="28"/>
      <w:bookmarkEnd w:id="29"/>
      <w:r w:rsidR="003D2B50">
        <w:t xml:space="preserve"> (art. 12, 13, </w:t>
      </w:r>
      <w:r w:rsidR="003D2B50" w:rsidRPr="00226DDA">
        <w:t xml:space="preserve">14 </w:t>
      </w:r>
      <w:proofErr w:type="spellStart"/>
      <w:r w:rsidR="003D2B50" w:rsidRPr="00226DDA">
        <w:t>LInn</w:t>
      </w:r>
      <w:proofErr w:type="spellEnd"/>
      <w:r w:rsidR="003D2B50">
        <w:t>)</w:t>
      </w:r>
      <w:bookmarkEnd w:id="30"/>
      <w:bookmarkEnd w:id="31"/>
    </w:p>
    <w:p w:rsidR="003D2B50" w:rsidRDefault="003D2B50" w:rsidP="003D2B50">
      <w:pPr>
        <w:rPr>
          <w:rFonts w:cs="Arial"/>
          <w:bCs/>
        </w:rPr>
      </w:pPr>
      <w:r w:rsidRPr="003F7676">
        <w:rPr>
          <w:rFonts w:cs="Arial"/>
          <w:bCs/>
        </w:rPr>
        <w:t xml:space="preserve">Per quanto concerne le misure indirette, rientrano in questa categoria i progetti legati a crediti specifici (art. 12 </w:t>
      </w:r>
      <w:proofErr w:type="spellStart"/>
      <w:r w:rsidRPr="003F7676">
        <w:rPr>
          <w:rFonts w:cs="Arial"/>
          <w:bCs/>
        </w:rPr>
        <w:t>LInn</w:t>
      </w:r>
      <w:proofErr w:type="spellEnd"/>
      <w:r w:rsidRPr="003F7676">
        <w:rPr>
          <w:rFonts w:cs="Arial"/>
          <w:bCs/>
        </w:rPr>
        <w:t xml:space="preserve">), all’informazione (art. 13 </w:t>
      </w:r>
      <w:proofErr w:type="spellStart"/>
      <w:r w:rsidRPr="003F7676">
        <w:rPr>
          <w:rFonts w:cs="Arial"/>
          <w:bCs/>
        </w:rPr>
        <w:t>LInn</w:t>
      </w:r>
      <w:proofErr w:type="spellEnd"/>
      <w:r w:rsidRPr="003F7676">
        <w:rPr>
          <w:rFonts w:cs="Arial"/>
          <w:bCs/>
        </w:rPr>
        <w:t xml:space="preserve">) e al marketing territoriale </w:t>
      </w:r>
      <w:r>
        <w:rPr>
          <w:rFonts w:cs="Arial"/>
          <w:bCs/>
        </w:rPr>
        <w:br/>
      </w:r>
      <w:r w:rsidRPr="003F7676">
        <w:rPr>
          <w:rFonts w:cs="Arial"/>
          <w:bCs/>
        </w:rPr>
        <w:t xml:space="preserve">(art. 14 </w:t>
      </w:r>
      <w:proofErr w:type="spellStart"/>
      <w:r w:rsidRPr="003F7676">
        <w:rPr>
          <w:rFonts w:cs="Arial"/>
          <w:bCs/>
        </w:rPr>
        <w:t>LInn</w:t>
      </w:r>
      <w:proofErr w:type="spellEnd"/>
      <w:r w:rsidRPr="003F7676">
        <w:rPr>
          <w:rFonts w:cs="Arial"/>
          <w:bCs/>
        </w:rPr>
        <w:t xml:space="preserve">). </w:t>
      </w:r>
    </w:p>
    <w:p w:rsidR="003D2B50" w:rsidRDefault="003D2B50" w:rsidP="003D2B50">
      <w:pPr>
        <w:rPr>
          <w:rFonts w:cs="Arial"/>
          <w:bCs/>
        </w:rPr>
      </w:pPr>
    </w:p>
    <w:p w:rsidR="003D2B50" w:rsidRPr="00423321" w:rsidRDefault="003D2B50" w:rsidP="003D2B50">
      <w:pPr>
        <w:tabs>
          <w:tab w:val="left" w:pos="2977"/>
        </w:tabs>
        <w:ind w:left="2977" w:hanging="2977"/>
        <w:rPr>
          <w:rFonts w:cs="Arial"/>
          <w:bCs/>
          <w:u w:val="single"/>
        </w:rPr>
      </w:pPr>
      <w:r w:rsidRPr="00423321">
        <w:rPr>
          <w:rFonts w:cs="Arial"/>
          <w:bCs/>
          <w:u w:val="single"/>
        </w:rPr>
        <w:t>Periodo 2016-2019</w:t>
      </w:r>
    </w:p>
    <w:p w:rsidR="003D2B50" w:rsidRPr="002B5656" w:rsidRDefault="003D2B50" w:rsidP="003D2B50">
      <w:pPr>
        <w:tabs>
          <w:tab w:val="left" w:pos="2977"/>
        </w:tabs>
        <w:ind w:left="2977" w:hanging="2977"/>
        <w:rPr>
          <w:rFonts w:cs="Arial"/>
          <w:bCs/>
          <w:sz w:val="16"/>
          <w:szCs w:val="16"/>
        </w:rPr>
      </w:pPr>
    </w:p>
    <w:p w:rsidR="003D2B50" w:rsidRDefault="003D2B50" w:rsidP="003D2B50">
      <w:pPr>
        <w:tabs>
          <w:tab w:val="left" w:pos="2977"/>
        </w:tabs>
        <w:ind w:left="2977" w:hanging="2977"/>
        <w:rPr>
          <w:rFonts w:cs="Arial"/>
          <w:bCs/>
        </w:rPr>
      </w:pPr>
      <w:r>
        <w:rPr>
          <w:rFonts w:cs="Arial"/>
          <w:bCs/>
        </w:rPr>
        <w:t>Crediti specifici</w:t>
      </w:r>
      <w:r>
        <w:rPr>
          <w:rFonts w:cs="Arial"/>
          <w:bCs/>
        </w:rPr>
        <w:tab/>
      </w:r>
      <w:r w:rsidRPr="003F7676">
        <w:rPr>
          <w:rFonts w:cs="Arial"/>
          <w:bCs/>
        </w:rPr>
        <w:t xml:space="preserve">nessun contributo per crediti specifici ai sensi dell’art. 12 </w:t>
      </w:r>
      <w:proofErr w:type="spellStart"/>
      <w:r w:rsidRPr="003F7676">
        <w:rPr>
          <w:rFonts w:cs="Arial"/>
          <w:bCs/>
        </w:rPr>
        <w:t>LInn</w:t>
      </w:r>
      <w:proofErr w:type="spellEnd"/>
      <w:r w:rsidRPr="003F7676">
        <w:rPr>
          <w:rFonts w:cs="Arial"/>
          <w:bCs/>
        </w:rPr>
        <w:t xml:space="preserve"> è stato concesso</w:t>
      </w:r>
      <w:r>
        <w:rPr>
          <w:rFonts w:cs="Arial"/>
          <w:bCs/>
        </w:rPr>
        <w:t>.</w:t>
      </w:r>
    </w:p>
    <w:p w:rsidR="003D2B50" w:rsidRPr="002B5656" w:rsidRDefault="003D2B50" w:rsidP="003D2B50">
      <w:pPr>
        <w:tabs>
          <w:tab w:val="left" w:pos="2977"/>
        </w:tabs>
        <w:ind w:left="2977" w:hanging="2977"/>
        <w:rPr>
          <w:rFonts w:cs="Arial"/>
          <w:bCs/>
          <w:sz w:val="16"/>
          <w:szCs w:val="16"/>
        </w:rPr>
      </w:pPr>
    </w:p>
    <w:p w:rsidR="003D2B50" w:rsidRDefault="003D2B50" w:rsidP="003D2B50">
      <w:pPr>
        <w:tabs>
          <w:tab w:val="left" w:pos="2977"/>
        </w:tabs>
        <w:ind w:left="2977" w:hanging="2977"/>
        <w:rPr>
          <w:rFonts w:cs="Arial"/>
          <w:bCs/>
        </w:rPr>
      </w:pPr>
      <w:r>
        <w:rPr>
          <w:rFonts w:cs="Arial"/>
          <w:bCs/>
        </w:rPr>
        <w:t>Eventi informativi</w:t>
      </w:r>
    </w:p>
    <w:p w:rsidR="003D2B50" w:rsidRDefault="003D2B50" w:rsidP="003D2B50">
      <w:pPr>
        <w:tabs>
          <w:tab w:val="left" w:pos="2977"/>
        </w:tabs>
        <w:ind w:left="2977" w:hanging="2977"/>
        <w:rPr>
          <w:rFonts w:cs="Arial"/>
          <w:bCs/>
        </w:rPr>
      </w:pPr>
      <w:r>
        <w:rPr>
          <w:rFonts w:cs="Arial"/>
          <w:bCs/>
        </w:rPr>
        <w:t>e promozionali</w:t>
      </w:r>
      <w:r>
        <w:rPr>
          <w:rFonts w:cs="Arial"/>
          <w:bCs/>
        </w:rPr>
        <w:tab/>
      </w:r>
      <w:r w:rsidRPr="003F7676">
        <w:rPr>
          <w:rFonts w:cs="Arial"/>
          <w:bCs/>
        </w:rPr>
        <w:t xml:space="preserve">è stata utilizzata a favore di 9 iniziative, per un totale di </w:t>
      </w:r>
      <w:r>
        <w:rPr>
          <w:rFonts w:cs="Arial"/>
          <w:bCs/>
        </w:rPr>
        <w:br/>
        <w:t xml:space="preserve">CHF 500'000 </w:t>
      </w:r>
      <w:r w:rsidRPr="003F7676">
        <w:rPr>
          <w:rFonts w:cs="Arial"/>
          <w:bCs/>
        </w:rPr>
        <w:t xml:space="preserve">di sussidi stanziati, tra i quali i premi per le edizioni 2016 e 2017 della </w:t>
      </w:r>
      <w:proofErr w:type="spellStart"/>
      <w:r w:rsidRPr="003F7676">
        <w:rPr>
          <w:rFonts w:cs="Arial"/>
          <w:bCs/>
        </w:rPr>
        <w:t>Startcup</w:t>
      </w:r>
      <w:proofErr w:type="spellEnd"/>
      <w:r w:rsidRPr="003F7676">
        <w:rPr>
          <w:rFonts w:cs="Arial"/>
          <w:bCs/>
        </w:rPr>
        <w:t xml:space="preserve"> Ticino e 2018 di </w:t>
      </w:r>
      <w:proofErr w:type="spellStart"/>
      <w:r w:rsidRPr="003F7676">
        <w:rPr>
          <w:rFonts w:cs="Arial"/>
          <w:bCs/>
        </w:rPr>
        <w:t>Boldbrain</w:t>
      </w:r>
      <w:proofErr w:type="spellEnd"/>
      <w:r w:rsidRPr="003F7676">
        <w:rPr>
          <w:rFonts w:cs="Arial"/>
          <w:bCs/>
        </w:rPr>
        <w:t xml:space="preserve"> Startup Challenge</w:t>
      </w:r>
    </w:p>
    <w:p w:rsidR="003D2B50" w:rsidRPr="002B5656" w:rsidRDefault="003D2B50" w:rsidP="003D2B50">
      <w:pPr>
        <w:rPr>
          <w:rFonts w:cs="Arial"/>
          <w:bCs/>
          <w:sz w:val="16"/>
          <w:szCs w:val="16"/>
        </w:rPr>
      </w:pPr>
    </w:p>
    <w:p w:rsidR="003D2B50" w:rsidRDefault="003D2B50" w:rsidP="003D2B50">
      <w:pPr>
        <w:tabs>
          <w:tab w:val="left" w:pos="2977"/>
        </w:tabs>
        <w:ind w:left="2977" w:hanging="2977"/>
        <w:rPr>
          <w:rFonts w:cs="Arial"/>
          <w:bCs/>
        </w:rPr>
      </w:pPr>
      <w:r>
        <w:rPr>
          <w:rFonts w:cs="Arial"/>
          <w:bCs/>
        </w:rPr>
        <w:t>Marketing territoriale</w:t>
      </w:r>
      <w:r>
        <w:rPr>
          <w:rFonts w:cs="Arial"/>
          <w:bCs/>
        </w:rPr>
        <w:tab/>
      </w:r>
      <w:r w:rsidRPr="003F7676">
        <w:rPr>
          <w:rFonts w:cs="Arial"/>
          <w:bCs/>
        </w:rPr>
        <w:t xml:space="preserve">sono 4 le iniziative di marketing territoriale sostenute (tra le quali il contributo a </w:t>
      </w:r>
      <w:proofErr w:type="spellStart"/>
      <w:r w:rsidRPr="003F7676">
        <w:rPr>
          <w:rFonts w:cs="Arial"/>
          <w:bCs/>
        </w:rPr>
        <w:t>Switzerland</w:t>
      </w:r>
      <w:proofErr w:type="spellEnd"/>
      <w:r w:rsidRPr="003F7676">
        <w:rPr>
          <w:rFonts w:cs="Arial"/>
          <w:bCs/>
        </w:rPr>
        <w:t xml:space="preserve"> Global Enterprise per le attività 2016-2019 e il sostegno all’associazione </w:t>
      </w:r>
      <w:proofErr w:type="spellStart"/>
      <w:r w:rsidRPr="003F7676">
        <w:rPr>
          <w:rFonts w:cs="Arial"/>
          <w:bCs/>
        </w:rPr>
        <w:t>Farma</w:t>
      </w:r>
      <w:proofErr w:type="spellEnd"/>
      <w:r w:rsidRPr="003F7676">
        <w:rPr>
          <w:rFonts w:cs="Arial"/>
          <w:bCs/>
        </w:rPr>
        <w:t xml:space="preserve"> Industria Ticino per la partecipazione alla principale fiera di settore </w:t>
      </w:r>
      <w:proofErr w:type="spellStart"/>
      <w:r w:rsidRPr="003F7676">
        <w:rPr>
          <w:rFonts w:cs="Arial"/>
          <w:bCs/>
        </w:rPr>
        <w:t>CPhI</w:t>
      </w:r>
      <w:proofErr w:type="spellEnd"/>
      <w:r w:rsidRPr="003F7676">
        <w:rPr>
          <w:rFonts w:cs="Arial"/>
          <w:bCs/>
        </w:rPr>
        <w:t xml:space="preserve">), per un totale di </w:t>
      </w:r>
      <w:r>
        <w:rPr>
          <w:rFonts w:cs="Arial"/>
          <w:bCs/>
        </w:rPr>
        <w:t xml:space="preserve">CHF </w:t>
      </w:r>
      <w:r w:rsidRPr="003F7676">
        <w:rPr>
          <w:rFonts w:cs="Arial"/>
          <w:bCs/>
        </w:rPr>
        <w:t xml:space="preserve">238'983 di sussidi stanziati. </w:t>
      </w:r>
    </w:p>
    <w:p w:rsidR="003D2B50" w:rsidRPr="002B5656" w:rsidRDefault="003D2B50" w:rsidP="003D2B50">
      <w:pPr>
        <w:tabs>
          <w:tab w:val="left" w:pos="2977"/>
        </w:tabs>
        <w:ind w:left="2977" w:hanging="2977"/>
        <w:rPr>
          <w:rFonts w:cs="Arial"/>
          <w:bCs/>
          <w:sz w:val="20"/>
          <w:szCs w:val="20"/>
        </w:rPr>
      </w:pPr>
    </w:p>
    <w:p w:rsidR="003D2B50" w:rsidRPr="002B5656" w:rsidRDefault="003D2B50" w:rsidP="003D2B50">
      <w:pPr>
        <w:rPr>
          <w:rFonts w:cs="Arial"/>
          <w:bCs/>
          <w:sz w:val="20"/>
          <w:szCs w:val="20"/>
        </w:rPr>
      </w:pPr>
    </w:p>
    <w:p w:rsidR="003D2B50" w:rsidRPr="003F7676" w:rsidRDefault="002B5656" w:rsidP="002B5656">
      <w:pPr>
        <w:pStyle w:val="Titolo2"/>
      </w:pPr>
      <w:bookmarkStart w:id="32" w:name="_Toc25326127"/>
      <w:bookmarkStart w:id="33" w:name="_Toc32253663"/>
      <w:bookmarkStart w:id="34" w:name="_Toc37096440"/>
      <w:bookmarkStart w:id="35" w:name="_Toc39677868"/>
      <w:r>
        <w:t>3.3</w:t>
      </w:r>
      <w:r>
        <w:tab/>
      </w:r>
      <w:r w:rsidR="003D2B50" w:rsidRPr="003F7676">
        <w:t>Utilizzo del credito quadro 2016-2019</w:t>
      </w:r>
      <w:bookmarkEnd w:id="32"/>
      <w:bookmarkEnd w:id="33"/>
      <w:bookmarkEnd w:id="34"/>
      <w:bookmarkEnd w:id="35"/>
    </w:p>
    <w:p w:rsidR="003D2B50" w:rsidRDefault="003D2B50" w:rsidP="003D2B50">
      <w:pPr>
        <w:rPr>
          <w:rFonts w:cs="Arial"/>
          <w:bCs/>
        </w:rPr>
      </w:pPr>
      <w:r w:rsidRPr="003F7676">
        <w:rPr>
          <w:rFonts w:cs="Arial"/>
          <w:bCs/>
        </w:rPr>
        <w:t xml:space="preserve">La situazione definitiva al 31 dicembre 2019 è </w:t>
      </w:r>
      <w:r w:rsidRPr="0056190D">
        <w:rPr>
          <w:rFonts w:cs="Arial"/>
          <w:bCs/>
        </w:rPr>
        <w:t xml:space="preserve">sintetizzata nella figura sotto. </w:t>
      </w:r>
    </w:p>
    <w:p w:rsidR="003D2B50" w:rsidRPr="002B5656" w:rsidRDefault="003D2B50" w:rsidP="003D2B50">
      <w:pPr>
        <w:rPr>
          <w:rFonts w:cs="Arial"/>
          <w:bCs/>
          <w:sz w:val="16"/>
          <w:szCs w:val="16"/>
        </w:rPr>
      </w:pPr>
    </w:p>
    <w:p w:rsidR="003D2B50" w:rsidRDefault="003D2B50" w:rsidP="003D2B50">
      <w:pPr>
        <w:rPr>
          <w:rFonts w:cs="Arial"/>
          <w:bCs/>
        </w:rPr>
      </w:pPr>
      <w:r w:rsidRPr="00423321">
        <w:rPr>
          <w:rFonts w:cs="Arial"/>
          <w:bCs/>
        </w:rPr>
        <w:t>La s</w:t>
      </w:r>
      <w:r w:rsidRPr="003F7676">
        <w:rPr>
          <w:rFonts w:cs="Arial"/>
          <w:bCs/>
        </w:rPr>
        <w:t xml:space="preserve">omma dei sussidi concessi tramite misure dirette e indirette ammonta a </w:t>
      </w:r>
      <w:r w:rsidRPr="000C027E">
        <w:rPr>
          <w:rFonts w:cs="Arial"/>
          <w:bCs/>
        </w:rPr>
        <w:t>CHF 18.5 milioni</w:t>
      </w:r>
      <w:r>
        <w:rPr>
          <w:rFonts w:cs="Arial"/>
          <w:bCs/>
        </w:rPr>
        <w:t>; s</w:t>
      </w:r>
      <w:r w:rsidRPr="000C027E">
        <w:rPr>
          <w:rFonts w:cs="Arial"/>
          <w:bCs/>
        </w:rPr>
        <w:t xml:space="preserve">ono quindi restati </w:t>
      </w:r>
      <w:r w:rsidR="002B5656">
        <w:rPr>
          <w:rFonts w:cs="Arial"/>
          <w:bCs/>
        </w:rPr>
        <w:t>a disposizione CHF 1.5 milioni.</w:t>
      </w:r>
    </w:p>
    <w:p w:rsidR="002B5656" w:rsidRPr="0056190D" w:rsidRDefault="002B5656" w:rsidP="003D2B50">
      <w:pPr>
        <w:rPr>
          <w:rFonts w:cs="Arial"/>
          <w:bCs/>
          <w:strike/>
        </w:rPr>
      </w:pPr>
    </w:p>
    <w:p w:rsidR="003D2B50" w:rsidRPr="002B5656" w:rsidRDefault="003D2B50" w:rsidP="002B5656">
      <w:pPr>
        <w:pStyle w:val="Didascalia"/>
        <w:tabs>
          <w:tab w:val="left" w:pos="1134"/>
        </w:tabs>
        <w:spacing w:after="240" w:line="240" w:lineRule="auto"/>
        <w:ind w:left="1134" w:hanging="1134"/>
        <w:rPr>
          <w:b/>
        </w:rPr>
      </w:pPr>
      <w:r w:rsidRPr="002B5656">
        <w:rPr>
          <w:b/>
        </w:rPr>
        <w:t>Tabella 3:</w:t>
      </w:r>
      <w:r w:rsidRPr="002B5656">
        <w:rPr>
          <w:b/>
        </w:rPr>
        <w:tab/>
        <w:t>stato credito quadro 2016-2019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2093"/>
        <w:gridCol w:w="1823"/>
        <w:gridCol w:w="1815"/>
        <w:gridCol w:w="1427"/>
      </w:tblGrid>
      <w:tr w:rsidR="003D2B50" w:rsidRPr="00B5082E" w:rsidTr="00203F24">
        <w:trPr>
          <w:trHeight w:val="708"/>
        </w:trPr>
        <w:tc>
          <w:tcPr>
            <w:tcW w:w="2518" w:type="dxa"/>
            <w:shd w:val="clear" w:color="auto" w:fill="F2F2F2"/>
            <w:vAlign w:val="center"/>
          </w:tcPr>
          <w:p w:rsidR="003D2B50" w:rsidRPr="00B5082E" w:rsidRDefault="003D2B50" w:rsidP="00203F24">
            <w:pPr>
              <w:jc w:val="center"/>
              <w:rPr>
                <w:rFonts w:eastAsia="Times New Roman" w:cs="Arial"/>
                <w:b/>
                <w:bCs/>
                <w:sz w:val="20"/>
                <w:szCs w:val="20"/>
                <w:lang w:val="it-IT" w:eastAsia="zh-CN"/>
              </w:rPr>
            </w:pPr>
          </w:p>
        </w:tc>
        <w:tc>
          <w:tcPr>
            <w:tcW w:w="2126" w:type="dxa"/>
            <w:shd w:val="clear" w:color="auto" w:fill="F2F2F2"/>
            <w:vAlign w:val="center"/>
          </w:tcPr>
          <w:p w:rsidR="003D2B50" w:rsidRPr="00B5082E" w:rsidRDefault="003D2B50" w:rsidP="00203F24">
            <w:pPr>
              <w:jc w:val="center"/>
              <w:rPr>
                <w:rFonts w:eastAsia="Times New Roman" w:cs="Arial"/>
                <w:b/>
                <w:bCs/>
                <w:sz w:val="20"/>
                <w:szCs w:val="20"/>
                <w:lang w:val="it-IT" w:eastAsia="zh-CN"/>
              </w:rPr>
            </w:pPr>
            <w:r w:rsidRPr="00B5082E">
              <w:rPr>
                <w:rFonts w:eastAsia="Times New Roman" w:cs="Arial"/>
                <w:b/>
                <w:bCs/>
                <w:sz w:val="20"/>
                <w:szCs w:val="20"/>
                <w:lang w:val="it-IT" w:eastAsia="zh-CN"/>
              </w:rPr>
              <w:t>Investimenti preventivati</w:t>
            </w:r>
          </w:p>
        </w:tc>
        <w:tc>
          <w:tcPr>
            <w:tcW w:w="1843" w:type="dxa"/>
            <w:shd w:val="clear" w:color="auto" w:fill="F2F2F2"/>
            <w:vAlign w:val="center"/>
          </w:tcPr>
          <w:p w:rsidR="003D2B50" w:rsidRPr="00B5082E" w:rsidRDefault="003D2B50" w:rsidP="00203F24">
            <w:pPr>
              <w:jc w:val="center"/>
              <w:rPr>
                <w:rFonts w:eastAsia="Times New Roman" w:cs="Arial"/>
                <w:b/>
                <w:bCs/>
                <w:sz w:val="20"/>
                <w:szCs w:val="20"/>
                <w:lang w:val="it-IT" w:eastAsia="zh-CN"/>
              </w:rPr>
            </w:pPr>
            <w:r w:rsidRPr="00B5082E">
              <w:rPr>
                <w:rFonts w:eastAsia="Times New Roman" w:cs="Arial"/>
                <w:b/>
                <w:bCs/>
                <w:sz w:val="20"/>
                <w:szCs w:val="20"/>
                <w:lang w:val="it-IT" w:eastAsia="zh-CN"/>
              </w:rPr>
              <w:t>Investimenti computabili</w:t>
            </w:r>
          </w:p>
        </w:tc>
        <w:tc>
          <w:tcPr>
            <w:tcW w:w="1843" w:type="dxa"/>
            <w:shd w:val="clear" w:color="auto" w:fill="F2F2F2"/>
            <w:vAlign w:val="center"/>
          </w:tcPr>
          <w:p w:rsidR="003D2B50" w:rsidRPr="00B5082E" w:rsidRDefault="003D2B50" w:rsidP="00203F24">
            <w:pPr>
              <w:jc w:val="center"/>
              <w:rPr>
                <w:rFonts w:eastAsia="Times New Roman" w:cs="Arial"/>
                <w:b/>
                <w:bCs/>
                <w:sz w:val="20"/>
                <w:szCs w:val="20"/>
                <w:lang w:val="it-IT" w:eastAsia="zh-CN"/>
              </w:rPr>
            </w:pPr>
            <w:r w:rsidRPr="00B5082E">
              <w:rPr>
                <w:rFonts w:eastAsia="Times New Roman" w:cs="Arial"/>
                <w:b/>
                <w:bCs/>
                <w:sz w:val="20"/>
                <w:szCs w:val="20"/>
                <w:lang w:val="it-IT" w:eastAsia="zh-CN"/>
              </w:rPr>
              <w:t>Sussidi stanziati</w:t>
            </w:r>
          </w:p>
        </w:tc>
        <w:tc>
          <w:tcPr>
            <w:tcW w:w="1448" w:type="dxa"/>
            <w:shd w:val="clear" w:color="auto" w:fill="F2F2F2"/>
            <w:vAlign w:val="center"/>
          </w:tcPr>
          <w:p w:rsidR="003D2B50" w:rsidRPr="00B5082E" w:rsidRDefault="003D2B50" w:rsidP="00203F24">
            <w:pPr>
              <w:jc w:val="center"/>
              <w:rPr>
                <w:rFonts w:eastAsia="Times New Roman" w:cs="Arial"/>
                <w:b/>
                <w:bCs/>
                <w:sz w:val="20"/>
                <w:szCs w:val="20"/>
                <w:lang w:val="it-IT" w:eastAsia="zh-CN"/>
              </w:rPr>
            </w:pPr>
            <w:r w:rsidRPr="00B5082E">
              <w:rPr>
                <w:rFonts w:eastAsia="Times New Roman" w:cs="Arial"/>
                <w:b/>
                <w:bCs/>
                <w:sz w:val="20"/>
                <w:szCs w:val="20"/>
                <w:lang w:val="it-IT" w:eastAsia="zh-CN"/>
              </w:rPr>
              <w:t>Numero di progetti</w:t>
            </w:r>
          </w:p>
        </w:tc>
      </w:tr>
      <w:tr w:rsidR="003D2B50" w:rsidRPr="00B5082E" w:rsidTr="00203F24">
        <w:trPr>
          <w:trHeight w:val="397"/>
        </w:trPr>
        <w:tc>
          <w:tcPr>
            <w:tcW w:w="2518" w:type="dxa"/>
            <w:shd w:val="clear" w:color="auto" w:fill="auto"/>
            <w:vAlign w:val="center"/>
          </w:tcPr>
          <w:p w:rsidR="003D2B50" w:rsidRPr="00B5082E" w:rsidRDefault="003D2B50" w:rsidP="00203F24">
            <w:pPr>
              <w:jc w:val="left"/>
              <w:rPr>
                <w:sz w:val="20"/>
                <w:szCs w:val="20"/>
                <w:lang w:val="it-IT" w:eastAsia="zh-CN"/>
              </w:rPr>
            </w:pPr>
            <w:r w:rsidRPr="00B5082E">
              <w:rPr>
                <w:sz w:val="20"/>
                <w:szCs w:val="20"/>
                <w:lang w:val="it-IT" w:eastAsia="zh-CN"/>
              </w:rPr>
              <w:t>Investimenti materiali</w:t>
            </w:r>
          </w:p>
        </w:tc>
        <w:tc>
          <w:tcPr>
            <w:tcW w:w="2126"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94'094’051</w:t>
            </w:r>
          </w:p>
        </w:tc>
        <w:tc>
          <w:tcPr>
            <w:tcW w:w="1843"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45'475’034</w:t>
            </w:r>
          </w:p>
        </w:tc>
        <w:tc>
          <w:tcPr>
            <w:tcW w:w="1843"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8'662’833</w:t>
            </w:r>
          </w:p>
        </w:tc>
        <w:tc>
          <w:tcPr>
            <w:tcW w:w="1448"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14</w:t>
            </w:r>
          </w:p>
        </w:tc>
      </w:tr>
      <w:tr w:rsidR="003D2B50" w:rsidRPr="00B5082E" w:rsidTr="00203F24">
        <w:trPr>
          <w:trHeight w:val="397"/>
        </w:trPr>
        <w:tc>
          <w:tcPr>
            <w:tcW w:w="2518" w:type="dxa"/>
            <w:shd w:val="clear" w:color="auto" w:fill="auto"/>
            <w:vAlign w:val="center"/>
          </w:tcPr>
          <w:p w:rsidR="003D2B50" w:rsidRPr="00B5082E" w:rsidRDefault="003D2B50" w:rsidP="00203F24">
            <w:pPr>
              <w:jc w:val="left"/>
              <w:rPr>
                <w:sz w:val="20"/>
                <w:szCs w:val="20"/>
                <w:lang w:val="it-IT" w:eastAsia="zh-CN"/>
              </w:rPr>
            </w:pPr>
            <w:r w:rsidRPr="00B5082E">
              <w:rPr>
                <w:sz w:val="20"/>
                <w:szCs w:val="20"/>
                <w:lang w:val="it-IT" w:eastAsia="zh-CN"/>
              </w:rPr>
              <w:t>Investimenti immateriali</w:t>
            </w:r>
          </w:p>
        </w:tc>
        <w:tc>
          <w:tcPr>
            <w:tcW w:w="2126"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29'462’770</w:t>
            </w:r>
          </w:p>
        </w:tc>
        <w:tc>
          <w:tcPr>
            <w:tcW w:w="1843"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20'272’085</w:t>
            </w:r>
          </w:p>
        </w:tc>
        <w:tc>
          <w:tcPr>
            <w:tcW w:w="1843"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3'942’279</w:t>
            </w:r>
          </w:p>
        </w:tc>
        <w:tc>
          <w:tcPr>
            <w:tcW w:w="1448"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10</w:t>
            </w:r>
          </w:p>
        </w:tc>
      </w:tr>
      <w:tr w:rsidR="003D2B50" w:rsidRPr="00B5082E" w:rsidTr="00203F24">
        <w:trPr>
          <w:trHeight w:val="397"/>
        </w:trPr>
        <w:tc>
          <w:tcPr>
            <w:tcW w:w="2518" w:type="dxa"/>
            <w:shd w:val="clear" w:color="auto" w:fill="auto"/>
            <w:vAlign w:val="center"/>
          </w:tcPr>
          <w:p w:rsidR="003D2B50" w:rsidRPr="00B5082E" w:rsidRDefault="003D2B50" w:rsidP="00203F24">
            <w:pPr>
              <w:jc w:val="left"/>
              <w:rPr>
                <w:sz w:val="20"/>
                <w:szCs w:val="20"/>
                <w:lang w:val="it-IT" w:eastAsia="zh-CN"/>
              </w:rPr>
            </w:pPr>
            <w:r w:rsidRPr="00B5082E">
              <w:rPr>
                <w:sz w:val="20"/>
                <w:szCs w:val="20"/>
                <w:lang w:val="it-IT" w:eastAsia="zh-CN"/>
              </w:rPr>
              <w:t>Fiere</w:t>
            </w:r>
          </w:p>
        </w:tc>
        <w:tc>
          <w:tcPr>
            <w:tcW w:w="2126"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7'959’664</w:t>
            </w:r>
          </w:p>
        </w:tc>
        <w:tc>
          <w:tcPr>
            <w:tcW w:w="1843"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8'156’404</w:t>
            </w:r>
          </w:p>
        </w:tc>
        <w:tc>
          <w:tcPr>
            <w:tcW w:w="1843"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2'669’252</w:t>
            </w:r>
          </w:p>
        </w:tc>
        <w:tc>
          <w:tcPr>
            <w:tcW w:w="1448"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309</w:t>
            </w:r>
          </w:p>
        </w:tc>
      </w:tr>
      <w:tr w:rsidR="003D2B50" w:rsidRPr="00B5082E" w:rsidTr="00203F24">
        <w:trPr>
          <w:trHeight w:val="397"/>
        </w:trPr>
        <w:tc>
          <w:tcPr>
            <w:tcW w:w="2518" w:type="dxa"/>
            <w:shd w:val="clear" w:color="auto" w:fill="auto"/>
            <w:vAlign w:val="center"/>
          </w:tcPr>
          <w:p w:rsidR="003D2B50" w:rsidRPr="00B5082E" w:rsidRDefault="003D2B50" w:rsidP="00203F24">
            <w:pPr>
              <w:jc w:val="left"/>
              <w:rPr>
                <w:sz w:val="20"/>
                <w:szCs w:val="20"/>
                <w:lang w:val="it-IT" w:eastAsia="zh-CN"/>
              </w:rPr>
            </w:pPr>
            <w:proofErr w:type="spellStart"/>
            <w:r w:rsidRPr="00B5082E">
              <w:rPr>
                <w:sz w:val="20"/>
                <w:szCs w:val="20"/>
                <w:lang w:val="it-IT" w:eastAsia="zh-CN"/>
              </w:rPr>
              <w:t>Innosuisse</w:t>
            </w:r>
            <w:proofErr w:type="spellEnd"/>
          </w:p>
        </w:tc>
        <w:tc>
          <w:tcPr>
            <w:tcW w:w="2126"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27'560’280</w:t>
            </w:r>
          </w:p>
        </w:tc>
        <w:tc>
          <w:tcPr>
            <w:tcW w:w="1843"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11'999’850</w:t>
            </w:r>
          </w:p>
        </w:tc>
        <w:tc>
          <w:tcPr>
            <w:tcW w:w="1843"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2'242’706</w:t>
            </w:r>
          </w:p>
        </w:tc>
        <w:tc>
          <w:tcPr>
            <w:tcW w:w="1448"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34</w:t>
            </w:r>
          </w:p>
        </w:tc>
      </w:tr>
      <w:tr w:rsidR="003D2B50" w:rsidRPr="00B5082E" w:rsidTr="00203F24">
        <w:trPr>
          <w:trHeight w:val="397"/>
        </w:trPr>
        <w:tc>
          <w:tcPr>
            <w:tcW w:w="2518" w:type="dxa"/>
            <w:shd w:val="clear" w:color="auto" w:fill="auto"/>
            <w:vAlign w:val="center"/>
          </w:tcPr>
          <w:p w:rsidR="003D2B50" w:rsidRPr="00B5082E" w:rsidRDefault="003D2B50" w:rsidP="00203F24">
            <w:pPr>
              <w:jc w:val="left"/>
              <w:rPr>
                <w:sz w:val="20"/>
                <w:szCs w:val="20"/>
                <w:lang w:val="it-IT" w:eastAsia="zh-CN"/>
              </w:rPr>
            </w:pPr>
            <w:r w:rsidRPr="00B5082E">
              <w:rPr>
                <w:sz w:val="20"/>
                <w:szCs w:val="20"/>
                <w:lang w:val="it-IT" w:eastAsia="zh-CN"/>
              </w:rPr>
              <w:t>UE</w:t>
            </w:r>
          </w:p>
        </w:tc>
        <w:tc>
          <w:tcPr>
            <w:tcW w:w="2126"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3'041’274</w:t>
            </w:r>
          </w:p>
        </w:tc>
        <w:tc>
          <w:tcPr>
            <w:tcW w:w="1843"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w:t>
            </w:r>
          </w:p>
        </w:tc>
        <w:tc>
          <w:tcPr>
            <w:tcW w:w="1843"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240’000</w:t>
            </w:r>
          </w:p>
        </w:tc>
        <w:tc>
          <w:tcPr>
            <w:tcW w:w="1448"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30</w:t>
            </w:r>
          </w:p>
        </w:tc>
      </w:tr>
      <w:tr w:rsidR="003D2B50" w:rsidRPr="00B5082E" w:rsidTr="00203F24">
        <w:trPr>
          <w:trHeight w:val="397"/>
        </w:trPr>
        <w:tc>
          <w:tcPr>
            <w:tcW w:w="2518" w:type="dxa"/>
            <w:shd w:val="clear" w:color="auto" w:fill="auto"/>
            <w:vAlign w:val="center"/>
          </w:tcPr>
          <w:p w:rsidR="003D2B50" w:rsidRPr="00B5082E" w:rsidRDefault="003D2B50" w:rsidP="00203F24">
            <w:pPr>
              <w:jc w:val="left"/>
              <w:rPr>
                <w:sz w:val="20"/>
                <w:szCs w:val="20"/>
                <w:lang w:val="it-IT" w:eastAsia="zh-CN"/>
              </w:rPr>
            </w:pPr>
            <w:r w:rsidRPr="00B5082E">
              <w:rPr>
                <w:sz w:val="20"/>
                <w:szCs w:val="20"/>
                <w:lang w:val="it-IT" w:eastAsia="zh-CN"/>
              </w:rPr>
              <w:t>SGE</w:t>
            </w:r>
          </w:p>
        </w:tc>
        <w:tc>
          <w:tcPr>
            <w:tcW w:w="2126"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113’854</w:t>
            </w:r>
          </w:p>
        </w:tc>
        <w:tc>
          <w:tcPr>
            <w:tcW w:w="1843"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114’963</w:t>
            </w:r>
          </w:p>
        </w:tc>
        <w:tc>
          <w:tcPr>
            <w:tcW w:w="1843"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34’118</w:t>
            </w:r>
          </w:p>
        </w:tc>
        <w:tc>
          <w:tcPr>
            <w:tcW w:w="1448"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9</w:t>
            </w:r>
          </w:p>
        </w:tc>
      </w:tr>
      <w:tr w:rsidR="003D2B50" w:rsidRPr="00B5082E" w:rsidTr="00203F24">
        <w:trPr>
          <w:trHeight w:val="397"/>
        </w:trPr>
        <w:tc>
          <w:tcPr>
            <w:tcW w:w="2518" w:type="dxa"/>
            <w:shd w:val="clear" w:color="auto" w:fill="auto"/>
            <w:vAlign w:val="center"/>
          </w:tcPr>
          <w:p w:rsidR="003D2B50" w:rsidRPr="00B5082E" w:rsidRDefault="003D2B50" w:rsidP="00203F24">
            <w:pPr>
              <w:jc w:val="left"/>
              <w:rPr>
                <w:sz w:val="20"/>
                <w:szCs w:val="20"/>
                <w:lang w:val="it-IT" w:eastAsia="zh-CN"/>
              </w:rPr>
            </w:pPr>
            <w:proofErr w:type="spellStart"/>
            <w:r w:rsidRPr="00B5082E">
              <w:rPr>
                <w:sz w:val="20"/>
                <w:szCs w:val="20"/>
                <w:lang w:val="it-IT" w:eastAsia="zh-CN"/>
              </w:rPr>
              <w:t>Coaching</w:t>
            </w:r>
            <w:proofErr w:type="spellEnd"/>
            <w:r w:rsidRPr="00B5082E">
              <w:rPr>
                <w:sz w:val="20"/>
                <w:szCs w:val="20"/>
                <w:lang w:val="it-IT" w:eastAsia="zh-CN"/>
              </w:rPr>
              <w:t xml:space="preserve"> Start up</w:t>
            </w:r>
          </w:p>
        </w:tc>
        <w:tc>
          <w:tcPr>
            <w:tcW w:w="2126"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167’888</w:t>
            </w:r>
          </w:p>
        </w:tc>
        <w:tc>
          <w:tcPr>
            <w:tcW w:w="1843"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166’754</w:t>
            </w:r>
          </w:p>
        </w:tc>
        <w:tc>
          <w:tcPr>
            <w:tcW w:w="1843"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25’000</w:t>
            </w:r>
          </w:p>
        </w:tc>
        <w:tc>
          <w:tcPr>
            <w:tcW w:w="1448"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2</w:t>
            </w:r>
          </w:p>
        </w:tc>
      </w:tr>
      <w:tr w:rsidR="003D2B50" w:rsidRPr="00B5082E" w:rsidTr="00203F24">
        <w:trPr>
          <w:trHeight w:val="397"/>
        </w:trPr>
        <w:tc>
          <w:tcPr>
            <w:tcW w:w="2518" w:type="dxa"/>
            <w:shd w:val="clear" w:color="auto" w:fill="FDE9D9"/>
            <w:vAlign w:val="center"/>
          </w:tcPr>
          <w:p w:rsidR="003D2B50" w:rsidRPr="00B5082E" w:rsidRDefault="003D2B50" w:rsidP="00203F24">
            <w:pPr>
              <w:jc w:val="left"/>
              <w:rPr>
                <w:b/>
                <w:sz w:val="20"/>
                <w:szCs w:val="20"/>
                <w:lang w:val="it-IT" w:eastAsia="zh-CN"/>
              </w:rPr>
            </w:pPr>
            <w:r w:rsidRPr="00B5082E">
              <w:rPr>
                <w:b/>
                <w:sz w:val="20"/>
                <w:szCs w:val="20"/>
                <w:lang w:val="it-IT" w:eastAsia="zh-CN"/>
              </w:rPr>
              <w:t>Totale misure dirette</w:t>
            </w:r>
          </w:p>
        </w:tc>
        <w:tc>
          <w:tcPr>
            <w:tcW w:w="2126" w:type="dxa"/>
            <w:shd w:val="clear" w:color="auto" w:fill="FDE9D9"/>
            <w:vAlign w:val="center"/>
          </w:tcPr>
          <w:p w:rsidR="003D2B50" w:rsidRPr="00B5082E" w:rsidRDefault="003D2B50" w:rsidP="00203F24">
            <w:pPr>
              <w:jc w:val="right"/>
              <w:rPr>
                <w:b/>
                <w:sz w:val="20"/>
                <w:szCs w:val="20"/>
                <w:lang w:val="it-IT" w:eastAsia="zh-CN"/>
              </w:rPr>
            </w:pPr>
            <w:r w:rsidRPr="00B5082E">
              <w:rPr>
                <w:b/>
                <w:sz w:val="20"/>
                <w:szCs w:val="20"/>
                <w:lang w:val="it-IT" w:eastAsia="zh-CN"/>
              </w:rPr>
              <w:t>162'399’781</w:t>
            </w:r>
          </w:p>
        </w:tc>
        <w:tc>
          <w:tcPr>
            <w:tcW w:w="1843" w:type="dxa"/>
            <w:shd w:val="clear" w:color="auto" w:fill="FDE9D9"/>
            <w:vAlign w:val="center"/>
          </w:tcPr>
          <w:p w:rsidR="003D2B50" w:rsidRPr="00B5082E" w:rsidRDefault="003D2B50" w:rsidP="00203F24">
            <w:pPr>
              <w:jc w:val="right"/>
              <w:rPr>
                <w:b/>
                <w:sz w:val="20"/>
                <w:szCs w:val="20"/>
                <w:lang w:val="it-IT" w:eastAsia="zh-CN"/>
              </w:rPr>
            </w:pPr>
            <w:r w:rsidRPr="00B5082E">
              <w:rPr>
                <w:b/>
                <w:sz w:val="20"/>
                <w:szCs w:val="20"/>
                <w:lang w:val="it-IT" w:eastAsia="zh-CN"/>
              </w:rPr>
              <w:t>86'185’090</w:t>
            </w:r>
          </w:p>
        </w:tc>
        <w:tc>
          <w:tcPr>
            <w:tcW w:w="1843" w:type="dxa"/>
            <w:shd w:val="clear" w:color="auto" w:fill="FDE9D9"/>
            <w:vAlign w:val="center"/>
          </w:tcPr>
          <w:p w:rsidR="003D2B50" w:rsidRPr="00B5082E" w:rsidRDefault="003D2B50" w:rsidP="00203F24">
            <w:pPr>
              <w:jc w:val="right"/>
              <w:rPr>
                <w:b/>
                <w:sz w:val="20"/>
                <w:szCs w:val="20"/>
                <w:lang w:val="it-IT" w:eastAsia="zh-CN"/>
              </w:rPr>
            </w:pPr>
            <w:r w:rsidRPr="00B5082E">
              <w:rPr>
                <w:b/>
                <w:sz w:val="20"/>
                <w:szCs w:val="20"/>
                <w:lang w:val="it-IT" w:eastAsia="zh-CN"/>
              </w:rPr>
              <w:t>17'816’188</w:t>
            </w:r>
          </w:p>
        </w:tc>
        <w:tc>
          <w:tcPr>
            <w:tcW w:w="1448" w:type="dxa"/>
            <w:shd w:val="clear" w:color="auto" w:fill="FDE9D9"/>
            <w:vAlign w:val="center"/>
          </w:tcPr>
          <w:p w:rsidR="003D2B50" w:rsidRPr="00B5082E" w:rsidRDefault="003D2B50" w:rsidP="00203F24">
            <w:pPr>
              <w:jc w:val="right"/>
              <w:rPr>
                <w:b/>
                <w:sz w:val="20"/>
                <w:szCs w:val="20"/>
                <w:lang w:val="it-IT" w:eastAsia="zh-CN"/>
              </w:rPr>
            </w:pPr>
            <w:r w:rsidRPr="00B5082E">
              <w:rPr>
                <w:b/>
                <w:sz w:val="20"/>
                <w:szCs w:val="20"/>
                <w:lang w:val="it-IT" w:eastAsia="zh-CN"/>
              </w:rPr>
              <w:t>408</w:t>
            </w:r>
          </w:p>
        </w:tc>
      </w:tr>
      <w:tr w:rsidR="003D2B50" w:rsidRPr="00B5082E" w:rsidTr="00203F24">
        <w:trPr>
          <w:trHeight w:val="397"/>
        </w:trPr>
        <w:tc>
          <w:tcPr>
            <w:tcW w:w="2518" w:type="dxa"/>
            <w:shd w:val="clear" w:color="auto" w:fill="auto"/>
            <w:vAlign w:val="center"/>
          </w:tcPr>
          <w:p w:rsidR="003D2B50" w:rsidRPr="00B5082E" w:rsidRDefault="003D2B50" w:rsidP="00203F24">
            <w:pPr>
              <w:jc w:val="left"/>
              <w:rPr>
                <w:sz w:val="20"/>
                <w:szCs w:val="20"/>
                <w:lang w:val="it-IT" w:eastAsia="zh-CN"/>
              </w:rPr>
            </w:pPr>
            <w:r w:rsidRPr="00B5082E">
              <w:rPr>
                <w:sz w:val="20"/>
                <w:szCs w:val="20"/>
                <w:lang w:val="it-IT" w:eastAsia="zh-CN"/>
              </w:rPr>
              <w:t>Informazione</w:t>
            </w:r>
          </w:p>
        </w:tc>
        <w:tc>
          <w:tcPr>
            <w:tcW w:w="2126"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731’300</w:t>
            </w:r>
          </w:p>
        </w:tc>
        <w:tc>
          <w:tcPr>
            <w:tcW w:w="1843"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731’300</w:t>
            </w:r>
          </w:p>
        </w:tc>
        <w:tc>
          <w:tcPr>
            <w:tcW w:w="1843"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500’000</w:t>
            </w:r>
          </w:p>
        </w:tc>
        <w:tc>
          <w:tcPr>
            <w:tcW w:w="1448"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9</w:t>
            </w:r>
          </w:p>
        </w:tc>
      </w:tr>
      <w:tr w:rsidR="003D2B50" w:rsidRPr="00B5082E" w:rsidTr="00203F24">
        <w:trPr>
          <w:trHeight w:val="397"/>
        </w:trPr>
        <w:tc>
          <w:tcPr>
            <w:tcW w:w="2518" w:type="dxa"/>
            <w:shd w:val="clear" w:color="auto" w:fill="auto"/>
            <w:vAlign w:val="center"/>
          </w:tcPr>
          <w:p w:rsidR="003D2B50" w:rsidRPr="00B5082E" w:rsidRDefault="003D2B50" w:rsidP="00203F24">
            <w:pPr>
              <w:jc w:val="left"/>
              <w:rPr>
                <w:sz w:val="20"/>
                <w:szCs w:val="20"/>
                <w:lang w:val="it-IT" w:eastAsia="zh-CN"/>
              </w:rPr>
            </w:pPr>
            <w:r w:rsidRPr="00B5082E">
              <w:rPr>
                <w:sz w:val="20"/>
                <w:szCs w:val="20"/>
                <w:lang w:val="it-IT" w:eastAsia="zh-CN"/>
              </w:rPr>
              <w:t>Marketing territoriale</w:t>
            </w:r>
          </w:p>
        </w:tc>
        <w:tc>
          <w:tcPr>
            <w:tcW w:w="2126"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3'912’960</w:t>
            </w:r>
          </w:p>
        </w:tc>
        <w:tc>
          <w:tcPr>
            <w:tcW w:w="1843"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3'912’960</w:t>
            </w:r>
          </w:p>
        </w:tc>
        <w:tc>
          <w:tcPr>
            <w:tcW w:w="1843"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238’983</w:t>
            </w:r>
          </w:p>
        </w:tc>
        <w:tc>
          <w:tcPr>
            <w:tcW w:w="1448" w:type="dxa"/>
            <w:shd w:val="clear" w:color="auto" w:fill="auto"/>
            <w:vAlign w:val="center"/>
          </w:tcPr>
          <w:p w:rsidR="003D2B50" w:rsidRPr="00B5082E" w:rsidRDefault="003D2B50" w:rsidP="00203F24">
            <w:pPr>
              <w:jc w:val="right"/>
              <w:rPr>
                <w:sz w:val="20"/>
                <w:szCs w:val="20"/>
                <w:lang w:val="it-IT" w:eastAsia="zh-CN"/>
              </w:rPr>
            </w:pPr>
            <w:r w:rsidRPr="00B5082E">
              <w:rPr>
                <w:sz w:val="20"/>
                <w:szCs w:val="20"/>
                <w:lang w:val="it-IT" w:eastAsia="zh-CN"/>
              </w:rPr>
              <w:t>4</w:t>
            </w:r>
          </w:p>
        </w:tc>
      </w:tr>
      <w:tr w:rsidR="003D2B50" w:rsidRPr="00B5082E" w:rsidTr="00203F24">
        <w:trPr>
          <w:trHeight w:val="397"/>
        </w:trPr>
        <w:tc>
          <w:tcPr>
            <w:tcW w:w="2518" w:type="dxa"/>
            <w:shd w:val="clear" w:color="auto" w:fill="FDE9D9"/>
            <w:vAlign w:val="center"/>
          </w:tcPr>
          <w:p w:rsidR="003D2B50" w:rsidRPr="00B5082E" w:rsidRDefault="003D2B50" w:rsidP="00203F24">
            <w:pPr>
              <w:jc w:val="left"/>
              <w:rPr>
                <w:b/>
                <w:sz w:val="20"/>
                <w:szCs w:val="20"/>
                <w:lang w:val="it-IT" w:eastAsia="zh-CN"/>
              </w:rPr>
            </w:pPr>
            <w:r w:rsidRPr="00B5082E">
              <w:rPr>
                <w:b/>
                <w:sz w:val="20"/>
                <w:szCs w:val="20"/>
                <w:lang w:val="it-IT" w:eastAsia="zh-CN"/>
              </w:rPr>
              <w:t>Totale misure indirette</w:t>
            </w:r>
          </w:p>
        </w:tc>
        <w:tc>
          <w:tcPr>
            <w:tcW w:w="2126" w:type="dxa"/>
            <w:shd w:val="clear" w:color="auto" w:fill="FDE9D9"/>
            <w:vAlign w:val="center"/>
          </w:tcPr>
          <w:p w:rsidR="003D2B50" w:rsidRPr="00B5082E" w:rsidRDefault="003D2B50" w:rsidP="00203F24">
            <w:pPr>
              <w:jc w:val="right"/>
              <w:rPr>
                <w:b/>
                <w:sz w:val="20"/>
                <w:szCs w:val="20"/>
                <w:lang w:val="it-IT" w:eastAsia="zh-CN"/>
              </w:rPr>
            </w:pPr>
            <w:r w:rsidRPr="00B5082E">
              <w:rPr>
                <w:b/>
                <w:sz w:val="20"/>
                <w:szCs w:val="20"/>
                <w:lang w:val="it-IT" w:eastAsia="zh-CN"/>
              </w:rPr>
              <w:t>4'644’260</w:t>
            </w:r>
          </w:p>
        </w:tc>
        <w:tc>
          <w:tcPr>
            <w:tcW w:w="1843" w:type="dxa"/>
            <w:shd w:val="clear" w:color="auto" w:fill="FDE9D9"/>
            <w:vAlign w:val="center"/>
          </w:tcPr>
          <w:p w:rsidR="003D2B50" w:rsidRPr="00B5082E" w:rsidRDefault="003D2B50" w:rsidP="00203F24">
            <w:pPr>
              <w:jc w:val="right"/>
              <w:rPr>
                <w:b/>
                <w:sz w:val="20"/>
                <w:szCs w:val="20"/>
                <w:lang w:val="it-IT" w:eastAsia="zh-CN"/>
              </w:rPr>
            </w:pPr>
            <w:r w:rsidRPr="00B5082E">
              <w:rPr>
                <w:b/>
                <w:sz w:val="20"/>
                <w:szCs w:val="20"/>
                <w:lang w:val="it-IT" w:eastAsia="zh-CN"/>
              </w:rPr>
              <w:t>4'644’260</w:t>
            </w:r>
          </w:p>
        </w:tc>
        <w:tc>
          <w:tcPr>
            <w:tcW w:w="1843" w:type="dxa"/>
            <w:shd w:val="clear" w:color="auto" w:fill="FDE9D9"/>
            <w:vAlign w:val="center"/>
          </w:tcPr>
          <w:p w:rsidR="003D2B50" w:rsidRPr="00B5082E" w:rsidRDefault="003D2B50" w:rsidP="00203F24">
            <w:pPr>
              <w:jc w:val="right"/>
              <w:rPr>
                <w:b/>
                <w:sz w:val="20"/>
                <w:szCs w:val="20"/>
                <w:lang w:val="it-IT" w:eastAsia="zh-CN"/>
              </w:rPr>
            </w:pPr>
            <w:r w:rsidRPr="00B5082E">
              <w:rPr>
                <w:b/>
                <w:sz w:val="20"/>
                <w:szCs w:val="20"/>
                <w:lang w:val="it-IT" w:eastAsia="zh-CN"/>
              </w:rPr>
              <w:t>738’983</w:t>
            </w:r>
          </w:p>
        </w:tc>
        <w:tc>
          <w:tcPr>
            <w:tcW w:w="1448" w:type="dxa"/>
            <w:shd w:val="clear" w:color="auto" w:fill="FDE9D9"/>
            <w:vAlign w:val="center"/>
          </w:tcPr>
          <w:p w:rsidR="003D2B50" w:rsidRPr="00B5082E" w:rsidRDefault="003D2B50" w:rsidP="00203F24">
            <w:pPr>
              <w:jc w:val="right"/>
              <w:rPr>
                <w:b/>
                <w:sz w:val="20"/>
                <w:szCs w:val="20"/>
                <w:lang w:val="it-IT" w:eastAsia="zh-CN"/>
              </w:rPr>
            </w:pPr>
            <w:r w:rsidRPr="00B5082E">
              <w:rPr>
                <w:b/>
                <w:sz w:val="20"/>
                <w:szCs w:val="20"/>
                <w:lang w:val="it-IT" w:eastAsia="zh-CN"/>
              </w:rPr>
              <w:t>13</w:t>
            </w:r>
          </w:p>
        </w:tc>
      </w:tr>
      <w:tr w:rsidR="003D2B50" w:rsidRPr="00B5082E" w:rsidTr="00203F24">
        <w:trPr>
          <w:trHeight w:val="397"/>
        </w:trPr>
        <w:tc>
          <w:tcPr>
            <w:tcW w:w="2518" w:type="dxa"/>
            <w:shd w:val="clear" w:color="auto" w:fill="F2F2F2"/>
            <w:vAlign w:val="center"/>
          </w:tcPr>
          <w:p w:rsidR="003D2B50" w:rsidRPr="00B5082E" w:rsidRDefault="003D2B50" w:rsidP="00203F24">
            <w:pPr>
              <w:jc w:val="left"/>
              <w:rPr>
                <w:b/>
                <w:sz w:val="20"/>
                <w:szCs w:val="20"/>
                <w:lang w:val="it-IT" w:eastAsia="zh-CN"/>
              </w:rPr>
            </w:pPr>
            <w:r w:rsidRPr="00B5082E">
              <w:rPr>
                <w:b/>
                <w:sz w:val="20"/>
                <w:szCs w:val="20"/>
                <w:lang w:val="it-IT" w:eastAsia="zh-CN"/>
              </w:rPr>
              <w:t>Totale complessivo</w:t>
            </w:r>
          </w:p>
        </w:tc>
        <w:tc>
          <w:tcPr>
            <w:tcW w:w="2126" w:type="dxa"/>
            <w:shd w:val="clear" w:color="auto" w:fill="F2F2F2"/>
            <w:vAlign w:val="center"/>
          </w:tcPr>
          <w:p w:rsidR="003D2B50" w:rsidRPr="00B5082E" w:rsidRDefault="003D2B50" w:rsidP="00203F24">
            <w:pPr>
              <w:jc w:val="right"/>
              <w:rPr>
                <w:b/>
                <w:sz w:val="20"/>
                <w:szCs w:val="20"/>
                <w:lang w:val="it-IT" w:eastAsia="zh-CN"/>
              </w:rPr>
            </w:pPr>
            <w:r w:rsidRPr="00B5082E">
              <w:rPr>
                <w:b/>
                <w:sz w:val="20"/>
                <w:szCs w:val="20"/>
                <w:lang w:val="it-IT" w:eastAsia="zh-CN"/>
              </w:rPr>
              <w:t>167'044’041</w:t>
            </w:r>
          </w:p>
        </w:tc>
        <w:tc>
          <w:tcPr>
            <w:tcW w:w="1843" w:type="dxa"/>
            <w:shd w:val="clear" w:color="auto" w:fill="F2F2F2"/>
            <w:vAlign w:val="center"/>
          </w:tcPr>
          <w:p w:rsidR="003D2B50" w:rsidRPr="00B5082E" w:rsidRDefault="003D2B50" w:rsidP="00203F24">
            <w:pPr>
              <w:jc w:val="right"/>
              <w:rPr>
                <w:b/>
                <w:sz w:val="20"/>
                <w:szCs w:val="20"/>
                <w:lang w:val="it-IT" w:eastAsia="zh-CN"/>
              </w:rPr>
            </w:pPr>
            <w:r w:rsidRPr="00B5082E">
              <w:rPr>
                <w:b/>
                <w:sz w:val="20"/>
                <w:szCs w:val="20"/>
                <w:lang w:val="it-IT" w:eastAsia="zh-CN"/>
              </w:rPr>
              <w:t>90'829’350</w:t>
            </w:r>
          </w:p>
        </w:tc>
        <w:tc>
          <w:tcPr>
            <w:tcW w:w="1843" w:type="dxa"/>
            <w:shd w:val="clear" w:color="auto" w:fill="F2F2F2"/>
            <w:vAlign w:val="center"/>
          </w:tcPr>
          <w:p w:rsidR="003D2B50" w:rsidRPr="00B5082E" w:rsidRDefault="003D2B50" w:rsidP="00203F24">
            <w:pPr>
              <w:jc w:val="right"/>
              <w:rPr>
                <w:b/>
                <w:sz w:val="20"/>
                <w:szCs w:val="20"/>
                <w:lang w:val="it-IT" w:eastAsia="zh-CN"/>
              </w:rPr>
            </w:pPr>
            <w:r w:rsidRPr="00B5082E">
              <w:rPr>
                <w:b/>
                <w:sz w:val="20"/>
                <w:szCs w:val="20"/>
                <w:lang w:val="it-IT" w:eastAsia="zh-CN"/>
              </w:rPr>
              <w:t>18'555’171</w:t>
            </w:r>
          </w:p>
        </w:tc>
        <w:tc>
          <w:tcPr>
            <w:tcW w:w="1448" w:type="dxa"/>
            <w:shd w:val="clear" w:color="auto" w:fill="F2F2F2"/>
            <w:vAlign w:val="center"/>
          </w:tcPr>
          <w:p w:rsidR="003D2B50" w:rsidRPr="00B5082E" w:rsidRDefault="003D2B50" w:rsidP="00203F24">
            <w:pPr>
              <w:jc w:val="right"/>
              <w:rPr>
                <w:b/>
                <w:sz w:val="20"/>
                <w:szCs w:val="20"/>
                <w:lang w:val="it-IT" w:eastAsia="zh-CN"/>
              </w:rPr>
            </w:pPr>
            <w:r w:rsidRPr="00B5082E">
              <w:rPr>
                <w:b/>
                <w:sz w:val="20"/>
                <w:szCs w:val="20"/>
                <w:lang w:val="it-IT" w:eastAsia="zh-CN"/>
              </w:rPr>
              <w:t>421</w:t>
            </w:r>
          </w:p>
        </w:tc>
      </w:tr>
    </w:tbl>
    <w:p w:rsidR="003D2B50" w:rsidRPr="00B535A5" w:rsidRDefault="003D2B50" w:rsidP="002B5656">
      <w:pPr>
        <w:spacing w:before="60"/>
        <w:jc w:val="right"/>
        <w:rPr>
          <w:sz w:val="20"/>
          <w:szCs w:val="20"/>
          <w:lang w:val="it-IT" w:eastAsia="zh-CN"/>
        </w:rPr>
      </w:pPr>
      <w:r w:rsidRPr="00DC6B42">
        <w:rPr>
          <w:sz w:val="20"/>
          <w:szCs w:val="20"/>
        </w:rPr>
        <w:t>Fonte: UAC, elaborazione dati al 31.12.2019.</w:t>
      </w:r>
    </w:p>
    <w:p w:rsidR="002B5656" w:rsidRDefault="002B5656">
      <w:pPr>
        <w:rPr>
          <w:b/>
          <w:caps/>
          <w:szCs w:val="24"/>
          <w:lang w:val="it-IT" w:eastAsia="it-IT"/>
        </w:rPr>
      </w:pPr>
      <w:bookmarkStart w:id="36" w:name="_Toc37096441"/>
      <w:bookmarkStart w:id="37" w:name="_Toc32253664"/>
      <w:bookmarkStart w:id="38" w:name="_Toc432594765"/>
      <w:r>
        <w:br w:type="page"/>
      </w:r>
    </w:p>
    <w:p w:rsidR="003D2B50" w:rsidRDefault="002B5656" w:rsidP="002B5656">
      <w:pPr>
        <w:pStyle w:val="Titolo1"/>
        <w:ind w:left="567" w:hanging="567"/>
      </w:pPr>
      <w:bookmarkStart w:id="39" w:name="_Toc39677869"/>
      <w:r>
        <w:lastRenderedPageBreak/>
        <w:t>4.</w:t>
      </w:r>
      <w:r>
        <w:tab/>
      </w:r>
      <w:r w:rsidR="003D2B50" w:rsidRPr="00B57E7F">
        <w:t xml:space="preserve">programma </w:t>
      </w:r>
      <w:r w:rsidR="003D2B50">
        <w:t>di promozione dell’innovazione 2020 – 2023</w:t>
      </w:r>
      <w:bookmarkEnd w:id="36"/>
      <w:bookmarkEnd w:id="39"/>
    </w:p>
    <w:p w:rsidR="003D2B50" w:rsidRPr="007A4FD7" w:rsidRDefault="00620DBC" w:rsidP="002B5656">
      <w:pPr>
        <w:pStyle w:val="Titolo2"/>
      </w:pPr>
      <w:bookmarkStart w:id="40" w:name="_Toc37096442"/>
      <w:bookmarkStart w:id="41" w:name="_Toc39677870"/>
      <w:r>
        <w:t>4.1</w:t>
      </w:r>
      <w:r>
        <w:tab/>
      </w:r>
      <w:r w:rsidR="003D2B50" w:rsidRPr="007A4FD7">
        <w:t>Priorità programmatiche</w:t>
      </w:r>
      <w:bookmarkEnd w:id="40"/>
      <w:bookmarkEnd w:id="41"/>
    </w:p>
    <w:p w:rsidR="003D2B50" w:rsidRDefault="003D2B50" w:rsidP="003D2B50">
      <w:pPr>
        <w:pStyle w:val="Corpotesto"/>
      </w:pPr>
      <w:r>
        <w:t xml:space="preserve">La </w:t>
      </w:r>
      <w:proofErr w:type="spellStart"/>
      <w:r>
        <w:t>LInn</w:t>
      </w:r>
      <w:proofErr w:type="spellEnd"/>
      <w:r>
        <w:t xml:space="preserve"> prevede, all’art. 16 cpv. 1, che il Consiglio di Stato adotti un programma per la promozione dell’innovazione</w:t>
      </w:r>
      <w:r w:rsidRPr="00B905FF">
        <w:t xml:space="preserve">, identificando </w:t>
      </w:r>
      <w:r>
        <w:t xml:space="preserve">in particolare i settori chiave. </w:t>
      </w:r>
    </w:p>
    <w:p w:rsidR="003D2B50" w:rsidRPr="002B5656" w:rsidRDefault="003D2B50" w:rsidP="003D2B50">
      <w:pPr>
        <w:pStyle w:val="Corpotesto"/>
        <w:rPr>
          <w:sz w:val="18"/>
          <w:szCs w:val="18"/>
        </w:rPr>
      </w:pPr>
    </w:p>
    <w:p w:rsidR="003D2B50" w:rsidRDefault="003D2B50" w:rsidP="003D2B50">
      <w:pPr>
        <w:pStyle w:val="Corpotesto"/>
      </w:pPr>
      <w:r>
        <w:t>Conformemente a quanto stabilito dal Regolamento</w:t>
      </w:r>
      <w:r>
        <w:rPr>
          <w:rStyle w:val="Rimandonotaapidipagina"/>
        </w:rPr>
        <w:footnoteReference w:id="5"/>
      </w:r>
      <w:r>
        <w:t xml:space="preserve">, la parte del programma riguardante le principali azioni in materia d’innovazione è stata condivisa con le principali associazioni economiche e con gli istituti universitari. </w:t>
      </w:r>
    </w:p>
    <w:p w:rsidR="003D2B50" w:rsidRPr="002B5656" w:rsidRDefault="003D2B50" w:rsidP="003D2B50">
      <w:pPr>
        <w:pStyle w:val="Corpotesto"/>
        <w:rPr>
          <w:sz w:val="18"/>
          <w:szCs w:val="18"/>
        </w:rPr>
      </w:pPr>
    </w:p>
    <w:p w:rsidR="003D2B50" w:rsidRDefault="003D2B50" w:rsidP="003D2B50">
      <w:pPr>
        <w:pStyle w:val="Corpotesto"/>
      </w:pPr>
      <w:r>
        <w:t xml:space="preserve">Qui di seguito, sono illustrate le misure prioritarie previste dalla </w:t>
      </w:r>
      <w:proofErr w:type="spellStart"/>
      <w:r>
        <w:t>LI</w:t>
      </w:r>
      <w:r w:rsidR="00620DBC">
        <w:t>nn</w:t>
      </w:r>
      <w:proofErr w:type="spellEnd"/>
      <w:r w:rsidR="00620DBC">
        <w:t xml:space="preserve"> per il prossimo quadriennio.</w:t>
      </w:r>
    </w:p>
    <w:p w:rsidR="00620DBC" w:rsidRDefault="00620DBC" w:rsidP="003D2B50">
      <w:pPr>
        <w:pStyle w:val="Corpotesto"/>
      </w:pPr>
    </w:p>
    <w:p w:rsidR="003D2B50" w:rsidRDefault="003D2B50" w:rsidP="003D2B50">
      <w:pPr>
        <w:pStyle w:val="Corpotesto"/>
      </w:pPr>
      <w:r w:rsidRPr="002E204C">
        <w:t xml:space="preserve">Anche nel prossimo quadriennio </w:t>
      </w:r>
      <w:r>
        <w:t>si intende impiegare</w:t>
      </w:r>
      <w:r w:rsidRPr="0026720D">
        <w:t xml:space="preserve"> </w:t>
      </w:r>
      <w:r>
        <w:t xml:space="preserve">i CHF 20 milioni del credito quadro della </w:t>
      </w:r>
      <w:proofErr w:type="spellStart"/>
      <w:r>
        <w:t>LInn</w:t>
      </w:r>
      <w:proofErr w:type="spellEnd"/>
      <w:r>
        <w:t xml:space="preserve"> per:</w:t>
      </w:r>
    </w:p>
    <w:p w:rsidR="003D2B50" w:rsidRPr="0026720D" w:rsidRDefault="003D2B50" w:rsidP="003D2B50">
      <w:pPr>
        <w:pStyle w:val="Corpotesto"/>
        <w:numPr>
          <w:ilvl w:val="0"/>
          <w:numId w:val="27"/>
        </w:numPr>
        <w:tabs>
          <w:tab w:val="clear" w:pos="426"/>
        </w:tabs>
        <w:spacing w:before="40"/>
        <w:ind w:left="284" w:hanging="284"/>
        <w:rPr>
          <w:rFonts w:cs="Arial"/>
        </w:rPr>
      </w:pPr>
      <w:r w:rsidRPr="0026720D">
        <w:rPr>
          <w:rFonts w:cs="Arial"/>
        </w:rPr>
        <w:t xml:space="preserve">sostenere la presentazione di progetti di ricerca applicata al fondo nazionale </w:t>
      </w:r>
      <w:proofErr w:type="spellStart"/>
      <w:r w:rsidRPr="0026720D">
        <w:rPr>
          <w:rFonts w:cs="Arial"/>
        </w:rPr>
        <w:t>Innosuisse</w:t>
      </w:r>
      <w:proofErr w:type="spellEnd"/>
      <w:r w:rsidRPr="0026720D">
        <w:rPr>
          <w:rFonts w:cs="Arial"/>
        </w:rPr>
        <w:t xml:space="preserve"> e ai programmi europei (principalmente </w:t>
      </w:r>
      <w:proofErr w:type="spellStart"/>
      <w:r w:rsidRPr="0026720D">
        <w:rPr>
          <w:rFonts w:cs="Arial"/>
        </w:rPr>
        <w:t>Horizon</w:t>
      </w:r>
      <w:proofErr w:type="spellEnd"/>
      <w:r w:rsidRPr="0026720D">
        <w:rPr>
          <w:rFonts w:cs="Arial"/>
        </w:rPr>
        <w:t xml:space="preserve"> 2020 e, dal 2021, il suo successore </w:t>
      </w:r>
      <w:proofErr w:type="spellStart"/>
      <w:r w:rsidRPr="0026720D">
        <w:rPr>
          <w:rFonts w:cs="Arial"/>
        </w:rPr>
        <w:t>Horizon</w:t>
      </w:r>
      <w:proofErr w:type="spellEnd"/>
      <w:r w:rsidRPr="0026720D">
        <w:rPr>
          <w:rFonts w:cs="Arial"/>
        </w:rPr>
        <w:t xml:space="preserve"> Europe);</w:t>
      </w:r>
    </w:p>
    <w:p w:rsidR="003D2B50" w:rsidRPr="0026720D" w:rsidRDefault="003D2B50" w:rsidP="003D2B50">
      <w:pPr>
        <w:pStyle w:val="Corpotesto"/>
        <w:numPr>
          <w:ilvl w:val="0"/>
          <w:numId w:val="27"/>
        </w:numPr>
        <w:tabs>
          <w:tab w:val="clear" w:pos="426"/>
        </w:tabs>
        <w:spacing w:before="40"/>
        <w:ind w:left="284" w:hanging="284"/>
        <w:rPr>
          <w:rFonts w:cs="Arial"/>
        </w:rPr>
      </w:pPr>
      <w:r w:rsidRPr="0026720D">
        <w:rPr>
          <w:rFonts w:cs="Arial"/>
        </w:rPr>
        <w:t>la realizzazione di investimenti innovativi (materiali e immateriali);</w:t>
      </w:r>
    </w:p>
    <w:p w:rsidR="003D2B50" w:rsidRPr="0026720D" w:rsidRDefault="003D2B50" w:rsidP="003D2B50">
      <w:pPr>
        <w:pStyle w:val="Corpotesto"/>
        <w:numPr>
          <w:ilvl w:val="0"/>
          <w:numId w:val="27"/>
        </w:numPr>
        <w:tabs>
          <w:tab w:val="clear" w:pos="426"/>
        </w:tabs>
        <w:spacing w:before="40"/>
        <w:ind w:left="284" w:hanging="284"/>
        <w:rPr>
          <w:rFonts w:cs="Arial"/>
        </w:rPr>
      </w:pPr>
      <w:r w:rsidRPr="0026720D">
        <w:rPr>
          <w:rFonts w:cs="Arial"/>
        </w:rPr>
        <w:t xml:space="preserve">l’internazionalizzazione (missioni all’estero e fiere specialistiche). </w:t>
      </w:r>
    </w:p>
    <w:p w:rsidR="003D2B50" w:rsidRDefault="003D2B50" w:rsidP="003D2B50">
      <w:pPr>
        <w:pStyle w:val="Corpotesto"/>
      </w:pPr>
    </w:p>
    <w:p w:rsidR="003D2B50" w:rsidRDefault="003D2B50" w:rsidP="003D2B50">
      <w:pPr>
        <w:pStyle w:val="Corpotesto"/>
      </w:pPr>
      <w:r>
        <w:t xml:space="preserve">Si ricorda a questo proposito che l’effettivo impiego delle misure </w:t>
      </w:r>
      <w:proofErr w:type="spellStart"/>
      <w:r>
        <w:t>LInn</w:t>
      </w:r>
      <w:proofErr w:type="spellEnd"/>
      <w:r>
        <w:t xml:space="preserve">, essendo questa una legge di sostegno all’iniziativa privata, dipende fortemente dalle richieste che giungono dalle aziende. Qualora tutti impiegati, i fondi della </w:t>
      </w:r>
      <w:proofErr w:type="spellStart"/>
      <w:r>
        <w:t>LInn</w:t>
      </w:r>
      <w:proofErr w:type="spellEnd"/>
      <w:r>
        <w:t xml:space="preserve">, tenuto conto dei dati registrati nel presente quadriennio, dovrebbero contribuire a generare investimenti sul territorio per oltre 150 milioni di franchi </w:t>
      </w:r>
    </w:p>
    <w:p w:rsidR="003D2B50" w:rsidRPr="002B5656" w:rsidRDefault="003D2B50" w:rsidP="003D2B50">
      <w:pPr>
        <w:pStyle w:val="Corpotesto"/>
        <w:rPr>
          <w:sz w:val="18"/>
          <w:szCs w:val="18"/>
        </w:rPr>
      </w:pPr>
    </w:p>
    <w:p w:rsidR="003D2B50" w:rsidRDefault="003D2B50" w:rsidP="003D2B50">
      <w:pPr>
        <w:pStyle w:val="Corpotesto"/>
      </w:pPr>
      <w:r>
        <w:t xml:space="preserve">Nonostante la diminuzione delle nuove richieste </w:t>
      </w:r>
      <w:r w:rsidRPr="00891F80">
        <w:t xml:space="preserve">e i segnali di rallentamento congiunturale che potrebbero far scendere ulteriormente il volume delle richieste, </w:t>
      </w:r>
      <w:r>
        <w:t>viene</w:t>
      </w:r>
      <w:r w:rsidRPr="00891F80">
        <w:t xml:space="preserve"> conferma</w:t>
      </w:r>
      <w:r>
        <w:t>to,</w:t>
      </w:r>
      <w:r w:rsidRPr="00891F80">
        <w:t xml:space="preserve"> anche per il quadriennio 2020-2023, l’attuale credito quadro.</w:t>
      </w:r>
      <w:r>
        <w:t xml:space="preserve"> L’Ufficio per lo sviluppo </w:t>
      </w:r>
      <w:r w:rsidRPr="00D64B97">
        <w:t>economico, al fine di rafforzare le relazioni con le aziende e adeguare il suo supporto,</w:t>
      </w:r>
      <w:r>
        <w:t xml:space="preserve"> intende concretizzare, a partire da gennaio 2020, un progetto di “</w:t>
      </w:r>
      <w:proofErr w:type="spellStart"/>
      <w:r w:rsidRPr="00CA4F6D">
        <w:rPr>
          <w:i/>
        </w:rPr>
        <w:t>key</w:t>
      </w:r>
      <w:proofErr w:type="spellEnd"/>
      <w:r w:rsidRPr="00CA4F6D">
        <w:rPr>
          <w:i/>
        </w:rPr>
        <w:t xml:space="preserve"> account management</w:t>
      </w:r>
      <w:r>
        <w:t xml:space="preserve">” con l’obiettivo di avvicinare ulteriormente le aziende agli strumenti di promozione dell’innovazione. </w:t>
      </w:r>
    </w:p>
    <w:p w:rsidR="003D2B50" w:rsidRPr="002B5656" w:rsidRDefault="003D2B50" w:rsidP="003D2B50">
      <w:pPr>
        <w:pStyle w:val="Corpotesto"/>
        <w:rPr>
          <w:sz w:val="18"/>
          <w:szCs w:val="18"/>
        </w:rPr>
      </w:pPr>
    </w:p>
    <w:p w:rsidR="003D2B50" w:rsidRDefault="003D2B50" w:rsidP="003D2B50">
      <w:pPr>
        <w:pStyle w:val="Corpotesto"/>
      </w:pPr>
      <w:r>
        <w:t>Per agevolare il lavoro amministrativo e rendere più snella la procedura di richiesta, l’Ufficio per lo sviluppo economico ha inoltre avviato, in collaborazione con il Centro sistemi informativi e l’Area dei servizi amministrativi e gestione del web, un progetto di digitalizzazione delle procedure di invio e gestione delle richieste di sussidio. La fase test è stata avviata nell’autunno 2019, mentre l’abilitazione del nuovo sistema di inoltro online delle richieste, che si affiancherà alle modalità correnti, è progettata per il primo trimestre del 2020.</w:t>
      </w:r>
      <w:bookmarkStart w:id="42" w:name="_Toc25326133"/>
    </w:p>
    <w:p w:rsidR="00620DBC" w:rsidRPr="002B5656" w:rsidRDefault="00620DBC" w:rsidP="003D2B50">
      <w:pPr>
        <w:pStyle w:val="Corpotesto"/>
        <w:rPr>
          <w:sz w:val="20"/>
        </w:rPr>
      </w:pPr>
    </w:p>
    <w:p w:rsidR="00620DBC" w:rsidRPr="002B5656" w:rsidRDefault="00620DBC" w:rsidP="003D2B50">
      <w:pPr>
        <w:pStyle w:val="Corpotesto"/>
        <w:rPr>
          <w:sz w:val="20"/>
        </w:rPr>
      </w:pPr>
    </w:p>
    <w:p w:rsidR="003D2B50" w:rsidRDefault="003D2B50" w:rsidP="002B5656">
      <w:pPr>
        <w:pStyle w:val="Titolo2"/>
      </w:pPr>
      <w:bookmarkStart w:id="43" w:name="_Toc37096443"/>
      <w:bookmarkStart w:id="44" w:name="_Toc39677871"/>
      <w:r w:rsidRPr="00D82609">
        <w:t>4.2</w:t>
      </w:r>
      <w:r w:rsidR="002B5656">
        <w:tab/>
      </w:r>
      <w:r w:rsidRPr="00D82609">
        <w:t>Settori chiave</w:t>
      </w:r>
      <w:bookmarkEnd w:id="42"/>
      <w:bookmarkEnd w:id="43"/>
      <w:bookmarkEnd w:id="44"/>
    </w:p>
    <w:p w:rsidR="002B5656" w:rsidRDefault="003D2B50" w:rsidP="002B5656">
      <w:pPr>
        <w:pStyle w:val="Corpotesto"/>
      </w:pPr>
      <w:r>
        <w:t>La legge prevede che il Consiglio di Stato identifichi i settori chiave per la promozione dell’innovazione. Nel messaggio n. 7060 dell’11 marzo 2015 il Consiglio di Stato, proponeva di concentrare l’attenzione sui settori delle scienze della vita, della meccanica ed elettronica, delle tecnologie dell’informazione e della comunicazione (ICT) e della moda.</w:t>
      </w:r>
      <w:r w:rsidR="002B5656">
        <w:br w:type="page"/>
      </w:r>
    </w:p>
    <w:p w:rsidR="003D2B50" w:rsidRDefault="003D2B50" w:rsidP="003D2B50">
      <w:pPr>
        <w:pStyle w:val="Corpotesto"/>
      </w:pPr>
      <w:r w:rsidRPr="002E204C">
        <w:lastRenderedPageBreak/>
        <w:t>La proposta effettuata quattro anni or sono trova conferma</w:t>
      </w:r>
      <w:r>
        <w:t>. I</w:t>
      </w:r>
      <w:r w:rsidRPr="002E204C">
        <w:t xml:space="preserve"> principali beneficiari del</w:t>
      </w:r>
      <w:r>
        <w:t xml:space="preserve"> credito quadro 2016-2019</w:t>
      </w:r>
      <w:r w:rsidRPr="002E204C">
        <w:t xml:space="preserve"> sono realtà attive nei settori della chimica e della farmaceutica, sia lato produzione che ricerca (tutte afferenti al settore delle scienze della vita), </w:t>
      </w:r>
      <w:r>
        <w:t>dell</w:t>
      </w:r>
      <w:r w:rsidRPr="002E204C">
        <w:t xml:space="preserve">a produzione di macchine e apparecchiature elettriche ed elettroniche (meccanica ed elettronica) e, ancora marginalmente ma in crescita, nelle ICT. Diversi indizi lasciano inoltre supporre che i </w:t>
      </w:r>
      <w:r w:rsidRPr="002E204C">
        <w:rPr>
          <w:bCs/>
        </w:rPr>
        <w:t>settori di specializzazione</w:t>
      </w:r>
      <w:r w:rsidRPr="002E204C">
        <w:t xml:space="preserve"> (in particolare le scienze della vita e le ICT) rappresenteranno i motori della crescita futura.</w:t>
      </w:r>
      <w:r w:rsidRPr="002E204C">
        <w:rPr>
          <w:vertAlign w:val="superscript"/>
        </w:rPr>
        <w:footnoteReference w:id="6"/>
      </w:r>
      <w:r w:rsidRPr="002E204C">
        <w:t xml:space="preserve"> </w:t>
      </w:r>
    </w:p>
    <w:p w:rsidR="003D2B50" w:rsidRDefault="003D2B50" w:rsidP="003D2B50">
      <w:pPr>
        <w:pStyle w:val="Corpotesto"/>
      </w:pPr>
    </w:p>
    <w:p w:rsidR="003D2B50" w:rsidRDefault="003D2B50" w:rsidP="003D2B50">
      <w:pPr>
        <w:pStyle w:val="Corpotesto"/>
      </w:pPr>
      <w:r>
        <w:t>Infatti, è proprio in questi settori che</w:t>
      </w:r>
      <w:r w:rsidRPr="00D64B97">
        <w:t xml:space="preserve"> sono stati individuati gli ambiti di azione dei futuri centri di competenze che costituiranno l’ossatura del progetto </w:t>
      </w:r>
      <w:proofErr w:type="spellStart"/>
      <w:r w:rsidRPr="00D64B97">
        <w:t>Switzerland</w:t>
      </w:r>
      <w:proofErr w:type="spellEnd"/>
      <w:r w:rsidRPr="00D64B97">
        <w:t xml:space="preserve"> </w:t>
      </w:r>
      <w:proofErr w:type="spellStart"/>
      <w:r w:rsidRPr="00D64B97">
        <w:t>Innovation</w:t>
      </w:r>
      <w:proofErr w:type="spellEnd"/>
      <w:r>
        <w:t xml:space="preserve">. </w:t>
      </w:r>
    </w:p>
    <w:p w:rsidR="002B5656" w:rsidRDefault="002B5656" w:rsidP="003D2B50">
      <w:pPr>
        <w:pStyle w:val="Corpotesto"/>
      </w:pPr>
    </w:p>
    <w:p w:rsidR="003D2B50" w:rsidRDefault="003D2B50" w:rsidP="003D2B50">
      <w:pPr>
        <w:pStyle w:val="Corpotesto"/>
      </w:pPr>
      <w:r>
        <w:t xml:space="preserve">Questo progetto ha saputo condensare l’interesse delle aziende attorno ai temi delle scienze della vita (con particolare accento sulle competenze presenti in termini di farmacovigilanza, somministrazione di farmaci, </w:t>
      </w:r>
      <w:proofErr w:type="spellStart"/>
      <w:r>
        <w:t>biofabbricazione</w:t>
      </w:r>
      <w:proofErr w:type="spellEnd"/>
      <w:r>
        <w:t xml:space="preserve">, immunoterapia e ortopedia), delle ICT (software e data </w:t>
      </w:r>
      <w:proofErr w:type="spellStart"/>
      <w:r>
        <w:t>engineering</w:t>
      </w:r>
      <w:proofErr w:type="spellEnd"/>
      <w:r>
        <w:t xml:space="preserve">, intelligenza artificiale, </w:t>
      </w:r>
      <w:proofErr w:type="spellStart"/>
      <w:r>
        <w:t>blockchain</w:t>
      </w:r>
      <w:proofErr w:type="spellEnd"/>
      <w:r>
        <w:t xml:space="preserve"> e applicazioni decentralizzate), dell’ingegneria civile e dei droni.</w:t>
      </w:r>
    </w:p>
    <w:p w:rsidR="003D2B50" w:rsidRDefault="003D2B50" w:rsidP="003D2B50">
      <w:pPr>
        <w:pStyle w:val="Corpotesto"/>
      </w:pPr>
    </w:p>
    <w:p w:rsidR="003D2B50" w:rsidRDefault="003D2B50" w:rsidP="003D2B50">
      <w:pPr>
        <w:pStyle w:val="Corpotesto"/>
      </w:pPr>
      <w:r w:rsidRPr="002E204C">
        <w:t xml:space="preserve">Sarà dunque su queste competenze chiave che si orienterà la politica dell’innovazione nel prossimo quadriennio, e in particolare sulla realizzazione del progetto </w:t>
      </w:r>
      <w:proofErr w:type="spellStart"/>
      <w:r w:rsidRPr="002E204C">
        <w:t>Switzerland</w:t>
      </w:r>
      <w:proofErr w:type="spellEnd"/>
      <w:r w:rsidRPr="002E204C">
        <w:t xml:space="preserve"> </w:t>
      </w:r>
      <w:proofErr w:type="spellStart"/>
      <w:r w:rsidRPr="002E204C">
        <w:t>Innovation</w:t>
      </w:r>
      <w:proofErr w:type="spellEnd"/>
      <w:r w:rsidRPr="002E204C">
        <w:t xml:space="preserve"> e dei suoi centri di competenze.</w:t>
      </w:r>
      <w:r>
        <w:t xml:space="preserve"> </w:t>
      </w:r>
    </w:p>
    <w:p w:rsidR="003D2B50" w:rsidRDefault="003D2B50" w:rsidP="003D2B50">
      <w:pPr>
        <w:pStyle w:val="Corpotesto"/>
      </w:pPr>
      <w:r>
        <w:t xml:space="preserve">Si ribadisce comunque che, questa scelta non presuppone l’esclusione di altri ambiti dalle misure di promozione, ma cerca di insistere, tramite tutti gli strumenti a disposizione, su quegli ambiti in cui vi sono reali possibilità di sviluppo nel medio-lungo termine. In nessun caso è previsto che progetti meritevoli presentati da aziende nel campo d’applicazione della </w:t>
      </w:r>
      <w:proofErr w:type="spellStart"/>
      <w:r>
        <w:t>LInn</w:t>
      </w:r>
      <w:proofErr w:type="spellEnd"/>
      <w:r>
        <w:t xml:space="preserve"> siano esclusi dalle misure poiché queste risultano attive in ambiti diversi da quelli prioritari. </w:t>
      </w:r>
    </w:p>
    <w:p w:rsidR="003D2B50" w:rsidRDefault="003D2B50" w:rsidP="003D2B50">
      <w:pPr>
        <w:pStyle w:val="Corpotesto"/>
      </w:pPr>
    </w:p>
    <w:p w:rsidR="003D2B50" w:rsidRDefault="003D2B50" w:rsidP="003D2B50">
      <w:pPr>
        <w:jc w:val="left"/>
      </w:pPr>
      <w:r>
        <w:t>Riassumendo, l</w:t>
      </w:r>
      <w:r w:rsidRPr="002E204C">
        <w:t xml:space="preserve">’intento anche per il prossimo quadriennio resta quello di valorizzare le competenze scientifiche e imprenditoriali già presenti sul territorio e di attrarre nuovi investimenti, al fine di consolidare, grazie in particolare alla costituzione di centri di competenze che per dimensioni e contenuti dovranno essere in grado di rivaleggiare sul piano nazionale e internazionale, dei veri e propri poli d’eccellenza. </w:t>
      </w:r>
    </w:p>
    <w:p w:rsidR="003D2B50" w:rsidRDefault="003D2B50" w:rsidP="003D2B50">
      <w:pPr>
        <w:jc w:val="left"/>
      </w:pPr>
    </w:p>
    <w:p w:rsidR="00620DBC" w:rsidRDefault="00620DBC" w:rsidP="003D2B50">
      <w:pPr>
        <w:jc w:val="left"/>
      </w:pPr>
    </w:p>
    <w:p w:rsidR="003D2B50" w:rsidRDefault="003D2B50" w:rsidP="003D2B50">
      <w:pPr>
        <w:jc w:val="left"/>
      </w:pPr>
    </w:p>
    <w:p w:rsidR="003D2B50" w:rsidRPr="00E04B12" w:rsidRDefault="002B5656" w:rsidP="002B5656">
      <w:pPr>
        <w:pStyle w:val="Titolo1"/>
        <w:ind w:left="567" w:hanging="567"/>
      </w:pPr>
      <w:bookmarkStart w:id="45" w:name="_Toc37096444"/>
      <w:bookmarkStart w:id="46" w:name="_Toc39677872"/>
      <w:r>
        <w:t>5.</w:t>
      </w:r>
      <w:r>
        <w:tab/>
      </w:r>
      <w:r w:rsidR="003D2B50" w:rsidRPr="00E04B12">
        <w:t>Analisi commissionale</w:t>
      </w:r>
      <w:bookmarkEnd w:id="37"/>
      <w:bookmarkEnd w:id="45"/>
      <w:bookmarkEnd w:id="46"/>
    </w:p>
    <w:p w:rsidR="003D2B50" w:rsidRPr="00E04B12" w:rsidRDefault="00620DBC" w:rsidP="002B5656">
      <w:pPr>
        <w:pStyle w:val="Titolo2"/>
      </w:pPr>
      <w:bookmarkStart w:id="47" w:name="_Toc37096445"/>
      <w:bookmarkStart w:id="48" w:name="_Toc39677873"/>
      <w:r>
        <w:t>5.1</w:t>
      </w:r>
      <w:r>
        <w:tab/>
      </w:r>
      <w:r w:rsidR="003D2B50">
        <w:t>Messaggio</w:t>
      </w:r>
      <w:bookmarkEnd w:id="47"/>
      <w:bookmarkEnd w:id="48"/>
    </w:p>
    <w:p w:rsidR="003D2B50" w:rsidRDefault="003D2B50" w:rsidP="003D2B50">
      <w:pPr>
        <w:rPr>
          <w:rFonts w:cs="Arial"/>
          <w:lang w:val="it-IT" w:eastAsia="it-IT"/>
        </w:rPr>
      </w:pPr>
      <w:r w:rsidRPr="003F7676">
        <w:rPr>
          <w:rFonts w:cs="Arial"/>
          <w:lang w:val="it-IT" w:eastAsia="it-IT"/>
        </w:rPr>
        <w:t xml:space="preserve">Per approfondire i contenuti del messaggio in oggetto, la </w:t>
      </w:r>
      <w:r>
        <w:rPr>
          <w:rFonts w:cs="Arial"/>
          <w:lang w:val="it-IT" w:eastAsia="it-IT"/>
        </w:rPr>
        <w:t>C</w:t>
      </w:r>
      <w:r w:rsidRPr="003F7676">
        <w:rPr>
          <w:rFonts w:cs="Arial"/>
          <w:lang w:val="it-IT" w:eastAsia="it-IT"/>
        </w:rPr>
        <w:t xml:space="preserve">ommissione dell’economia e del lavoro ha sentito in audizione il Direttore della divisione dell’economia e il capo dell’Ufficio per lo sviluppo economico. </w:t>
      </w:r>
    </w:p>
    <w:p w:rsidR="003D2B50" w:rsidRDefault="003D2B50" w:rsidP="003D2B50">
      <w:pPr>
        <w:rPr>
          <w:rFonts w:cs="Arial"/>
          <w:lang w:val="it-IT" w:eastAsia="it-IT"/>
        </w:rPr>
      </w:pPr>
    </w:p>
    <w:p w:rsidR="003D2B50" w:rsidRDefault="003D2B50" w:rsidP="003D2B50">
      <w:pPr>
        <w:rPr>
          <w:rFonts w:cs="Arial"/>
          <w:strike/>
          <w:lang w:val="it-IT" w:eastAsia="it-IT"/>
        </w:rPr>
      </w:pPr>
      <w:r w:rsidRPr="003F7676">
        <w:rPr>
          <w:rFonts w:cs="Arial"/>
          <w:lang w:val="it-IT" w:eastAsia="it-IT"/>
        </w:rPr>
        <w:t xml:space="preserve">Oltre a prendere atto che la Legge per l’innovazione, entrata in vigore nel 2016, ha saputo ritagliarsi un importante spazio a supporto di progetti innovativi, </w:t>
      </w:r>
      <w:r w:rsidRPr="005C38FA">
        <w:rPr>
          <w:rFonts w:cs="Arial"/>
          <w:lang w:val="it-IT" w:eastAsia="it-IT"/>
        </w:rPr>
        <w:t>la Commissione ha richiesto ulteriori informazioni sul numero delle aziende beneficiarie delle varie misure e sul numero dei loro dipendenti</w:t>
      </w:r>
      <w:r>
        <w:rPr>
          <w:rFonts w:cs="Arial"/>
          <w:strike/>
          <w:lang w:val="it-IT" w:eastAsia="it-IT"/>
        </w:rPr>
        <w:t>.</w:t>
      </w:r>
    </w:p>
    <w:p w:rsidR="003D2B50" w:rsidRPr="00826CBE" w:rsidRDefault="003D2B50" w:rsidP="003D2B50">
      <w:pPr>
        <w:rPr>
          <w:rFonts w:cs="Arial"/>
          <w:strike/>
          <w:lang w:val="it-IT" w:eastAsia="it-IT"/>
        </w:rPr>
      </w:pPr>
    </w:p>
    <w:p w:rsidR="003D2B50" w:rsidRDefault="003D2B50" w:rsidP="003D2B50">
      <w:pPr>
        <w:rPr>
          <w:rFonts w:cs="Arial"/>
          <w:lang w:val="it-IT" w:eastAsia="it-IT"/>
        </w:rPr>
      </w:pPr>
      <w:r w:rsidRPr="00834C01">
        <w:rPr>
          <w:rFonts w:cs="Arial"/>
          <w:lang w:val="it-IT" w:eastAsia="it-IT"/>
        </w:rPr>
        <w:t>La tabella 4 nella pagina seguente, inviata dal Consiglio di Stato in risposta alla richiesta di qui sopra, indica la situazione del numero di aziende beneficiarie di misure dirette ai sensi del capitolo secondo della Legge per l’innovazione economica.</w:t>
      </w:r>
      <w:r>
        <w:rPr>
          <w:rFonts w:cs="Arial"/>
          <w:lang w:val="it-IT" w:eastAsia="it-IT"/>
        </w:rPr>
        <w:br w:type="page"/>
      </w:r>
    </w:p>
    <w:p w:rsidR="003D2B50" w:rsidRPr="00620DBC" w:rsidRDefault="003D2B50" w:rsidP="00620DBC">
      <w:pPr>
        <w:pStyle w:val="Didascalia"/>
        <w:tabs>
          <w:tab w:val="left" w:pos="993"/>
        </w:tabs>
        <w:spacing w:after="240" w:line="240" w:lineRule="auto"/>
        <w:ind w:left="993" w:hanging="993"/>
        <w:rPr>
          <w:b/>
        </w:rPr>
      </w:pPr>
      <w:r w:rsidRPr="00620DBC">
        <w:rPr>
          <w:b/>
        </w:rPr>
        <w:lastRenderedPageBreak/>
        <w:t xml:space="preserve">Tabella 4: </w:t>
      </w:r>
      <w:bookmarkStart w:id="49" w:name="_Hlk33617638"/>
      <w:r w:rsidRPr="00620DBC">
        <w:rPr>
          <w:b/>
        </w:rPr>
        <w:t xml:space="preserve">situazione </w:t>
      </w:r>
      <w:r w:rsidRPr="00620DBC">
        <w:rPr>
          <w:b/>
          <w:lang w:eastAsia="it-IT"/>
        </w:rPr>
        <w:t>numero di aziende beneficiarie di misure dirette ai sensi del capitolo secondo della Legge per l’innovazione economica.</w:t>
      </w:r>
      <w:bookmarkEnd w:id="49"/>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0"/>
        <w:gridCol w:w="1043"/>
        <w:gridCol w:w="851"/>
        <w:gridCol w:w="992"/>
        <w:gridCol w:w="1418"/>
        <w:gridCol w:w="1417"/>
        <w:gridCol w:w="1276"/>
        <w:gridCol w:w="992"/>
      </w:tblGrid>
      <w:tr w:rsidR="003D2B50" w:rsidRPr="00B5082E" w:rsidTr="00203F24">
        <w:trPr>
          <w:trHeight w:val="791"/>
        </w:trPr>
        <w:tc>
          <w:tcPr>
            <w:tcW w:w="1900" w:type="dxa"/>
            <w:shd w:val="clear" w:color="auto" w:fill="F2F2F2"/>
            <w:vAlign w:val="center"/>
          </w:tcPr>
          <w:p w:rsidR="003D2B50" w:rsidRPr="00B5082E" w:rsidRDefault="003D2B50" w:rsidP="00203F24">
            <w:pPr>
              <w:jc w:val="center"/>
              <w:rPr>
                <w:b/>
                <w:sz w:val="20"/>
                <w:szCs w:val="20"/>
              </w:rPr>
            </w:pPr>
            <w:r w:rsidRPr="00B5082E">
              <w:rPr>
                <w:b/>
                <w:sz w:val="20"/>
                <w:szCs w:val="20"/>
              </w:rPr>
              <w:t>Tipologia del beneficiario</w:t>
            </w:r>
          </w:p>
        </w:tc>
        <w:tc>
          <w:tcPr>
            <w:tcW w:w="1043" w:type="dxa"/>
            <w:shd w:val="clear" w:color="auto" w:fill="F2F2F2"/>
            <w:vAlign w:val="center"/>
          </w:tcPr>
          <w:p w:rsidR="003D2B50" w:rsidRPr="00B5082E" w:rsidRDefault="003D2B50" w:rsidP="00203F24">
            <w:pPr>
              <w:jc w:val="center"/>
              <w:rPr>
                <w:b/>
                <w:sz w:val="20"/>
                <w:szCs w:val="20"/>
              </w:rPr>
            </w:pPr>
            <w:r w:rsidRPr="00B5082E">
              <w:rPr>
                <w:b/>
                <w:sz w:val="20"/>
                <w:szCs w:val="20"/>
              </w:rPr>
              <w:t>Numero aziende</w:t>
            </w:r>
          </w:p>
        </w:tc>
        <w:tc>
          <w:tcPr>
            <w:tcW w:w="851" w:type="dxa"/>
            <w:shd w:val="clear" w:color="auto" w:fill="F2F2F2"/>
            <w:vAlign w:val="center"/>
          </w:tcPr>
          <w:p w:rsidR="003D2B50" w:rsidRPr="00B5082E" w:rsidRDefault="003D2B50" w:rsidP="00203F24">
            <w:pPr>
              <w:jc w:val="center"/>
              <w:rPr>
                <w:b/>
                <w:sz w:val="20"/>
                <w:szCs w:val="20"/>
              </w:rPr>
            </w:pPr>
            <w:r w:rsidRPr="00B5082E">
              <w:rPr>
                <w:b/>
                <w:sz w:val="20"/>
                <w:szCs w:val="20"/>
              </w:rPr>
              <w:t xml:space="preserve">ETP 2018 </w:t>
            </w:r>
            <w:r w:rsidRPr="00B5082E">
              <w:rPr>
                <w:b/>
                <w:sz w:val="20"/>
                <w:szCs w:val="20"/>
              </w:rPr>
              <w:br/>
              <w:t>Totali</w:t>
            </w:r>
          </w:p>
        </w:tc>
        <w:tc>
          <w:tcPr>
            <w:tcW w:w="992" w:type="dxa"/>
            <w:shd w:val="clear" w:color="auto" w:fill="F2F2F2"/>
            <w:vAlign w:val="center"/>
          </w:tcPr>
          <w:p w:rsidR="003D2B50" w:rsidRPr="00B5082E" w:rsidRDefault="003D2B50" w:rsidP="00203F24">
            <w:pPr>
              <w:jc w:val="center"/>
              <w:rPr>
                <w:b/>
                <w:sz w:val="20"/>
                <w:szCs w:val="20"/>
              </w:rPr>
            </w:pPr>
            <w:r w:rsidRPr="00B5082E">
              <w:rPr>
                <w:b/>
                <w:sz w:val="20"/>
                <w:szCs w:val="20"/>
              </w:rPr>
              <w:t xml:space="preserve">ETP 2018 </w:t>
            </w:r>
            <w:r w:rsidRPr="00B5082E">
              <w:rPr>
                <w:b/>
                <w:sz w:val="20"/>
                <w:szCs w:val="20"/>
              </w:rPr>
              <w:br/>
            </w:r>
            <w:proofErr w:type="spellStart"/>
            <w:r w:rsidRPr="00B5082E">
              <w:rPr>
                <w:b/>
                <w:sz w:val="20"/>
                <w:szCs w:val="20"/>
              </w:rPr>
              <w:t>Domici-liati</w:t>
            </w:r>
            <w:proofErr w:type="spellEnd"/>
          </w:p>
        </w:tc>
        <w:tc>
          <w:tcPr>
            <w:tcW w:w="1418" w:type="dxa"/>
            <w:shd w:val="clear" w:color="auto" w:fill="F2F2F2"/>
            <w:vAlign w:val="center"/>
          </w:tcPr>
          <w:p w:rsidR="003D2B50" w:rsidRPr="00B5082E" w:rsidRDefault="003D2B50" w:rsidP="00203F24">
            <w:pPr>
              <w:jc w:val="center"/>
              <w:rPr>
                <w:b/>
                <w:sz w:val="20"/>
                <w:szCs w:val="20"/>
              </w:rPr>
            </w:pPr>
            <w:r w:rsidRPr="00B5082E">
              <w:rPr>
                <w:b/>
                <w:sz w:val="20"/>
                <w:szCs w:val="20"/>
              </w:rPr>
              <w:t>Sussidi per innovazione</w:t>
            </w:r>
          </w:p>
        </w:tc>
        <w:tc>
          <w:tcPr>
            <w:tcW w:w="1417" w:type="dxa"/>
            <w:shd w:val="clear" w:color="auto" w:fill="F2F2F2"/>
            <w:vAlign w:val="center"/>
          </w:tcPr>
          <w:p w:rsidR="003D2B50" w:rsidRPr="00B5082E" w:rsidRDefault="003D2B50" w:rsidP="00203F24">
            <w:pPr>
              <w:jc w:val="center"/>
              <w:rPr>
                <w:b/>
                <w:sz w:val="20"/>
                <w:szCs w:val="20"/>
              </w:rPr>
            </w:pPr>
            <w:r w:rsidRPr="00B5082E">
              <w:rPr>
                <w:b/>
                <w:sz w:val="20"/>
                <w:szCs w:val="20"/>
              </w:rPr>
              <w:t xml:space="preserve">Sussidi per </w:t>
            </w:r>
            <w:r w:rsidRPr="00B5082E">
              <w:rPr>
                <w:b/>
                <w:sz w:val="20"/>
                <w:szCs w:val="20"/>
              </w:rPr>
              <w:br/>
              <w:t>Internazionalizzazione</w:t>
            </w:r>
          </w:p>
        </w:tc>
        <w:tc>
          <w:tcPr>
            <w:tcW w:w="1276" w:type="dxa"/>
            <w:shd w:val="clear" w:color="auto" w:fill="F2F2F2"/>
            <w:vAlign w:val="center"/>
          </w:tcPr>
          <w:p w:rsidR="003D2B50" w:rsidRPr="00B5082E" w:rsidRDefault="003D2B50" w:rsidP="00203F24">
            <w:pPr>
              <w:jc w:val="center"/>
              <w:rPr>
                <w:b/>
                <w:sz w:val="20"/>
                <w:szCs w:val="20"/>
              </w:rPr>
            </w:pPr>
            <w:r w:rsidRPr="00B5082E">
              <w:rPr>
                <w:b/>
                <w:sz w:val="20"/>
                <w:szCs w:val="20"/>
              </w:rPr>
              <w:t>Somma sussidi</w:t>
            </w:r>
          </w:p>
          <w:p w:rsidR="003D2B50" w:rsidRPr="00B5082E" w:rsidRDefault="003D2B50" w:rsidP="00203F24">
            <w:pPr>
              <w:jc w:val="center"/>
              <w:rPr>
                <w:b/>
                <w:sz w:val="20"/>
                <w:szCs w:val="20"/>
              </w:rPr>
            </w:pPr>
            <w:r w:rsidRPr="00B5082E">
              <w:rPr>
                <w:b/>
                <w:sz w:val="20"/>
                <w:szCs w:val="20"/>
              </w:rPr>
              <w:t>totale</w:t>
            </w:r>
          </w:p>
        </w:tc>
        <w:tc>
          <w:tcPr>
            <w:tcW w:w="992" w:type="dxa"/>
            <w:shd w:val="clear" w:color="auto" w:fill="F2F2F2"/>
            <w:vAlign w:val="center"/>
          </w:tcPr>
          <w:p w:rsidR="003D2B50" w:rsidRPr="00B5082E" w:rsidRDefault="003D2B50" w:rsidP="00203F24">
            <w:pPr>
              <w:jc w:val="center"/>
              <w:rPr>
                <w:b/>
                <w:sz w:val="20"/>
                <w:szCs w:val="20"/>
              </w:rPr>
            </w:pPr>
            <w:r w:rsidRPr="00B5082E">
              <w:rPr>
                <w:b/>
                <w:sz w:val="20"/>
                <w:szCs w:val="20"/>
              </w:rPr>
              <w:t>% ETP</w:t>
            </w:r>
            <w:r w:rsidRPr="00B5082E">
              <w:rPr>
                <w:b/>
                <w:sz w:val="20"/>
                <w:szCs w:val="20"/>
              </w:rPr>
              <w:br/>
            </w:r>
            <w:proofErr w:type="spellStart"/>
            <w:r w:rsidRPr="00B5082E">
              <w:rPr>
                <w:b/>
                <w:sz w:val="20"/>
                <w:szCs w:val="20"/>
              </w:rPr>
              <w:t>Domici-liati</w:t>
            </w:r>
            <w:proofErr w:type="spellEnd"/>
          </w:p>
        </w:tc>
      </w:tr>
      <w:tr w:rsidR="003D2B50" w:rsidRPr="00B5082E" w:rsidTr="00203F24">
        <w:trPr>
          <w:trHeight w:val="406"/>
        </w:trPr>
        <w:tc>
          <w:tcPr>
            <w:tcW w:w="1900" w:type="dxa"/>
            <w:shd w:val="clear" w:color="auto" w:fill="auto"/>
            <w:vAlign w:val="center"/>
          </w:tcPr>
          <w:p w:rsidR="003D2B50" w:rsidRPr="00B5082E" w:rsidRDefault="003D2B50" w:rsidP="00203F24">
            <w:pPr>
              <w:jc w:val="left"/>
              <w:rPr>
                <w:sz w:val="20"/>
                <w:szCs w:val="20"/>
              </w:rPr>
            </w:pPr>
            <w:r w:rsidRPr="00B5082E">
              <w:rPr>
                <w:sz w:val="20"/>
                <w:szCs w:val="20"/>
              </w:rPr>
              <w:t>Sussidi per innovazione (procedura ordinaria)</w:t>
            </w:r>
          </w:p>
        </w:tc>
        <w:tc>
          <w:tcPr>
            <w:tcW w:w="1043" w:type="dxa"/>
            <w:shd w:val="clear" w:color="auto" w:fill="auto"/>
            <w:vAlign w:val="center"/>
          </w:tcPr>
          <w:p w:rsidR="003D2B50" w:rsidRPr="00B5082E" w:rsidRDefault="003D2B50" w:rsidP="00203F24">
            <w:pPr>
              <w:jc w:val="center"/>
              <w:rPr>
                <w:sz w:val="20"/>
                <w:szCs w:val="20"/>
              </w:rPr>
            </w:pPr>
            <w:r w:rsidRPr="00B5082E">
              <w:rPr>
                <w:sz w:val="20"/>
                <w:szCs w:val="20"/>
              </w:rPr>
              <w:t>24</w:t>
            </w:r>
          </w:p>
        </w:tc>
        <w:tc>
          <w:tcPr>
            <w:tcW w:w="851" w:type="dxa"/>
            <w:shd w:val="clear" w:color="auto" w:fill="auto"/>
            <w:vAlign w:val="center"/>
          </w:tcPr>
          <w:p w:rsidR="003D2B50" w:rsidRPr="00B5082E" w:rsidRDefault="003D2B50" w:rsidP="00203F24">
            <w:pPr>
              <w:jc w:val="center"/>
              <w:rPr>
                <w:sz w:val="20"/>
                <w:szCs w:val="20"/>
              </w:rPr>
            </w:pPr>
            <w:r w:rsidRPr="00B5082E">
              <w:rPr>
                <w:sz w:val="20"/>
                <w:szCs w:val="20"/>
              </w:rPr>
              <w:t>1’980</w:t>
            </w:r>
          </w:p>
        </w:tc>
        <w:tc>
          <w:tcPr>
            <w:tcW w:w="992" w:type="dxa"/>
            <w:shd w:val="clear" w:color="auto" w:fill="auto"/>
            <w:vAlign w:val="center"/>
          </w:tcPr>
          <w:p w:rsidR="003D2B50" w:rsidRPr="00B5082E" w:rsidRDefault="003D2B50" w:rsidP="00203F24">
            <w:pPr>
              <w:jc w:val="center"/>
              <w:rPr>
                <w:sz w:val="20"/>
                <w:szCs w:val="20"/>
              </w:rPr>
            </w:pPr>
            <w:r w:rsidRPr="00B5082E">
              <w:rPr>
                <w:sz w:val="20"/>
                <w:szCs w:val="20"/>
              </w:rPr>
              <w:t>1’291</w:t>
            </w:r>
          </w:p>
        </w:tc>
        <w:tc>
          <w:tcPr>
            <w:tcW w:w="1418" w:type="dxa"/>
            <w:shd w:val="clear" w:color="auto" w:fill="auto"/>
            <w:vAlign w:val="center"/>
          </w:tcPr>
          <w:p w:rsidR="003D2B50" w:rsidRPr="00B5082E" w:rsidRDefault="003D2B50" w:rsidP="00203F24">
            <w:pPr>
              <w:jc w:val="center"/>
              <w:rPr>
                <w:sz w:val="20"/>
                <w:szCs w:val="20"/>
              </w:rPr>
            </w:pPr>
            <w:r w:rsidRPr="00B5082E">
              <w:rPr>
                <w:sz w:val="20"/>
                <w:szCs w:val="20"/>
              </w:rPr>
              <w:t>13'012’759</w:t>
            </w:r>
          </w:p>
        </w:tc>
        <w:tc>
          <w:tcPr>
            <w:tcW w:w="1417" w:type="dxa"/>
            <w:shd w:val="clear" w:color="auto" w:fill="auto"/>
            <w:vAlign w:val="center"/>
          </w:tcPr>
          <w:p w:rsidR="003D2B50" w:rsidRPr="00B5082E" w:rsidRDefault="003D2B50" w:rsidP="00203F24">
            <w:pPr>
              <w:jc w:val="center"/>
              <w:rPr>
                <w:sz w:val="20"/>
                <w:szCs w:val="20"/>
              </w:rPr>
            </w:pPr>
            <w:r w:rsidRPr="00B5082E">
              <w:rPr>
                <w:sz w:val="20"/>
                <w:szCs w:val="20"/>
              </w:rPr>
              <w:t>634’037</w:t>
            </w:r>
          </w:p>
        </w:tc>
        <w:tc>
          <w:tcPr>
            <w:tcW w:w="1276" w:type="dxa"/>
            <w:shd w:val="clear" w:color="auto" w:fill="auto"/>
            <w:vAlign w:val="center"/>
          </w:tcPr>
          <w:p w:rsidR="003D2B50" w:rsidRPr="00B5082E" w:rsidRDefault="003D2B50" w:rsidP="00203F24">
            <w:pPr>
              <w:jc w:val="center"/>
              <w:rPr>
                <w:sz w:val="20"/>
                <w:szCs w:val="20"/>
              </w:rPr>
            </w:pPr>
            <w:r w:rsidRPr="00B5082E">
              <w:rPr>
                <w:sz w:val="20"/>
                <w:szCs w:val="20"/>
              </w:rPr>
              <w:t>13'646’796</w:t>
            </w:r>
          </w:p>
        </w:tc>
        <w:tc>
          <w:tcPr>
            <w:tcW w:w="992" w:type="dxa"/>
            <w:shd w:val="clear" w:color="auto" w:fill="auto"/>
            <w:vAlign w:val="center"/>
          </w:tcPr>
          <w:p w:rsidR="003D2B50" w:rsidRPr="00B5082E" w:rsidRDefault="003D2B50" w:rsidP="00203F24">
            <w:pPr>
              <w:jc w:val="center"/>
              <w:rPr>
                <w:sz w:val="20"/>
                <w:szCs w:val="20"/>
              </w:rPr>
            </w:pPr>
            <w:r w:rsidRPr="00B5082E">
              <w:rPr>
                <w:sz w:val="20"/>
                <w:szCs w:val="20"/>
              </w:rPr>
              <w:t>65%</w:t>
            </w:r>
          </w:p>
        </w:tc>
      </w:tr>
      <w:tr w:rsidR="003D2B50" w:rsidRPr="00B5082E" w:rsidTr="00203F24">
        <w:trPr>
          <w:trHeight w:val="406"/>
        </w:trPr>
        <w:tc>
          <w:tcPr>
            <w:tcW w:w="1900" w:type="dxa"/>
            <w:shd w:val="clear" w:color="auto" w:fill="auto"/>
            <w:vAlign w:val="center"/>
          </w:tcPr>
          <w:p w:rsidR="003D2B50" w:rsidRPr="00B5082E" w:rsidRDefault="003D2B50" w:rsidP="00203F24">
            <w:pPr>
              <w:jc w:val="left"/>
              <w:rPr>
                <w:sz w:val="20"/>
                <w:szCs w:val="20"/>
              </w:rPr>
            </w:pPr>
            <w:r w:rsidRPr="00B5082E">
              <w:rPr>
                <w:sz w:val="20"/>
                <w:szCs w:val="20"/>
              </w:rPr>
              <w:t>Sussidi per innovazione (</w:t>
            </w:r>
            <w:proofErr w:type="spellStart"/>
            <w:r w:rsidRPr="00B5082E">
              <w:rPr>
                <w:sz w:val="20"/>
                <w:szCs w:val="20"/>
              </w:rPr>
              <w:t>Innosuisse</w:t>
            </w:r>
            <w:proofErr w:type="spellEnd"/>
            <w:r w:rsidRPr="00B5082E">
              <w:rPr>
                <w:sz w:val="20"/>
                <w:szCs w:val="20"/>
              </w:rPr>
              <w:t xml:space="preserve"> e EU)</w:t>
            </w:r>
          </w:p>
        </w:tc>
        <w:tc>
          <w:tcPr>
            <w:tcW w:w="1043" w:type="dxa"/>
            <w:shd w:val="clear" w:color="auto" w:fill="auto"/>
            <w:vAlign w:val="center"/>
          </w:tcPr>
          <w:p w:rsidR="003D2B50" w:rsidRPr="00B5082E" w:rsidRDefault="003D2B50" w:rsidP="00203F24">
            <w:pPr>
              <w:jc w:val="center"/>
              <w:rPr>
                <w:sz w:val="20"/>
                <w:szCs w:val="20"/>
              </w:rPr>
            </w:pPr>
            <w:r w:rsidRPr="00B5082E">
              <w:rPr>
                <w:sz w:val="20"/>
                <w:szCs w:val="20"/>
              </w:rPr>
              <w:t>31</w:t>
            </w:r>
          </w:p>
        </w:tc>
        <w:tc>
          <w:tcPr>
            <w:tcW w:w="851" w:type="dxa"/>
            <w:shd w:val="clear" w:color="auto" w:fill="auto"/>
            <w:vAlign w:val="center"/>
          </w:tcPr>
          <w:p w:rsidR="003D2B50" w:rsidRPr="00B5082E" w:rsidRDefault="003D2B50" w:rsidP="00203F24">
            <w:pPr>
              <w:jc w:val="center"/>
              <w:rPr>
                <w:sz w:val="20"/>
                <w:szCs w:val="20"/>
              </w:rPr>
            </w:pPr>
            <w:r w:rsidRPr="00B5082E">
              <w:rPr>
                <w:sz w:val="20"/>
                <w:szCs w:val="20"/>
              </w:rPr>
              <w:t>1’358</w:t>
            </w:r>
          </w:p>
        </w:tc>
        <w:tc>
          <w:tcPr>
            <w:tcW w:w="992" w:type="dxa"/>
            <w:shd w:val="clear" w:color="auto" w:fill="auto"/>
            <w:vAlign w:val="center"/>
          </w:tcPr>
          <w:p w:rsidR="003D2B50" w:rsidRPr="00B5082E" w:rsidRDefault="003D2B50" w:rsidP="00203F24">
            <w:pPr>
              <w:jc w:val="center"/>
              <w:rPr>
                <w:sz w:val="20"/>
                <w:szCs w:val="20"/>
              </w:rPr>
            </w:pPr>
            <w:r w:rsidRPr="00B5082E">
              <w:rPr>
                <w:sz w:val="20"/>
                <w:szCs w:val="20"/>
              </w:rPr>
              <w:t>1’074</w:t>
            </w:r>
          </w:p>
        </w:tc>
        <w:tc>
          <w:tcPr>
            <w:tcW w:w="1418" w:type="dxa"/>
            <w:shd w:val="clear" w:color="auto" w:fill="auto"/>
            <w:vAlign w:val="center"/>
          </w:tcPr>
          <w:p w:rsidR="003D2B50" w:rsidRPr="00B5082E" w:rsidRDefault="003D2B50" w:rsidP="00203F24">
            <w:pPr>
              <w:jc w:val="center"/>
              <w:rPr>
                <w:sz w:val="20"/>
                <w:szCs w:val="20"/>
              </w:rPr>
            </w:pPr>
            <w:r w:rsidRPr="00B5082E">
              <w:rPr>
                <w:sz w:val="20"/>
                <w:szCs w:val="20"/>
              </w:rPr>
              <w:t>2'100’063</w:t>
            </w:r>
          </w:p>
        </w:tc>
        <w:tc>
          <w:tcPr>
            <w:tcW w:w="1417" w:type="dxa"/>
            <w:shd w:val="clear" w:color="auto" w:fill="auto"/>
            <w:vAlign w:val="center"/>
          </w:tcPr>
          <w:p w:rsidR="003D2B50" w:rsidRPr="00B5082E" w:rsidRDefault="003D2B50" w:rsidP="00203F24">
            <w:pPr>
              <w:jc w:val="center"/>
              <w:rPr>
                <w:sz w:val="20"/>
                <w:szCs w:val="20"/>
              </w:rPr>
            </w:pPr>
            <w:r w:rsidRPr="00B5082E">
              <w:rPr>
                <w:sz w:val="20"/>
                <w:szCs w:val="20"/>
              </w:rPr>
              <w:t>208’321</w:t>
            </w:r>
          </w:p>
        </w:tc>
        <w:tc>
          <w:tcPr>
            <w:tcW w:w="1276" w:type="dxa"/>
            <w:shd w:val="clear" w:color="auto" w:fill="auto"/>
            <w:vAlign w:val="center"/>
          </w:tcPr>
          <w:p w:rsidR="003D2B50" w:rsidRPr="00B5082E" w:rsidRDefault="003D2B50" w:rsidP="00203F24">
            <w:pPr>
              <w:jc w:val="center"/>
              <w:rPr>
                <w:sz w:val="20"/>
                <w:szCs w:val="20"/>
              </w:rPr>
            </w:pPr>
            <w:r w:rsidRPr="00B5082E">
              <w:rPr>
                <w:sz w:val="20"/>
                <w:szCs w:val="20"/>
              </w:rPr>
              <w:t>2'308’380</w:t>
            </w:r>
          </w:p>
        </w:tc>
        <w:tc>
          <w:tcPr>
            <w:tcW w:w="992" w:type="dxa"/>
            <w:shd w:val="clear" w:color="auto" w:fill="auto"/>
            <w:vAlign w:val="center"/>
          </w:tcPr>
          <w:p w:rsidR="003D2B50" w:rsidRPr="00B5082E" w:rsidRDefault="003D2B50" w:rsidP="00203F24">
            <w:pPr>
              <w:jc w:val="center"/>
              <w:rPr>
                <w:sz w:val="20"/>
                <w:szCs w:val="20"/>
              </w:rPr>
            </w:pPr>
            <w:r w:rsidRPr="00B5082E">
              <w:rPr>
                <w:sz w:val="20"/>
                <w:szCs w:val="20"/>
              </w:rPr>
              <w:t>79%</w:t>
            </w:r>
          </w:p>
        </w:tc>
      </w:tr>
      <w:tr w:rsidR="003D2B50" w:rsidRPr="00B5082E" w:rsidTr="00203F24">
        <w:trPr>
          <w:trHeight w:val="406"/>
        </w:trPr>
        <w:tc>
          <w:tcPr>
            <w:tcW w:w="1900" w:type="dxa"/>
            <w:shd w:val="clear" w:color="auto" w:fill="auto"/>
            <w:vAlign w:val="center"/>
          </w:tcPr>
          <w:p w:rsidR="003D2B50" w:rsidRPr="00B5082E" w:rsidRDefault="003D2B50" w:rsidP="00203F24">
            <w:pPr>
              <w:jc w:val="left"/>
              <w:rPr>
                <w:sz w:val="20"/>
                <w:szCs w:val="20"/>
              </w:rPr>
            </w:pPr>
            <w:r w:rsidRPr="00B5082E">
              <w:rPr>
                <w:sz w:val="20"/>
                <w:szCs w:val="20"/>
              </w:rPr>
              <w:t>Solo Internazionalizzazione (fiere e SGE)</w:t>
            </w:r>
          </w:p>
        </w:tc>
        <w:tc>
          <w:tcPr>
            <w:tcW w:w="1043" w:type="dxa"/>
            <w:shd w:val="clear" w:color="auto" w:fill="auto"/>
            <w:vAlign w:val="center"/>
          </w:tcPr>
          <w:p w:rsidR="003D2B50" w:rsidRPr="00B5082E" w:rsidRDefault="003D2B50" w:rsidP="00203F24">
            <w:pPr>
              <w:jc w:val="center"/>
              <w:rPr>
                <w:sz w:val="20"/>
                <w:szCs w:val="20"/>
              </w:rPr>
            </w:pPr>
            <w:r w:rsidRPr="00B5082E">
              <w:rPr>
                <w:sz w:val="20"/>
                <w:szCs w:val="20"/>
              </w:rPr>
              <w:t>68</w:t>
            </w:r>
          </w:p>
        </w:tc>
        <w:tc>
          <w:tcPr>
            <w:tcW w:w="851" w:type="dxa"/>
            <w:shd w:val="clear" w:color="auto" w:fill="auto"/>
            <w:vAlign w:val="center"/>
          </w:tcPr>
          <w:p w:rsidR="003D2B50" w:rsidRPr="00B5082E" w:rsidRDefault="003D2B50" w:rsidP="00203F24">
            <w:pPr>
              <w:jc w:val="center"/>
              <w:rPr>
                <w:sz w:val="20"/>
                <w:szCs w:val="20"/>
              </w:rPr>
            </w:pPr>
            <w:r w:rsidRPr="00B5082E">
              <w:rPr>
                <w:sz w:val="20"/>
                <w:szCs w:val="20"/>
              </w:rPr>
              <w:t>1’576</w:t>
            </w:r>
          </w:p>
        </w:tc>
        <w:tc>
          <w:tcPr>
            <w:tcW w:w="992" w:type="dxa"/>
            <w:shd w:val="clear" w:color="auto" w:fill="auto"/>
            <w:vAlign w:val="center"/>
          </w:tcPr>
          <w:p w:rsidR="003D2B50" w:rsidRPr="00B5082E" w:rsidRDefault="003D2B50" w:rsidP="00203F24">
            <w:pPr>
              <w:jc w:val="center"/>
              <w:rPr>
                <w:sz w:val="20"/>
                <w:szCs w:val="20"/>
              </w:rPr>
            </w:pPr>
            <w:r w:rsidRPr="00B5082E">
              <w:rPr>
                <w:sz w:val="20"/>
                <w:szCs w:val="20"/>
              </w:rPr>
              <w:t>913</w:t>
            </w:r>
          </w:p>
        </w:tc>
        <w:tc>
          <w:tcPr>
            <w:tcW w:w="1418" w:type="dxa"/>
            <w:shd w:val="clear" w:color="auto" w:fill="auto"/>
            <w:vAlign w:val="center"/>
          </w:tcPr>
          <w:p w:rsidR="003D2B50" w:rsidRPr="00B5082E" w:rsidRDefault="003D2B50" w:rsidP="00203F24">
            <w:pPr>
              <w:jc w:val="center"/>
              <w:rPr>
                <w:sz w:val="20"/>
                <w:szCs w:val="20"/>
              </w:rPr>
            </w:pPr>
            <w:r w:rsidRPr="00B5082E">
              <w:rPr>
                <w:sz w:val="20"/>
                <w:szCs w:val="20"/>
              </w:rPr>
              <w:t>0</w:t>
            </w:r>
          </w:p>
        </w:tc>
        <w:tc>
          <w:tcPr>
            <w:tcW w:w="1417" w:type="dxa"/>
            <w:shd w:val="clear" w:color="auto" w:fill="auto"/>
            <w:vAlign w:val="center"/>
          </w:tcPr>
          <w:p w:rsidR="003D2B50" w:rsidRPr="00B5082E" w:rsidRDefault="003D2B50" w:rsidP="00203F24">
            <w:pPr>
              <w:jc w:val="center"/>
              <w:rPr>
                <w:sz w:val="20"/>
                <w:szCs w:val="20"/>
              </w:rPr>
            </w:pPr>
            <w:r w:rsidRPr="00B5082E">
              <w:rPr>
                <w:sz w:val="20"/>
                <w:szCs w:val="20"/>
              </w:rPr>
              <w:t>1'861’012</w:t>
            </w:r>
          </w:p>
        </w:tc>
        <w:tc>
          <w:tcPr>
            <w:tcW w:w="1276" w:type="dxa"/>
            <w:shd w:val="clear" w:color="auto" w:fill="auto"/>
            <w:vAlign w:val="center"/>
          </w:tcPr>
          <w:p w:rsidR="003D2B50" w:rsidRPr="00B5082E" w:rsidRDefault="003D2B50" w:rsidP="00203F24">
            <w:pPr>
              <w:jc w:val="center"/>
              <w:rPr>
                <w:sz w:val="20"/>
                <w:szCs w:val="20"/>
              </w:rPr>
            </w:pPr>
            <w:r w:rsidRPr="00B5082E">
              <w:rPr>
                <w:sz w:val="20"/>
                <w:szCs w:val="20"/>
              </w:rPr>
              <w:t>1'861’012</w:t>
            </w:r>
          </w:p>
        </w:tc>
        <w:tc>
          <w:tcPr>
            <w:tcW w:w="992" w:type="dxa"/>
            <w:shd w:val="clear" w:color="auto" w:fill="auto"/>
            <w:vAlign w:val="center"/>
          </w:tcPr>
          <w:p w:rsidR="003D2B50" w:rsidRPr="00B5082E" w:rsidRDefault="003D2B50" w:rsidP="00203F24">
            <w:pPr>
              <w:jc w:val="center"/>
              <w:rPr>
                <w:sz w:val="20"/>
                <w:szCs w:val="20"/>
              </w:rPr>
            </w:pPr>
            <w:r w:rsidRPr="00B5082E">
              <w:rPr>
                <w:sz w:val="20"/>
                <w:szCs w:val="20"/>
              </w:rPr>
              <w:t>58%</w:t>
            </w:r>
          </w:p>
        </w:tc>
      </w:tr>
      <w:tr w:rsidR="003D2B50" w:rsidRPr="00B5082E" w:rsidTr="00203F24">
        <w:trPr>
          <w:trHeight w:val="573"/>
        </w:trPr>
        <w:tc>
          <w:tcPr>
            <w:tcW w:w="1900" w:type="dxa"/>
            <w:shd w:val="clear" w:color="auto" w:fill="F2F2F2"/>
            <w:vAlign w:val="center"/>
          </w:tcPr>
          <w:p w:rsidR="003D2B50" w:rsidRPr="00B5082E" w:rsidRDefault="003D2B50" w:rsidP="00203F24">
            <w:pPr>
              <w:jc w:val="left"/>
              <w:rPr>
                <w:b/>
                <w:sz w:val="20"/>
                <w:szCs w:val="20"/>
              </w:rPr>
            </w:pPr>
            <w:r w:rsidRPr="00B5082E">
              <w:rPr>
                <w:b/>
                <w:sz w:val="20"/>
                <w:szCs w:val="20"/>
              </w:rPr>
              <w:t>Totale complessivo</w:t>
            </w:r>
          </w:p>
        </w:tc>
        <w:tc>
          <w:tcPr>
            <w:tcW w:w="1043" w:type="dxa"/>
            <w:shd w:val="clear" w:color="auto" w:fill="F2F2F2"/>
            <w:vAlign w:val="center"/>
          </w:tcPr>
          <w:p w:rsidR="003D2B50" w:rsidRPr="00B5082E" w:rsidRDefault="003D2B50" w:rsidP="00203F24">
            <w:pPr>
              <w:jc w:val="center"/>
              <w:rPr>
                <w:b/>
                <w:sz w:val="20"/>
                <w:szCs w:val="20"/>
              </w:rPr>
            </w:pPr>
            <w:r w:rsidRPr="00B5082E">
              <w:rPr>
                <w:b/>
                <w:sz w:val="20"/>
                <w:szCs w:val="20"/>
              </w:rPr>
              <w:t>123</w:t>
            </w:r>
          </w:p>
        </w:tc>
        <w:tc>
          <w:tcPr>
            <w:tcW w:w="851" w:type="dxa"/>
            <w:shd w:val="clear" w:color="auto" w:fill="F2F2F2"/>
            <w:vAlign w:val="center"/>
          </w:tcPr>
          <w:p w:rsidR="003D2B50" w:rsidRPr="00B5082E" w:rsidRDefault="003D2B50" w:rsidP="00203F24">
            <w:pPr>
              <w:jc w:val="center"/>
              <w:rPr>
                <w:b/>
                <w:sz w:val="20"/>
                <w:szCs w:val="20"/>
              </w:rPr>
            </w:pPr>
            <w:r w:rsidRPr="00B5082E">
              <w:rPr>
                <w:b/>
                <w:sz w:val="20"/>
                <w:szCs w:val="20"/>
              </w:rPr>
              <w:t>4’914</w:t>
            </w:r>
          </w:p>
        </w:tc>
        <w:tc>
          <w:tcPr>
            <w:tcW w:w="992" w:type="dxa"/>
            <w:shd w:val="clear" w:color="auto" w:fill="F2F2F2"/>
            <w:vAlign w:val="center"/>
          </w:tcPr>
          <w:p w:rsidR="003D2B50" w:rsidRPr="00B5082E" w:rsidRDefault="003D2B50" w:rsidP="00203F24">
            <w:pPr>
              <w:jc w:val="center"/>
              <w:rPr>
                <w:b/>
                <w:sz w:val="20"/>
                <w:szCs w:val="20"/>
              </w:rPr>
            </w:pPr>
            <w:r w:rsidRPr="00B5082E">
              <w:rPr>
                <w:b/>
                <w:sz w:val="20"/>
                <w:szCs w:val="20"/>
              </w:rPr>
              <w:t>3’279</w:t>
            </w:r>
          </w:p>
        </w:tc>
        <w:tc>
          <w:tcPr>
            <w:tcW w:w="1418" w:type="dxa"/>
            <w:shd w:val="clear" w:color="auto" w:fill="F2F2F2"/>
            <w:vAlign w:val="center"/>
          </w:tcPr>
          <w:p w:rsidR="003D2B50" w:rsidRPr="00B5082E" w:rsidRDefault="003D2B50" w:rsidP="00203F24">
            <w:pPr>
              <w:jc w:val="center"/>
              <w:rPr>
                <w:b/>
                <w:sz w:val="20"/>
                <w:szCs w:val="20"/>
              </w:rPr>
            </w:pPr>
            <w:r w:rsidRPr="00B5082E">
              <w:rPr>
                <w:b/>
                <w:sz w:val="20"/>
                <w:szCs w:val="20"/>
              </w:rPr>
              <w:t>15'112’822</w:t>
            </w:r>
          </w:p>
        </w:tc>
        <w:tc>
          <w:tcPr>
            <w:tcW w:w="1417" w:type="dxa"/>
            <w:shd w:val="clear" w:color="auto" w:fill="F2F2F2"/>
            <w:vAlign w:val="center"/>
          </w:tcPr>
          <w:p w:rsidR="003D2B50" w:rsidRPr="00B5082E" w:rsidRDefault="003D2B50" w:rsidP="00203F24">
            <w:pPr>
              <w:jc w:val="center"/>
              <w:rPr>
                <w:b/>
                <w:sz w:val="20"/>
                <w:szCs w:val="20"/>
              </w:rPr>
            </w:pPr>
            <w:r w:rsidRPr="00B5082E">
              <w:rPr>
                <w:b/>
                <w:sz w:val="20"/>
                <w:szCs w:val="20"/>
              </w:rPr>
              <w:t>2'703’370</w:t>
            </w:r>
          </w:p>
        </w:tc>
        <w:tc>
          <w:tcPr>
            <w:tcW w:w="1276" w:type="dxa"/>
            <w:shd w:val="clear" w:color="auto" w:fill="F2F2F2"/>
            <w:vAlign w:val="center"/>
          </w:tcPr>
          <w:p w:rsidR="003D2B50" w:rsidRPr="00B5082E" w:rsidRDefault="003D2B50" w:rsidP="00203F24">
            <w:pPr>
              <w:jc w:val="center"/>
              <w:rPr>
                <w:b/>
                <w:sz w:val="20"/>
                <w:szCs w:val="20"/>
              </w:rPr>
            </w:pPr>
            <w:r w:rsidRPr="00B5082E">
              <w:rPr>
                <w:b/>
                <w:sz w:val="20"/>
                <w:szCs w:val="20"/>
              </w:rPr>
              <w:t>17'816’188</w:t>
            </w:r>
          </w:p>
        </w:tc>
        <w:tc>
          <w:tcPr>
            <w:tcW w:w="992" w:type="dxa"/>
            <w:shd w:val="clear" w:color="auto" w:fill="F2F2F2"/>
            <w:vAlign w:val="center"/>
          </w:tcPr>
          <w:p w:rsidR="003D2B50" w:rsidRPr="00B5082E" w:rsidRDefault="003D2B50" w:rsidP="00203F24">
            <w:pPr>
              <w:jc w:val="center"/>
              <w:rPr>
                <w:b/>
                <w:sz w:val="20"/>
                <w:szCs w:val="20"/>
              </w:rPr>
            </w:pPr>
            <w:r w:rsidRPr="00B5082E">
              <w:rPr>
                <w:b/>
                <w:sz w:val="20"/>
                <w:szCs w:val="20"/>
              </w:rPr>
              <w:t>67%</w:t>
            </w:r>
          </w:p>
        </w:tc>
      </w:tr>
    </w:tbl>
    <w:p w:rsidR="003D2B50" w:rsidRPr="00B535A5" w:rsidRDefault="003D2B50" w:rsidP="003D2B50">
      <w:pPr>
        <w:jc w:val="right"/>
        <w:rPr>
          <w:sz w:val="20"/>
          <w:szCs w:val="20"/>
          <w:lang w:val="it-IT" w:eastAsia="zh-CN"/>
        </w:rPr>
      </w:pPr>
      <w:r w:rsidRPr="00DC6B42">
        <w:rPr>
          <w:sz w:val="20"/>
          <w:szCs w:val="20"/>
        </w:rPr>
        <w:t>Fonte: UAC, elaborazione dati al 31.12.2019.</w:t>
      </w:r>
    </w:p>
    <w:p w:rsidR="003D2B50" w:rsidRDefault="003D2B50" w:rsidP="003D2B50">
      <w:pPr>
        <w:rPr>
          <w:lang w:val="it-IT" w:eastAsia="it-IT"/>
        </w:rPr>
      </w:pPr>
    </w:p>
    <w:p w:rsidR="003D2B50" w:rsidRDefault="003D2B50" w:rsidP="003D2B50">
      <w:pPr>
        <w:rPr>
          <w:lang w:val="it-IT" w:eastAsia="it-IT"/>
        </w:rPr>
      </w:pPr>
      <w:r w:rsidRPr="004300AD">
        <w:rPr>
          <w:lang w:val="it-IT" w:eastAsia="it-IT"/>
        </w:rPr>
        <w:t xml:space="preserve">Dalla tabella </w:t>
      </w:r>
      <w:r>
        <w:rPr>
          <w:lang w:val="it-IT" w:eastAsia="it-IT"/>
        </w:rPr>
        <w:t xml:space="preserve">4 </w:t>
      </w:r>
      <w:r w:rsidRPr="004300AD">
        <w:rPr>
          <w:lang w:val="it-IT" w:eastAsia="it-IT"/>
        </w:rPr>
        <w:t>si evince</w:t>
      </w:r>
      <w:r>
        <w:rPr>
          <w:lang w:val="it-IT" w:eastAsia="it-IT"/>
        </w:rPr>
        <w:t>:</w:t>
      </w:r>
    </w:p>
    <w:p w:rsidR="003D2B50" w:rsidRPr="003D45DB" w:rsidRDefault="003D2B50" w:rsidP="00D05E3A">
      <w:pPr>
        <w:pStyle w:val="Corpotesto"/>
        <w:numPr>
          <w:ilvl w:val="0"/>
          <w:numId w:val="27"/>
        </w:numPr>
        <w:tabs>
          <w:tab w:val="clear" w:pos="426"/>
        </w:tabs>
        <w:spacing w:before="120"/>
        <w:ind w:left="284" w:hanging="284"/>
        <w:rPr>
          <w:rFonts w:cs="Arial"/>
        </w:rPr>
      </w:pPr>
      <w:r w:rsidRPr="003D45DB">
        <w:rPr>
          <w:rFonts w:cs="Arial"/>
        </w:rPr>
        <w:t>come 24 aziende, che impiegano in totale 1'980 dipendenti equivalenti a tempo pieno (ETP), dei quali il 65% residenti, abbiano beneficiato di oltre CHF 13 milioni di sussidi per progetti di innovazione. Queste aziende hanno inoltre beneficiato di misure a sostegno dell’internazionalizzazione pari a circa CHF 0.6 milioni</w:t>
      </w:r>
      <w:r>
        <w:rPr>
          <w:rFonts w:cs="Arial"/>
        </w:rPr>
        <w:t>;</w:t>
      </w:r>
    </w:p>
    <w:p w:rsidR="003D2B50" w:rsidRPr="003D45DB" w:rsidRDefault="003D2B50" w:rsidP="00D05E3A">
      <w:pPr>
        <w:pStyle w:val="Corpotesto"/>
        <w:numPr>
          <w:ilvl w:val="0"/>
          <w:numId w:val="27"/>
        </w:numPr>
        <w:tabs>
          <w:tab w:val="clear" w:pos="426"/>
        </w:tabs>
        <w:spacing w:before="120"/>
        <w:ind w:left="284" w:hanging="284"/>
        <w:rPr>
          <w:rFonts w:cs="Arial"/>
        </w:rPr>
      </w:pPr>
      <w:r w:rsidRPr="003D45DB">
        <w:rPr>
          <w:rFonts w:cs="Arial"/>
        </w:rPr>
        <w:t>31 aziende, per un totale di 1'358 dipendenti a tempo pieno (ETP) dei quali il 79% residenti, hanno invece beneficiato di sussidi per oltre CHF 2 milioni esclusivamente per progetti d’innovazione legati ai programmi di ricerca applicata nazionale (</w:t>
      </w:r>
      <w:proofErr w:type="spellStart"/>
      <w:r w:rsidRPr="003D45DB">
        <w:rPr>
          <w:rFonts w:cs="Arial"/>
        </w:rPr>
        <w:t>Innosuisse</w:t>
      </w:r>
      <w:proofErr w:type="spellEnd"/>
      <w:r w:rsidRPr="003D45DB">
        <w:rPr>
          <w:rFonts w:cs="Arial"/>
        </w:rPr>
        <w:t>) o internazionale (programmi quadro europei). Queste aziende hanno inoltre beneficiato di misure a sostegno dell’internazionalizzazione pari a circa CHF 0.2 milioni.</w:t>
      </w:r>
    </w:p>
    <w:p w:rsidR="003D2B50" w:rsidRDefault="003D2B50" w:rsidP="00D05E3A">
      <w:pPr>
        <w:spacing w:before="60"/>
        <w:ind w:left="284"/>
        <w:rPr>
          <w:lang w:val="it-IT" w:eastAsia="it-IT"/>
        </w:rPr>
      </w:pPr>
      <w:r w:rsidRPr="004300AD">
        <w:rPr>
          <w:lang w:val="it-IT" w:eastAsia="it-IT"/>
        </w:rPr>
        <w:t>Complessivamente, 55 aziende differenti - che occupano</w:t>
      </w:r>
      <w:r>
        <w:rPr>
          <w:lang w:val="it-IT" w:eastAsia="it-IT"/>
        </w:rPr>
        <w:t xml:space="preserve"> </w:t>
      </w:r>
      <w:r w:rsidRPr="00C531F9">
        <w:rPr>
          <w:lang w:val="it-IT" w:eastAsia="it-IT"/>
        </w:rPr>
        <w:t>3338 ETP</w:t>
      </w:r>
      <w:r w:rsidRPr="004300AD">
        <w:rPr>
          <w:lang w:val="it-IT" w:eastAsia="it-IT"/>
        </w:rPr>
        <w:t xml:space="preserve">, dei quali il </w:t>
      </w:r>
      <w:r w:rsidRPr="00C531F9">
        <w:rPr>
          <w:lang w:val="it-IT" w:eastAsia="it-IT"/>
        </w:rPr>
        <w:t>71%</w:t>
      </w:r>
      <w:r>
        <w:rPr>
          <w:lang w:val="it-IT" w:eastAsia="it-IT"/>
        </w:rPr>
        <w:t xml:space="preserve"> </w:t>
      </w:r>
      <w:r w:rsidRPr="004300AD">
        <w:rPr>
          <w:lang w:val="it-IT" w:eastAsia="it-IT"/>
        </w:rPr>
        <w:t>residenti in Ticino - hanno pertanto beneficiato di contributi per lo sviluppo di progetti innovativi pari a CHF 15.1 milioni</w:t>
      </w:r>
      <w:r>
        <w:rPr>
          <w:lang w:val="it-IT" w:eastAsia="it-IT"/>
        </w:rPr>
        <w:t>.</w:t>
      </w:r>
    </w:p>
    <w:p w:rsidR="003D2B50" w:rsidRPr="00C531F9" w:rsidRDefault="003D2B50" w:rsidP="00D05E3A">
      <w:pPr>
        <w:spacing w:before="60"/>
        <w:ind w:left="284"/>
        <w:rPr>
          <w:lang w:val="it-IT" w:eastAsia="it-IT"/>
        </w:rPr>
      </w:pPr>
      <w:r w:rsidRPr="00C531F9">
        <w:rPr>
          <w:lang w:val="it-IT" w:eastAsia="it-IT"/>
        </w:rPr>
        <w:t xml:space="preserve">L’Ufficio per lo sviluppo economico, ci ha comunicato che tra queste aziende si trovano sia aziende industriali (25) che del settore del terziario avanzato (30), che impiegano manodopera altamente qualificata e svolgono internamente attività di ricerca e sviluppo. </w:t>
      </w:r>
    </w:p>
    <w:p w:rsidR="003D2B50" w:rsidRPr="004300AD" w:rsidRDefault="003D2B50" w:rsidP="00D05E3A">
      <w:pPr>
        <w:spacing w:before="60"/>
        <w:ind w:left="284"/>
        <w:rPr>
          <w:lang w:val="it-IT" w:eastAsia="it-IT"/>
        </w:rPr>
      </w:pPr>
      <w:r w:rsidRPr="00C531F9">
        <w:rPr>
          <w:lang w:val="it-IT" w:eastAsia="it-IT"/>
        </w:rPr>
        <w:t>Questa distinzione del terziario avanzato è fondamentale considerata l’eterogeneità del settore. A titolo esemplificativo la Legge permette di sostenere aziende che sviluppano software, ma non quelle che si limitano a rivenderlo o a implementarlo.</w:t>
      </w:r>
    </w:p>
    <w:p w:rsidR="003D2B50" w:rsidRPr="004300AD" w:rsidRDefault="003D2B50" w:rsidP="003D2B50">
      <w:pPr>
        <w:rPr>
          <w:lang w:val="it-IT" w:eastAsia="it-IT"/>
        </w:rPr>
      </w:pPr>
    </w:p>
    <w:p w:rsidR="003D2B50" w:rsidRPr="00C531F9" w:rsidRDefault="003D2B50" w:rsidP="00D05E3A">
      <w:pPr>
        <w:pStyle w:val="Corpotesto"/>
        <w:numPr>
          <w:ilvl w:val="0"/>
          <w:numId w:val="27"/>
        </w:numPr>
        <w:tabs>
          <w:tab w:val="clear" w:pos="426"/>
        </w:tabs>
        <w:spacing w:before="120"/>
        <w:ind w:left="284" w:hanging="284"/>
        <w:rPr>
          <w:rFonts w:cs="Arial"/>
        </w:rPr>
      </w:pPr>
      <w:r w:rsidRPr="00C531F9">
        <w:rPr>
          <w:rFonts w:cs="Arial"/>
        </w:rPr>
        <w:t>68 aziende, per un totale di 1'576 dipendenti a tempo pieno (ETP) dei quali il 58% residenti, hanno invece ricevuto sussidi per l’internazionalizzazione (fiere o SGE) per un importo complessivo di oltre CHF 1.8 milioni.</w:t>
      </w:r>
    </w:p>
    <w:p w:rsidR="003D2B50" w:rsidRDefault="003D2B50" w:rsidP="003D2B50">
      <w:pPr>
        <w:rPr>
          <w:lang w:val="it-IT" w:eastAsia="it-IT"/>
        </w:rPr>
      </w:pPr>
    </w:p>
    <w:p w:rsidR="003D2B50" w:rsidRDefault="003D2B50" w:rsidP="003D2B50">
      <w:pPr>
        <w:rPr>
          <w:lang w:val="it-IT" w:eastAsia="it-IT"/>
        </w:rPr>
      </w:pPr>
    </w:p>
    <w:p w:rsidR="003D2B50" w:rsidRDefault="003D2B50" w:rsidP="003D2B50">
      <w:pPr>
        <w:rPr>
          <w:lang w:val="it-IT" w:eastAsia="it-IT"/>
        </w:rPr>
      </w:pPr>
      <w:r w:rsidRPr="004300AD">
        <w:rPr>
          <w:lang w:val="it-IT" w:eastAsia="it-IT"/>
        </w:rPr>
        <w:t xml:space="preserve">Per valutare inoltre il dato relativo al numero delle aziende, esso è stato confrontato con il numero di aziende potenzialmente beneficiarie di sussidi per l’innovazione. </w:t>
      </w:r>
    </w:p>
    <w:p w:rsidR="003D2B50" w:rsidRDefault="003D2B50" w:rsidP="003D2B50">
      <w:pPr>
        <w:rPr>
          <w:lang w:val="it-IT" w:eastAsia="it-IT"/>
        </w:rPr>
      </w:pPr>
    </w:p>
    <w:p w:rsidR="003D2B50" w:rsidRDefault="003D2B50" w:rsidP="003D2B50">
      <w:pPr>
        <w:rPr>
          <w:lang w:val="it-IT" w:eastAsia="it-IT"/>
        </w:rPr>
      </w:pPr>
      <w:r>
        <w:rPr>
          <w:lang w:val="it-IT" w:eastAsia="it-IT"/>
        </w:rPr>
        <w:br w:type="page"/>
      </w:r>
      <w:r w:rsidRPr="004300AD">
        <w:rPr>
          <w:lang w:val="it-IT" w:eastAsia="it-IT"/>
        </w:rPr>
        <w:lastRenderedPageBreak/>
        <w:t xml:space="preserve">Se si considerano i principali settori e solo le aziende con oltre 10 dipendenti, si constata infatti come nel settore delle scienze della vita operano una cinquantina di aziende con circa 4'000 dipendenti, nel settore della meccanica/elettronica le aziende sono una settantina con </w:t>
      </w:r>
      <w:proofErr w:type="spellStart"/>
      <w:r w:rsidRPr="004300AD">
        <w:rPr>
          <w:lang w:val="it-IT" w:eastAsia="it-IT"/>
        </w:rPr>
        <w:t>ca</w:t>
      </w:r>
      <w:proofErr w:type="spellEnd"/>
      <w:r w:rsidRPr="004300AD">
        <w:rPr>
          <w:lang w:val="it-IT" w:eastAsia="it-IT"/>
        </w:rPr>
        <w:t xml:space="preserve">. 5'400 dipendenti e nell’ambito delle tecnologie dell’informazione e della comunicazione (ICT) le aziende sono una novantina con </w:t>
      </w:r>
      <w:proofErr w:type="spellStart"/>
      <w:r w:rsidRPr="004300AD">
        <w:rPr>
          <w:lang w:val="it-IT" w:eastAsia="it-IT"/>
        </w:rPr>
        <w:t>ca</w:t>
      </w:r>
      <w:proofErr w:type="spellEnd"/>
      <w:r w:rsidRPr="004300AD">
        <w:rPr>
          <w:lang w:val="it-IT" w:eastAsia="it-IT"/>
        </w:rPr>
        <w:t>. 3'100 dipendenti</w:t>
      </w:r>
      <w:r>
        <w:rPr>
          <w:rStyle w:val="Rimandonotaapidipagina"/>
          <w:lang w:val="it-IT" w:eastAsia="it-IT"/>
        </w:rPr>
        <w:footnoteReference w:id="7"/>
      </w:r>
      <w:r>
        <w:rPr>
          <w:lang w:val="it-IT" w:eastAsia="it-IT"/>
        </w:rPr>
        <w:t xml:space="preserve">. </w:t>
      </w:r>
    </w:p>
    <w:p w:rsidR="003D2B50" w:rsidRPr="009069B7" w:rsidRDefault="003D2B50" w:rsidP="003D2B50">
      <w:pPr>
        <w:rPr>
          <w:lang w:val="it-IT" w:eastAsia="it-IT"/>
        </w:rPr>
      </w:pPr>
      <w:r w:rsidRPr="00CF3C14">
        <w:rPr>
          <w:lang w:val="it-IT" w:eastAsia="it-IT"/>
        </w:rPr>
        <w:t>Si può pertanto affermare che la Legge per l’innovazione abbia saputo raggiungere un buon numero dei potenziali beneficiari.</w:t>
      </w:r>
    </w:p>
    <w:p w:rsidR="003D2B50" w:rsidRPr="009069B7" w:rsidRDefault="003D2B50" w:rsidP="003D2B50">
      <w:pPr>
        <w:rPr>
          <w:b/>
          <w:bCs/>
          <w:lang w:val="it-IT" w:eastAsia="it-IT"/>
        </w:rPr>
      </w:pPr>
    </w:p>
    <w:p w:rsidR="003D2B50" w:rsidRDefault="003D2B50" w:rsidP="003D2B50">
      <w:pPr>
        <w:rPr>
          <w:lang w:val="it-IT" w:eastAsia="it-IT"/>
        </w:rPr>
      </w:pPr>
      <w:r>
        <w:rPr>
          <w:lang w:val="it-IT" w:eastAsia="it-IT"/>
        </w:rPr>
        <w:t xml:space="preserve">Riguardo alle misure a sostegno dell’innovazione la Commissione ha approfondito la tematica della concessione dei sussidi e del monitoraggio degli stessi; </w:t>
      </w:r>
      <w:r w:rsidRPr="005664A5">
        <w:rPr>
          <w:lang w:val="it-IT" w:eastAsia="it-IT"/>
        </w:rPr>
        <w:t>si può pertanto affermare che la Legge per l’innovazione abbia saputo raggiungere un buon numero dei potenziali beneficiari</w:t>
      </w:r>
      <w:r>
        <w:rPr>
          <w:lang w:val="it-IT" w:eastAsia="it-IT"/>
        </w:rPr>
        <w:t>.</w:t>
      </w:r>
    </w:p>
    <w:p w:rsidR="00D05E3A" w:rsidRDefault="00D05E3A" w:rsidP="003D2B50">
      <w:pPr>
        <w:rPr>
          <w:lang w:val="it-IT" w:eastAsia="it-IT"/>
        </w:rPr>
      </w:pPr>
    </w:p>
    <w:p w:rsidR="00D05E3A" w:rsidRDefault="00D05E3A" w:rsidP="003D2B50">
      <w:pPr>
        <w:rPr>
          <w:lang w:val="it-IT" w:eastAsia="it-IT"/>
        </w:rPr>
      </w:pPr>
    </w:p>
    <w:p w:rsidR="003D2B50" w:rsidRDefault="002B5656" w:rsidP="002B5656">
      <w:pPr>
        <w:pStyle w:val="Titolo2"/>
      </w:pPr>
      <w:bookmarkStart w:id="50" w:name="_Toc37096446"/>
      <w:bookmarkStart w:id="51" w:name="_Toc39677874"/>
      <w:r>
        <w:t>5.2</w:t>
      </w:r>
      <w:r>
        <w:tab/>
      </w:r>
      <w:r w:rsidR="003D2B50">
        <w:t>Riguardo alle misure a sostegno dell’innovazione la Commissione ha approfondito vari aspetti</w:t>
      </w:r>
      <w:bookmarkEnd w:id="50"/>
      <w:bookmarkEnd w:id="51"/>
    </w:p>
    <w:p w:rsidR="003D2B50" w:rsidRDefault="003D2B50" w:rsidP="00D05E3A">
      <w:pPr>
        <w:pStyle w:val="Corpotesto"/>
        <w:numPr>
          <w:ilvl w:val="0"/>
          <w:numId w:val="40"/>
        </w:numPr>
        <w:tabs>
          <w:tab w:val="clear" w:pos="284"/>
          <w:tab w:val="clear" w:pos="4962"/>
        </w:tabs>
        <w:spacing w:before="40"/>
        <w:ind w:left="426" w:hanging="426"/>
        <w:rPr>
          <w:rFonts w:cs="Arial"/>
        </w:rPr>
      </w:pPr>
      <w:r w:rsidRPr="008C403A">
        <w:rPr>
          <w:rFonts w:cs="Arial"/>
        </w:rPr>
        <w:t xml:space="preserve">I parametri che vengono utilizzati per valutare, al momento della concessione del sussidio, le richieste dal profilo delle ricadute economiche, dello sviluppo sostenibile, dell’uso parsimonioso del suolo e della responsabilità sociale delle imprese. </w:t>
      </w:r>
    </w:p>
    <w:p w:rsidR="003D2B50" w:rsidRDefault="003D2B50" w:rsidP="00D05E3A">
      <w:pPr>
        <w:pStyle w:val="Corpotesto"/>
        <w:tabs>
          <w:tab w:val="clear" w:pos="284"/>
          <w:tab w:val="clear" w:pos="4962"/>
        </w:tabs>
        <w:spacing w:before="40"/>
        <w:ind w:left="426" w:hanging="426"/>
        <w:rPr>
          <w:rFonts w:cs="Arial"/>
        </w:rPr>
      </w:pPr>
    </w:p>
    <w:p w:rsidR="003D2B50" w:rsidRDefault="00D05E3A" w:rsidP="00D05E3A">
      <w:pPr>
        <w:pStyle w:val="Corpotesto"/>
        <w:tabs>
          <w:tab w:val="clear" w:pos="284"/>
          <w:tab w:val="clear" w:pos="4962"/>
        </w:tabs>
        <w:spacing w:before="40"/>
        <w:ind w:left="426" w:hanging="426"/>
        <w:rPr>
          <w:rFonts w:cs="Arial"/>
        </w:rPr>
      </w:pPr>
      <w:r>
        <w:rPr>
          <w:rFonts w:cs="Arial"/>
        </w:rPr>
        <w:tab/>
      </w:r>
      <w:r w:rsidR="003D2B50" w:rsidRPr="008C403A">
        <w:rPr>
          <w:rFonts w:cs="Arial"/>
        </w:rPr>
        <w:t xml:space="preserve">Il Consiglio di Stato, nella risposta del 4 marzo u.s., a titolo di premessa, ha ricordato che questo tipo di valutazione viene eseguita esclusivamente per le aziende beneficiarie di sussidi per l'innovazione valutate con procedura ordinaria, che prevede il coinvolgimento della commissione consultiva per l'innovazione economica che, conformemente all'art. 15 del Regolamento </w:t>
      </w:r>
      <w:proofErr w:type="spellStart"/>
      <w:r w:rsidR="003D2B50" w:rsidRPr="008C403A">
        <w:rPr>
          <w:rFonts w:cs="Arial"/>
        </w:rPr>
        <w:t>Llnn</w:t>
      </w:r>
      <w:proofErr w:type="spellEnd"/>
      <w:r w:rsidR="003D2B50" w:rsidRPr="008C403A">
        <w:rPr>
          <w:rFonts w:cs="Arial"/>
        </w:rPr>
        <w:t xml:space="preserve">, è chiamata, tra gli altri compiti, a ponderare l'aiuto in base alle ricadute sul territorio. </w:t>
      </w:r>
    </w:p>
    <w:p w:rsidR="003D2B50" w:rsidRPr="00D05E3A" w:rsidRDefault="003D2B50" w:rsidP="00D05E3A">
      <w:pPr>
        <w:rPr>
          <w:sz w:val="20"/>
          <w:szCs w:val="20"/>
        </w:rPr>
      </w:pPr>
    </w:p>
    <w:p w:rsidR="003D2B50" w:rsidRPr="00D05E3A" w:rsidRDefault="003D2B50" w:rsidP="00D05E3A">
      <w:pPr>
        <w:rPr>
          <w:sz w:val="20"/>
          <w:szCs w:val="20"/>
        </w:rPr>
      </w:pPr>
    </w:p>
    <w:p w:rsidR="003D2B50" w:rsidRDefault="003D2B50" w:rsidP="003D2B50">
      <w:pPr>
        <w:pStyle w:val="Corpotesto"/>
        <w:tabs>
          <w:tab w:val="clear" w:pos="426"/>
          <w:tab w:val="clear" w:pos="4962"/>
          <w:tab w:val="right" w:pos="9638"/>
        </w:tabs>
        <w:spacing w:before="40"/>
        <w:ind w:left="284" w:hanging="284"/>
        <w:rPr>
          <w:rFonts w:cs="Arial"/>
        </w:rPr>
      </w:pPr>
      <w:r w:rsidRPr="00E17EBD">
        <w:rPr>
          <w:rFonts w:cs="Arial"/>
          <w:u w:val="single"/>
        </w:rPr>
        <w:t xml:space="preserve">Struttura del </w:t>
      </w:r>
      <w:r w:rsidRPr="002910F3">
        <w:rPr>
          <w:rFonts w:cs="Arial"/>
          <w:u w:val="single"/>
        </w:rPr>
        <w:t>personale</w:t>
      </w:r>
      <w:r w:rsidRPr="002910F3">
        <w:rPr>
          <w:rFonts w:cs="Arial"/>
        </w:rPr>
        <w:t xml:space="preserve"> (necessari</w:t>
      </w:r>
      <w:r>
        <w:rPr>
          <w:rFonts w:cs="Arial"/>
        </w:rPr>
        <w:t xml:space="preserve"> almeno 2 criteri su 3)</w:t>
      </w:r>
      <w:r>
        <w:rPr>
          <w:rFonts w:cs="Arial"/>
        </w:rPr>
        <w:tab/>
        <w:t>+3%</w:t>
      </w:r>
    </w:p>
    <w:p w:rsidR="003D2B50" w:rsidRDefault="003D2B50" w:rsidP="003D2B50">
      <w:pPr>
        <w:pStyle w:val="Corpotesto"/>
        <w:tabs>
          <w:tab w:val="clear" w:pos="426"/>
          <w:tab w:val="clear" w:pos="4962"/>
          <w:tab w:val="right" w:pos="9638"/>
        </w:tabs>
        <w:spacing w:before="40"/>
        <w:ind w:left="284" w:hanging="284"/>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4871"/>
        <w:gridCol w:w="1362"/>
      </w:tblGrid>
      <w:tr w:rsidR="003D2B50" w:rsidRPr="009E7713" w:rsidTr="00203F24">
        <w:tc>
          <w:tcPr>
            <w:tcW w:w="3365" w:type="dxa"/>
            <w:shd w:val="clear" w:color="auto" w:fill="auto"/>
          </w:tcPr>
          <w:p w:rsidR="003D2B50" w:rsidRPr="009E7713" w:rsidRDefault="003D2B50" w:rsidP="00203F24">
            <w:pPr>
              <w:pStyle w:val="Corpotesto"/>
              <w:tabs>
                <w:tab w:val="clear" w:pos="426"/>
                <w:tab w:val="clear" w:pos="4962"/>
                <w:tab w:val="right" w:pos="9638"/>
              </w:tabs>
              <w:spacing w:before="40"/>
              <w:jc w:val="left"/>
              <w:rPr>
                <w:rFonts w:cs="Arial"/>
                <w:b/>
                <w:bCs/>
                <w:sz w:val="22"/>
                <w:szCs w:val="22"/>
              </w:rPr>
            </w:pPr>
            <w:r w:rsidRPr="009E7713">
              <w:rPr>
                <w:rFonts w:cs="Arial"/>
                <w:b/>
                <w:bCs/>
                <w:sz w:val="22"/>
                <w:szCs w:val="22"/>
              </w:rPr>
              <w:t>Parametro</w:t>
            </w:r>
          </w:p>
        </w:tc>
        <w:tc>
          <w:tcPr>
            <w:tcW w:w="4999" w:type="dxa"/>
            <w:shd w:val="clear" w:color="auto" w:fill="auto"/>
          </w:tcPr>
          <w:p w:rsidR="003D2B50" w:rsidRPr="009E7713" w:rsidRDefault="003D2B50" w:rsidP="00203F24">
            <w:pPr>
              <w:pStyle w:val="Corpotesto"/>
              <w:tabs>
                <w:tab w:val="clear" w:pos="426"/>
                <w:tab w:val="clear" w:pos="4962"/>
                <w:tab w:val="right" w:pos="9638"/>
              </w:tabs>
              <w:spacing w:before="40"/>
              <w:jc w:val="left"/>
              <w:rPr>
                <w:rFonts w:cs="Arial"/>
                <w:b/>
                <w:bCs/>
                <w:sz w:val="22"/>
                <w:szCs w:val="22"/>
              </w:rPr>
            </w:pPr>
            <w:r w:rsidRPr="009E7713">
              <w:rPr>
                <w:rFonts w:cs="Arial"/>
                <w:b/>
                <w:bCs/>
                <w:sz w:val="22"/>
                <w:szCs w:val="22"/>
              </w:rPr>
              <w:t>Criterio</w:t>
            </w:r>
          </w:p>
        </w:tc>
        <w:tc>
          <w:tcPr>
            <w:tcW w:w="1382" w:type="dxa"/>
            <w:shd w:val="clear" w:color="auto" w:fill="auto"/>
          </w:tcPr>
          <w:p w:rsidR="003D2B50" w:rsidRPr="009E7713" w:rsidRDefault="003D2B50" w:rsidP="00203F24">
            <w:pPr>
              <w:pStyle w:val="Corpotesto"/>
              <w:tabs>
                <w:tab w:val="clear" w:pos="426"/>
                <w:tab w:val="clear" w:pos="4962"/>
                <w:tab w:val="right" w:pos="9638"/>
              </w:tabs>
              <w:spacing w:before="40"/>
              <w:jc w:val="left"/>
              <w:rPr>
                <w:rFonts w:cs="Arial"/>
                <w:b/>
                <w:bCs/>
                <w:sz w:val="22"/>
                <w:szCs w:val="22"/>
              </w:rPr>
            </w:pPr>
            <w:r w:rsidRPr="009E7713">
              <w:rPr>
                <w:rFonts w:cs="Arial"/>
                <w:b/>
                <w:bCs/>
                <w:sz w:val="22"/>
                <w:szCs w:val="22"/>
              </w:rPr>
              <w:t>Diritto</w:t>
            </w:r>
          </w:p>
        </w:tc>
      </w:tr>
      <w:tr w:rsidR="003D2B50" w:rsidRPr="009E7713" w:rsidTr="00203F24">
        <w:tc>
          <w:tcPr>
            <w:tcW w:w="3365" w:type="dxa"/>
            <w:shd w:val="clear" w:color="auto" w:fill="auto"/>
            <w:vAlign w:val="center"/>
          </w:tcPr>
          <w:p w:rsidR="003D2B50" w:rsidRPr="009E7713" w:rsidRDefault="003D2B50" w:rsidP="00203F24">
            <w:pPr>
              <w:pStyle w:val="Corpotesto"/>
              <w:tabs>
                <w:tab w:val="clear" w:pos="426"/>
                <w:tab w:val="clear" w:pos="4962"/>
                <w:tab w:val="right" w:pos="9638"/>
              </w:tabs>
              <w:spacing w:before="40"/>
              <w:jc w:val="left"/>
              <w:rPr>
                <w:rFonts w:cs="Arial"/>
                <w:sz w:val="22"/>
                <w:szCs w:val="22"/>
              </w:rPr>
            </w:pPr>
            <w:r w:rsidRPr="009E7713">
              <w:rPr>
                <w:rFonts w:cs="Arial"/>
                <w:sz w:val="22"/>
                <w:szCs w:val="22"/>
              </w:rPr>
              <w:t>Nuovi posti di lavoro (personale qualificato)</w:t>
            </w:r>
          </w:p>
        </w:tc>
        <w:tc>
          <w:tcPr>
            <w:tcW w:w="4999" w:type="dxa"/>
            <w:shd w:val="clear" w:color="auto" w:fill="auto"/>
            <w:vAlign w:val="center"/>
          </w:tcPr>
          <w:p w:rsidR="003D2B50" w:rsidRPr="009E7713" w:rsidRDefault="003D2B50" w:rsidP="00203F24">
            <w:pPr>
              <w:pStyle w:val="Corpotesto"/>
              <w:tabs>
                <w:tab w:val="clear" w:pos="426"/>
                <w:tab w:val="clear" w:pos="4962"/>
                <w:tab w:val="right" w:pos="9638"/>
              </w:tabs>
              <w:spacing w:before="40"/>
              <w:jc w:val="left"/>
              <w:rPr>
                <w:rFonts w:cs="Arial"/>
                <w:sz w:val="22"/>
                <w:szCs w:val="22"/>
              </w:rPr>
            </w:pPr>
            <w:r w:rsidRPr="009E7713">
              <w:rPr>
                <w:rFonts w:cs="Arial"/>
                <w:sz w:val="22"/>
                <w:szCs w:val="22"/>
              </w:rPr>
              <w:t>I nuovi posti di lavoro qualificati rappresentano almeno il 5% del totale dei dipendenti. Minimo 5 nuovi posti di lavoro</w:t>
            </w:r>
          </w:p>
        </w:tc>
        <w:tc>
          <w:tcPr>
            <w:tcW w:w="1382" w:type="dxa"/>
            <w:shd w:val="clear" w:color="auto" w:fill="auto"/>
            <w:vAlign w:val="center"/>
          </w:tcPr>
          <w:p w:rsidR="003D2B50" w:rsidRPr="009E7713" w:rsidRDefault="003D2B50" w:rsidP="00203F24">
            <w:pPr>
              <w:pStyle w:val="Corpotesto"/>
              <w:tabs>
                <w:tab w:val="clear" w:pos="426"/>
                <w:tab w:val="clear" w:pos="4962"/>
                <w:tab w:val="right" w:pos="9638"/>
              </w:tabs>
              <w:spacing w:before="40"/>
              <w:jc w:val="center"/>
              <w:rPr>
                <w:rFonts w:cs="Arial"/>
                <w:sz w:val="22"/>
                <w:szCs w:val="22"/>
              </w:rPr>
            </w:pPr>
            <w:r w:rsidRPr="009E7713">
              <w:rPr>
                <w:rFonts w:cs="Arial"/>
                <w:sz w:val="22"/>
                <w:szCs w:val="22"/>
              </w:rPr>
              <w:t>SI/NO</w:t>
            </w:r>
          </w:p>
        </w:tc>
      </w:tr>
      <w:tr w:rsidR="003D2B50" w:rsidRPr="009E7713" w:rsidTr="00203F24">
        <w:tc>
          <w:tcPr>
            <w:tcW w:w="3365" w:type="dxa"/>
            <w:shd w:val="clear" w:color="auto" w:fill="auto"/>
            <w:vAlign w:val="center"/>
          </w:tcPr>
          <w:p w:rsidR="003D2B50" w:rsidRPr="009E7713" w:rsidRDefault="003D2B50" w:rsidP="00203F24">
            <w:pPr>
              <w:pStyle w:val="Corpotesto"/>
              <w:tabs>
                <w:tab w:val="clear" w:pos="426"/>
                <w:tab w:val="clear" w:pos="4962"/>
                <w:tab w:val="right" w:pos="9638"/>
              </w:tabs>
              <w:spacing w:before="40"/>
              <w:jc w:val="left"/>
              <w:rPr>
                <w:rFonts w:cs="Arial"/>
                <w:sz w:val="22"/>
                <w:szCs w:val="22"/>
              </w:rPr>
            </w:pPr>
            <w:r w:rsidRPr="009E7713">
              <w:rPr>
                <w:rFonts w:cs="Arial"/>
                <w:sz w:val="22"/>
                <w:szCs w:val="22"/>
              </w:rPr>
              <w:t>Azienda formatrice</w:t>
            </w:r>
          </w:p>
        </w:tc>
        <w:tc>
          <w:tcPr>
            <w:tcW w:w="4999" w:type="dxa"/>
            <w:shd w:val="clear" w:color="auto" w:fill="auto"/>
            <w:vAlign w:val="center"/>
          </w:tcPr>
          <w:p w:rsidR="003D2B50" w:rsidRPr="009E7713" w:rsidRDefault="003D2B50" w:rsidP="00203F24">
            <w:pPr>
              <w:pStyle w:val="Corpotesto"/>
              <w:tabs>
                <w:tab w:val="clear" w:pos="426"/>
                <w:tab w:val="clear" w:pos="4962"/>
                <w:tab w:val="right" w:pos="9638"/>
              </w:tabs>
              <w:spacing w:before="40"/>
              <w:jc w:val="left"/>
              <w:rPr>
                <w:rFonts w:cs="Arial"/>
                <w:sz w:val="22"/>
                <w:szCs w:val="22"/>
              </w:rPr>
            </w:pPr>
            <w:r w:rsidRPr="009E7713">
              <w:rPr>
                <w:rFonts w:cs="Arial"/>
                <w:sz w:val="22"/>
                <w:szCs w:val="22"/>
              </w:rPr>
              <w:t>Minimo 2 apprendisti</w:t>
            </w:r>
          </w:p>
        </w:tc>
        <w:tc>
          <w:tcPr>
            <w:tcW w:w="1382" w:type="dxa"/>
            <w:shd w:val="clear" w:color="auto" w:fill="auto"/>
            <w:vAlign w:val="center"/>
          </w:tcPr>
          <w:p w:rsidR="003D2B50" w:rsidRPr="009E7713" w:rsidRDefault="003D2B50" w:rsidP="00203F24">
            <w:pPr>
              <w:pStyle w:val="Corpotesto"/>
              <w:tabs>
                <w:tab w:val="clear" w:pos="426"/>
                <w:tab w:val="clear" w:pos="4962"/>
                <w:tab w:val="right" w:pos="9638"/>
              </w:tabs>
              <w:spacing w:before="40"/>
              <w:jc w:val="center"/>
              <w:rPr>
                <w:rFonts w:cs="Arial"/>
                <w:sz w:val="22"/>
                <w:szCs w:val="22"/>
              </w:rPr>
            </w:pPr>
            <w:r w:rsidRPr="009E7713">
              <w:rPr>
                <w:rFonts w:cs="Arial"/>
                <w:sz w:val="22"/>
                <w:szCs w:val="22"/>
              </w:rPr>
              <w:t>SI/NO</w:t>
            </w:r>
          </w:p>
        </w:tc>
      </w:tr>
      <w:tr w:rsidR="003D2B50" w:rsidRPr="009E7713" w:rsidTr="00203F24">
        <w:tc>
          <w:tcPr>
            <w:tcW w:w="3365" w:type="dxa"/>
            <w:shd w:val="clear" w:color="auto" w:fill="auto"/>
            <w:vAlign w:val="center"/>
          </w:tcPr>
          <w:p w:rsidR="003D2B50" w:rsidRPr="009E7713" w:rsidRDefault="003D2B50" w:rsidP="00203F24">
            <w:pPr>
              <w:pStyle w:val="Corpotesto"/>
              <w:tabs>
                <w:tab w:val="clear" w:pos="426"/>
                <w:tab w:val="clear" w:pos="4962"/>
                <w:tab w:val="right" w:pos="9638"/>
              </w:tabs>
              <w:spacing w:before="40"/>
              <w:jc w:val="left"/>
              <w:rPr>
                <w:rFonts w:cs="Arial"/>
                <w:sz w:val="22"/>
                <w:szCs w:val="22"/>
              </w:rPr>
            </w:pPr>
            <w:r w:rsidRPr="009E7713">
              <w:rPr>
                <w:rFonts w:cs="Arial"/>
                <w:sz w:val="22"/>
                <w:szCs w:val="22"/>
              </w:rPr>
              <w:t>Livello salariale</w:t>
            </w:r>
          </w:p>
        </w:tc>
        <w:tc>
          <w:tcPr>
            <w:tcW w:w="4999" w:type="dxa"/>
            <w:shd w:val="clear" w:color="auto" w:fill="auto"/>
            <w:vAlign w:val="center"/>
          </w:tcPr>
          <w:p w:rsidR="003D2B50" w:rsidRPr="009E7713" w:rsidRDefault="003D2B50" w:rsidP="00203F24">
            <w:pPr>
              <w:pStyle w:val="Corpotesto"/>
              <w:tabs>
                <w:tab w:val="clear" w:pos="426"/>
                <w:tab w:val="clear" w:pos="4962"/>
                <w:tab w:val="right" w:pos="9638"/>
              </w:tabs>
              <w:spacing w:before="40"/>
              <w:jc w:val="left"/>
              <w:rPr>
                <w:rFonts w:cs="Arial"/>
                <w:sz w:val="22"/>
                <w:szCs w:val="22"/>
              </w:rPr>
            </w:pPr>
            <w:r w:rsidRPr="009E7713">
              <w:rPr>
                <w:rFonts w:cs="Arial"/>
                <w:sz w:val="22"/>
                <w:szCs w:val="22"/>
              </w:rPr>
              <w:t>Almeno il 60% dei dipendenti percepisce un salario mensile lordo superiore a CHF 6'000 per 12 mensilità</w:t>
            </w:r>
          </w:p>
        </w:tc>
        <w:tc>
          <w:tcPr>
            <w:tcW w:w="1382" w:type="dxa"/>
            <w:shd w:val="clear" w:color="auto" w:fill="auto"/>
            <w:vAlign w:val="center"/>
          </w:tcPr>
          <w:p w:rsidR="003D2B50" w:rsidRPr="009E7713" w:rsidRDefault="003D2B50" w:rsidP="00203F24">
            <w:pPr>
              <w:pStyle w:val="Corpotesto"/>
              <w:tabs>
                <w:tab w:val="clear" w:pos="426"/>
                <w:tab w:val="clear" w:pos="4962"/>
                <w:tab w:val="right" w:pos="9638"/>
              </w:tabs>
              <w:spacing w:before="40"/>
              <w:jc w:val="center"/>
              <w:rPr>
                <w:rFonts w:cs="Arial"/>
                <w:sz w:val="22"/>
                <w:szCs w:val="22"/>
              </w:rPr>
            </w:pPr>
            <w:r w:rsidRPr="009E7713">
              <w:rPr>
                <w:rFonts w:cs="Arial"/>
                <w:sz w:val="22"/>
                <w:szCs w:val="22"/>
              </w:rPr>
              <w:t>SI/NO</w:t>
            </w:r>
          </w:p>
        </w:tc>
      </w:tr>
    </w:tbl>
    <w:p w:rsidR="003D2B50" w:rsidRPr="00D05E3A" w:rsidRDefault="003D2B50" w:rsidP="00D05E3A">
      <w:pPr>
        <w:rPr>
          <w:sz w:val="20"/>
          <w:szCs w:val="20"/>
        </w:rPr>
      </w:pPr>
    </w:p>
    <w:p w:rsidR="003D2B50" w:rsidRPr="00D05E3A" w:rsidRDefault="003D2B50" w:rsidP="00D05E3A">
      <w:pPr>
        <w:rPr>
          <w:sz w:val="20"/>
          <w:szCs w:val="20"/>
        </w:rPr>
      </w:pPr>
    </w:p>
    <w:p w:rsidR="003D2B50" w:rsidRDefault="003D2B50" w:rsidP="003D2B50">
      <w:pPr>
        <w:pStyle w:val="Corpotesto"/>
        <w:tabs>
          <w:tab w:val="clear" w:pos="426"/>
          <w:tab w:val="clear" w:pos="4962"/>
          <w:tab w:val="right" w:pos="9638"/>
        </w:tabs>
        <w:spacing w:before="40"/>
        <w:ind w:left="284" w:hanging="284"/>
        <w:rPr>
          <w:rFonts w:cs="Arial"/>
        </w:rPr>
      </w:pPr>
      <w:r w:rsidRPr="005D78D8">
        <w:rPr>
          <w:rFonts w:cs="Arial"/>
          <w:u w:val="single"/>
        </w:rPr>
        <w:t>Gettito fiscale</w:t>
      </w:r>
      <w:r>
        <w:rPr>
          <w:rFonts w:cs="Arial"/>
          <w:b/>
          <w:bCs/>
        </w:rPr>
        <w:tab/>
      </w:r>
      <w:r w:rsidRPr="008C4E52">
        <w:rPr>
          <w:rFonts w:cs="Arial"/>
        </w:rPr>
        <w:t>+3%</w:t>
      </w:r>
    </w:p>
    <w:p w:rsidR="003D2B50" w:rsidRPr="008C4E52" w:rsidRDefault="003D2B50" w:rsidP="003D2B50">
      <w:pPr>
        <w:pStyle w:val="Corpotesto"/>
        <w:tabs>
          <w:tab w:val="clear" w:pos="426"/>
          <w:tab w:val="clear" w:pos="4962"/>
          <w:tab w:val="right" w:pos="9638"/>
        </w:tabs>
        <w:spacing w:before="40"/>
        <w:ind w:left="284" w:hanging="284"/>
        <w:rPr>
          <w:rFonts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4861"/>
        <w:gridCol w:w="1364"/>
      </w:tblGrid>
      <w:tr w:rsidR="003D2B50" w:rsidRPr="009E7713" w:rsidTr="00203F24">
        <w:tc>
          <w:tcPr>
            <w:tcW w:w="3365" w:type="dxa"/>
            <w:shd w:val="clear" w:color="auto" w:fill="auto"/>
          </w:tcPr>
          <w:p w:rsidR="003D2B50" w:rsidRPr="009E7713" w:rsidRDefault="003D2B50" w:rsidP="00203F24">
            <w:pPr>
              <w:pStyle w:val="Corpotesto"/>
              <w:tabs>
                <w:tab w:val="clear" w:pos="426"/>
                <w:tab w:val="clear" w:pos="4962"/>
                <w:tab w:val="right" w:pos="9638"/>
              </w:tabs>
              <w:spacing w:before="40"/>
              <w:jc w:val="left"/>
              <w:rPr>
                <w:rFonts w:cs="Arial"/>
                <w:b/>
                <w:bCs/>
                <w:sz w:val="22"/>
                <w:szCs w:val="22"/>
              </w:rPr>
            </w:pPr>
            <w:r w:rsidRPr="009E7713">
              <w:rPr>
                <w:rFonts w:cs="Arial"/>
                <w:b/>
                <w:bCs/>
                <w:sz w:val="22"/>
                <w:szCs w:val="22"/>
              </w:rPr>
              <w:t>Parametro</w:t>
            </w:r>
          </w:p>
        </w:tc>
        <w:tc>
          <w:tcPr>
            <w:tcW w:w="4999" w:type="dxa"/>
            <w:shd w:val="clear" w:color="auto" w:fill="auto"/>
          </w:tcPr>
          <w:p w:rsidR="003D2B50" w:rsidRPr="009E7713" w:rsidRDefault="003D2B50" w:rsidP="00203F24">
            <w:pPr>
              <w:pStyle w:val="Corpotesto"/>
              <w:tabs>
                <w:tab w:val="clear" w:pos="426"/>
                <w:tab w:val="clear" w:pos="4962"/>
                <w:tab w:val="right" w:pos="9638"/>
              </w:tabs>
              <w:spacing w:before="40"/>
              <w:jc w:val="left"/>
              <w:rPr>
                <w:rFonts w:cs="Arial"/>
                <w:b/>
                <w:bCs/>
                <w:sz w:val="22"/>
                <w:szCs w:val="22"/>
              </w:rPr>
            </w:pPr>
            <w:r w:rsidRPr="009E7713">
              <w:rPr>
                <w:rFonts w:cs="Arial"/>
                <w:b/>
                <w:bCs/>
                <w:sz w:val="22"/>
                <w:szCs w:val="22"/>
              </w:rPr>
              <w:t>Criterio</w:t>
            </w:r>
          </w:p>
        </w:tc>
        <w:tc>
          <w:tcPr>
            <w:tcW w:w="1382" w:type="dxa"/>
            <w:shd w:val="clear" w:color="auto" w:fill="auto"/>
          </w:tcPr>
          <w:p w:rsidR="003D2B50" w:rsidRPr="009E7713" w:rsidRDefault="003D2B50" w:rsidP="00203F24">
            <w:pPr>
              <w:pStyle w:val="Corpotesto"/>
              <w:tabs>
                <w:tab w:val="clear" w:pos="426"/>
                <w:tab w:val="clear" w:pos="4962"/>
                <w:tab w:val="right" w:pos="9638"/>
              </w:tabs>
              <w:spacing w:before="40"/>
              <w:jc w:val="left"/>
              <w:rPr>
                <w:rFonts w:cs="Arial"/>
                <w:b/>
                <w:bCs/>
                <w:sz w:val="22"/>
                <w:szCs w:val="22"/>
              </w:rPr>
            </w:pPr>
            <w:r w:rsidRPr="009E7713">
              <w:rPr>
                <w:rFonts w:cs="Arial"/>
                <w:b/>
                <w:bCs/>
                <w:sz w:val="22"/>
                <w:szCs w:val="22"/>
              </w:rPr>
              <w:t>Diritto</w:t>
            </w:r>
          </w:p>
        </w:tc>
      </w:tr>
      <w:tr w:rsidR="003D2B50" w:rsidRPr="009E7713" w:rsidTr="00203F24">
        <w:tc>
          <w:tcPr>
            <w:tcW w:w="3365" w:type="dxa"/>
            <w:shd w:val="clear" w:color="auto" w:fill="auto"/>
            <w:vAlign w:val="center"/>
          </w:tcPr>
          <w:p w:rsidR="003D2B50" w:rsidRPr="009E7713" w:rsidRDefault="003D2B50" w:rsidP="00203F24">
            <w:pPr>
              <w:pStyle w:val="Corpotesto"/>
              <w:tabs>
                <w:tab w:val="clear" w:pos="426"/>
                <w:tab w:val="clear" w:pos="4962"/>
                <w:tab w:val="right" w:pos="9638"/>
              </w:tabs>
              <w:spacing w:before="40"/>
              <w:jc w:val="left"/>
              <w:rPr>
                <w:rFonts w:cs="Arial"/>
                <w:sz w:val="22"/>
                <w:szCs w:val="22"/>
              </w:rPr>
            </w:pPr>
            <w:r w:rsidRPr="009E7713">
              <w:rPr>
                <w:rFonts w:cs="Arial"/>
                <w:sz w:val="22"/>
                <w:szCs w:val="22"/>
              </w:rPr>
              <w:t>Imposte cantonali (utile, capitale, immobiliare, bollo)</w:t>
            </w:r>
          </w:p>
        </w:tc>
        <w:tc>
          <w:tcPr>
            <w:tcW w:w="4999" w:type="dxa"/>
            <w:shd w:val="clear" w:color="auto" w:fill="auto"/>
            <w:vAlign w:val="center"/>
          </w:tcPr>
          <w:p w:rsidR="003D2B50" w:rsidRPr="009E7713" w:rsidRDefault="003D2B50" w:rsidP="00203F24">
            <w:pPr>
              <w:pStyle w:val="Corpotesto"/>
              <w:tabs>
                <w:tab w:val="clear" w:pos="426"/>
                <w:tab w:val="clear" w:pos="4962"/>
                <w:tab w:val="right" w:pos="9638"/>
              </w:tabs>
              <w:spacing w:before="40"/>
              <w:jc w:val="left"/>
              <w:rPr>
                <w:rFonts w:cs="Arial"/>
                <w:sz w:val="22"/>
                <w:szCs w:val="22"/>
              </w:rPr>
            </w:pPr>
            <w:r w:rsidRPr="009E7713">
              <w:rPr>
                <w:rFonts w:cs="Arial"/>
                <w:sz w:val="22"/>
                <w:szCs w:val="22"/>
              </w:rPr>
              <w:t>La media annua del gettito fiscale versato al Cantone negli ultimi 3 anni è superiore a CHF 200’000</w:t>
            </w:r>
          </w:p>
        </w:tc>
        <w:tc>
          <w:tcPr>
            <w:tcW w:w="1382" w:type="dxa"/>
            <w:shd w:val="clear" w:color="auto" w:fill="auto"/>
            <w:vAlign w:val="center"/>
          </w:tcPr>
          <w:p w:rsidR="003D2B50" w:rsidRPr="009E7713" w:rsidRDefault="003D2B50" w:rsidP="00203F24">
            <w:pPr>
              <w:pStyle w:val="Corpotesto"/>
              <w:tabs>
                <w:tab w:val="clear" w:pos="426"/>
                <w:tab w:val="clear" w:pos="4962"/>
                <w:tab w:val="right" w:pos="9638"/>
              </w:tabs>
              <w:spacing w:before="40"/>
              <w:jc w:val="center"/>
              <w:rPr>
                <w:rFonts w:cs="Arial"/>
                <w:sz w:val="22"/>
                <w:szCs w:val="22"/>
              </w:rPr>
            </w:pPr>
            <w:r w:rsidRPr="009E7713">
              <w:rPr>
                <w:rFonts w:cs="Arial"/>
                <w:sz w:val="22"/>
                <w:szCs w:val="22"/>
              </w:rPr>
              <w:t>SI/NO</w:t>
            </w:r>
          </w:p>
        </w:tc>
      </w:tr>
    </w:tbl>
    <w:p w:rsidR="003D2B50" w:rsidRDefault="003D2B50" w:rsidP="003D2B50">
      <w:pPr>
        <w:pStyle w:val="Corpotesto"/>
        <w:tabs>
          <w:tab w:val="clear" w:pos="426"/>
          <w:tab w:val="clear" w:pos="4962"/>
          <w:tab w:val="right" w:pos="9638"/>
        </w:tabs>
        <w:spacing w:before="40"/>
        <w:ind w:left="284" w:hanging="284"/>
        <w:rPr>
          <w:rFonts w:cs="Arial"/>
        </w:rPr>
      </w:pPr>
    </w:p>
    <w:p w:rsidR="003D2B50" w:rsidRDefault="003D2B50" w:rsidP="003D2B50">
      <w:pPr>
        <w:pStyle w:val="Corpotesto"/>
        <w:tabs>
          <w:tab w:val="clear" w:pos="426"/>
          <w:tab w:val="clear" w:pos="4962"/>
          <w:tab w:val="right" w:pos="9638"/>
        </w:tabs>
        <w:spacing w:before="40"/>
        <w:ind w:left="284" w:hanging="284"/>
        <w:rPr>
          <w:rFonts w:cs="Arial"/>
        </w:rPr>
      </w:pPr>
      <w:r>
        <w:rPr>
          <w:rFonts w:cs="Arial"/>
        </w:rPr>
        <w:br w:type="page"/>
      </w:r>
      <w:r w:rsidRPr="005D78D8">
        <w:rPr>
          <w:rFonts w:cs="Arial"/>
          <w:u w:val="single"/>
        </w:rPr>
        <w:lastRenderedPageBreak/>
        <w:t>Responsabilità sociale d’impresa</w:t>
      </w:r>
      <w:r>
        <w:rPr>
          <w:rFonts w:cs="Arial"/>
          <w:b/>
          <w:bCs/>
        </w:rPr>
        <w:tab/>
      </w:r>
      <w:r w:rsidRPr="008C4E52">
        <w:rPr>
          <w:rFonts w:cs="Arial"/>
        </w:rPr>
        <w:t>+</w:t>
      </w:r>
      <w:r>
        <w:rPr>
          <w:rFonts w:cs="Arial"/>
        </w:rPr>
        <w:t>2</w:t>
      </w:r>
      <w:r w:rsidRPr="008C4E52">
        <w:rPr>
          <w:rFonts w:cs="Arial"/>
        </w:rPr>
        <w:t>%</w:t>
      </w:r>
    </w:p>
    <w:p w:rsidR="003D2B50" w:rsidRPr="008C4E52" w:rsidRDefault="003D2B50" w:rsidP="003D2B50">
      <w:pPr>
        <w:pStyle w:val="Corpotesto"/>
        <w:tabs>
          <w:tab w:val="clear" w:pos="426"/>
          <w:tab w:val="clear" w:pos="4962"/>
          <w:tab w:val="right" w:pos="9638"/>
        </w:tabs>
        <w:spacing w:before="40"/>
        <w:ind w:left="284" w:hanging="284"/>
        <w:rPr>
          <w:rFonts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4862"/>
        <w:gridCol w:w="1361"/>
      </w:tblGrid>
      <w:tr w:rsidR="003D2B50" w:rsidRPr="009E7713" w:rsidTr="00203F24">
        <w:tc>
          <w:tcPr>
            <w:tcW w:w="3365" w:type="dxa"/>
            <w:shd w:val="clear" w:color="auto" w:fill="auto"/>
          </w:tcPr>
          <w:p w:rsidR="003D2B50" w:rsidRPr="009E7713" w:rsidRDefault="003D2B50" w:rsidP="00203F24">
            <w:pPr>
              <w:pStyle w:val="Corpotesto"/>
              <w:tabs>
                <w:tab w:val="clear" w:pos="426"/>
                <w:tab w:val="clear" w:pos="4962"/>
                <w:tab w:val="right" w:pos="9638"/>
              </w:tabs>
              <w:spacing w:before="40"/>
              <w:jc w:val="left"/>
              <w:rPr>
                <w:rFonts w:cs="Arial"/>
                <w:b/>
                <w:bCs/>
                <w:sz w:val="22"/>
                <w:szCs w:val="22"/>
              </w:rPr>
            </w:pPr>
            <w:r w:rsidRPr="009E7713">
              <w:rPr>
                <w:rFonts w:cs="Arial"/>
                <w:b/>
                <w:bCs/>
                <w:sz w:val="22"/>
                <w:szCs w:val="22"/>
              </w:rPr>
              <w:t>Parametro</w:t>
            </w:r>
          </w:p>
        </w:tc>
        <w:tc>
          <w:tcPr>
            <w:tcW w:w="4999" w:type="dxa"/>
            <w:shd w:val="clear" w:color="auto" w:fill="auto"/>
          </w:tcPr>
          <w:p w:rsidR="003D2B50" w:rsidRPr="009E7713" w:rsidRDefault="003D2B50" w:rsidP="00203F24">
            <w:pPr>
              <w:pStyle w:val="Corpotesto"/>
              <w:tabs>
                <w:tab w:val="clear" w:pos="426"/>
                <w:tab w:val="clear" w:pos="4962"/>
                <w:tab w:val="right" w:pos="9638"/>
              </w:tabs>
              <w:spacing w:before="40"/>
              <w:jc w:val="left"/>
              <w:rPr>
                <w:rFonts w:cs="Arial"/>
                <w:b/>
                <w:bCs/>
                <w:sz w:val="22"/>
                <w:szCs w:val="22"/>
              </w:rPr>
            </w:pPr>
            <w:r w:rsidRPr="009E7713">
              <w:rPr>
                <w:rFonts w:cs="Arial"/>
                <w:b/>
                <w:bCs/>
                <w:sz w:val="22"/>
                <w:szCs w:val="22"/>
              </w:rPr>
              <w:t>Criterio</w:t>
            </w:r>
          </w:p>
        </w:tc>
        <w:tc>
          <w:tcPr>
            <w:tcW w:w="1382" w:type="dxa"/>
            <w:shd w:val="clear" w:color="auto" w:fill="auto"/>
          </w:tcPr>
          <w:p w:rsidR="003D2B50" w:rsidRPr="009E7713" w:rsidRDefault="003D2B50" w:rsidP="00203F24">
            <w:pPr>
              <w:pStyle w:val="Corpotesto"/>
              <w:tabs>
                <w:tab w:val="clear" w:pos="426"/>
                <w:tab w:val="clear" w:pos="4962"/>
                <w:tab w:val="right" w:pos="9638"/>
              </w:tabs>
              <w:spacing w:before="40"/>
              <w:jc w:val="left"/>
              <w:rPr>
                <w:rFonts w:cs="Arial"/>
                <w:b/>
                <w:bCs/>
                <w:sz w:val="22"/>
                <w:szCs w:val="22"/>
              </w:rPr>
            </w:pPr>
            <w:r w:rsidRPr="009E7713">
              <w:rPr>
                <w:rFonts w:cs="Arial"/>
                <w:b/>
                <w:bCs/>
                <w:sz w:val="22"/>
                <w:szCs w:val="22"/>
              </w:rPr>
              <w:t>Diritto</w:t>
            </w:r>
          </w:p>
        </w:tc>
      </w:tr>
      <w:tr w:rsidR="003D2B50" w:rsidRPr="009E7713" w:rsidTr="00203F24">
        <w:tc>
          <w:tcPr>
            <w:tcW w:w="3365" w:type="dxa"/>
            <w:shd w:val="clear" w:color="auto" w:fill="auto"/>
            <w:vAlign w:val="center"/>
          </w:tcPr>
          <w:p w:rsidR="003D2B50" w:rsidRPr="009E7713" w:rsidRDefault="003D2B50" w:rsidP="00203F24">
            <w:pPr>
              <w:pStyle w:val="Corpotesto"/>
              <w:tabs>
                <w:tab w:val="clear" w:pos="426"/>
                <w:tab w:val="clear" w:pos="4962"/>
                <w:tab w:val="right" w:pos="9638"/>
              </w:tabs>
              <w:spacing w:before="40"/>
              <w:jc w:val="left"/>
              <w:rPr>
                <w:rFonts w:cs="Arial"/>
                <w:sz w:val="22"/>
                <w:szCs w:val="22"/>
              </w:rPr>
            </w:pPr>
            <w:r w:rsidRPr="009E7713">
              <w:rPr>
                <w:rFonts w:cs="Arial"/>
                <w:sz w:val="22"/>
                <w:szCs w:val="22"/>
              </w:rPr>
              <w:t>Responsabilità sociale d’impresa (RSI)</w:t>
            </w:r>
          </w:p>
        </w:tc>
        <w:tc>
          <w:tcPr>
            <w:tcW w:w="4999" w:type="dxa"/>
            <w:shd w:val="clear" w:color="auto" w:fill="auto"/>
            <w:vAlign w:val="center"/>
          </w:tcPr>
          <w:p w:rsidR="003D2B50" w:rsidRPr="009E7713" w:rsidRDefault="003D2B50" w:rsidP="00203F24">
            <w:pPr>
              <w:pStyle w:val="Corpotesto"/>
              <w:tabs>
                <w:tab w:val="clear" w:pos="426"/>
                <w:tab w:val="clear" w:pos="4962"/>
                <w:tab w:val="right" w:pos="9638"/>
              </w:tabs>
              <w:spacing w:before="40"/>
              <w:jc w:val="left"/>
              <w:rPr>
                <w:rFonts w:cs="Arial"/>
                <w:sz w:val="22"/>
                <w:szCs w:val="22"/>
              </w:rPr>
            </w:pPr>
            <w:r w:rsidRPr="009E7713">
              <w:rPr>
                <w:rFonts w:cs="Arial"/>
                <w:sz w:val="22"/>
                <w:szCs w:val="22"/>
              </w:rPr>
              <w:t xml:space="preserve">L’azienda ha implementato almeno una misura nel campo della responsabilità sociale d’impresa (rapporto di sensibilità, </w:t>
            </w:r>
            <w:proofErr w:type="spellStart"/>
            <w:r w:rsidRPr="009E7713">
              <w:rPr>
                <w:rFonts w:cs="Arial"/>
                <w:sz w:val="22"/>
                <w:szCs w:val="22"/>
              </w:rPr>
              <w:t>diversity</w:t>
            </w:r>
            <w:proofErr w:type="spellEnd"/>
            <w:r w:rsidRPr="009E7713">
              <w:rPr>
                <w:rFonts w:cs="Arial"/>
                <w:sz w:val="22"/>
                <w:szCs w:val="22"/>
              </w:rPr>
              <w:t xml:space="preserve"> management, formazione continua, pari opportunità, ecc.) e almeno una misura nella gestione sostenibile delle risorse (energie rinnovabili, car </w:t>
            </w:r>
            <w:proofErr w:type="spellStart"/>
            <w:r w:rsidRPr="009E7713">
              <w:rPr>
                <w:rFonts w:cs="Arial"/>
                <w:sz w:val="22"/>
                <w:szCs w:val="22"/>
              </w:rPr>
              <w:t>pooling</w:t>
            </w:r>
            <w:proofErr w:type="spellEnd"/>
            <w:r w:rsidRPr="009E7713">
              <w:rPr>
                <w:rFonts w:cs="Arial"/>
                <w:sz w:val="22"/>
                <w:szCs w:val="22"/>
              </w:rPr>
              <w:t>, risparmio energetico, riduzione inquinanti e rifiuti, ecc.)</w:t>
            </w:r>
          </w:p>
        </w:tc>
        <w:tc>
          <w:tcPr>
            <w:tcW w:w="1382" w:type="dxa"/>
            <w:shd w:val="clear" w:color="auto" w:fill="auto"/>
            <w:vAlign w:val="center"/>
          </w:tcPr>
          <w:p w:rsidR="003D2B50" w:rsidRPr="009E7713" w:rsidRDefault="003D2B50" w:rsidP="00203F24">
            <w:pPr>
              <w:pStyle w:val="Corpotesto"/>
              <w:tabs>
                <w:tab w:val="clear" w:pos="426"/>
                <w:tab w:val="clear" w:pos="4962"/>
                <w:tab w:val="right" w:pos="9638"/>
              </w:tabs>
              <w:spacing w:before="40"/>
              <w:jc w:val="center"/>
              <w:rPr>
                <w:rFonts w:cs="Arial"/>
                <w:sz w:val="22"/>
                <w:szCs w:val="22"/>
              </w:rPr>
            </w:pPr>
            <w:r w:rsidRPr="009E7713">
              <w:rPr>
                <w:rFonts w:cs="Arial"/>
                <w:sz w:val="22"/>
                <w:szCs w:val="22"/>
              </w:rPr>
              <w:t>SI/NO</w:t>
            </w:r>
          </w:p>
        </w:tc>
      </w:tr>
    </w:tbl>
    <w:p w:rsidR="003D2B50" w:rsidRPr="00D05E3A" w:rsidRDefault="003D2B50" w:rsidP="00D05E3A">
      <w:pPr>
        <w:rPr>
          <w:sz w:val="20"/>
          <w:szCs w:val="20"/>
        </w:rPr>
      </w:pPr>
    </w:p>
    <w:p w:rsidR="003D2B50" w:rsidRPr="00D05E3A" w:rsidRDefault="003D2B50" w:rsidP="00D05E3A">
      <w:pPr>
        <w:rPr>
          <w:sz w:val="20"/>
          <w:szCs w:val="20"/>
        </w:rPr>
      </w:pPr>
    </w:p>
    <w:p w:rsidR="003D2B50" w:rsidRDefault="003D2B50" w:rsidP="003D2B50">
      <w:pPr>
        <w:pStyle w:val="Corpotesto"/>
        <w:tabs>
          <w:tab w:val="clear" w:pos="426"/>
          <w:tab w:val="clear" w:pos="4962"/>
          <w:tab w:val="right" w:pos="9638"/>
        </w:tabs>
        <w:spacing w:before="40"/>
        <w:ind w:left="284" w:hanging="284"/>
        <w:rPr>
          <w:rFonts w:cs="Arial"/>
        </w:rPr>
      </w:pPr>
      <w:r>
        <w:rPr>
          <w:rFonts w:cs="Arial"/>
          <w:u w:val="single"/>
        </w:rPr>
        <w:t>Reti di collaborazione</w:t>
      </w:r>
      <w:r>
        <w:rPr>
          <w:rFonts w:cs="Arial"/>
          <w:b/>
          <w:bCs/>
        </w:rPr>
        <w:tab/>
      </w:r>
      <w:r w:rsidRPr="008C4E52">
        <w:rPr>
          <w:rFonts w:cs="Arial"/>
        </w:rPr>
        <w:t>+</w:t>
      </w:r>
      <w:r>
        <w:rPr>
          <w:rFonts w:cs="Arial"/>
        </w:rPr>
        <w:t>2</w:t>
      </w:r>
      <w:r w:rsidRPr="008C4E52">
        <w:rPr>
          <w:rFonts w:cs="Arial"/>
        </w:rPr>
        <w:t>%</w:t>
      </w:r>
    </w:p>
    <w:p w:rsidR="003D2B50" w:rsidRPr="008C4E52" w:rsidRDefault="003D2B50" w:rsidP="003D2B50">
      <w:pPr>
        <w:pStyle w:val="Corpotesto"/>
        <w:tabs>
          <w:tab w:val="clear" w:pos="426"/>
          <w:tab w:val="clear" w:pos="4962"/>
          <w:tab w:val="right" w:pos="9638"/>
        </w:tabs>
        <w:spacing w:before="40"/>
        <w:ind w:left="284" w:hanging="284"/>
        <w:rPr>
          <w:rFonts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4871"/>
        <w:gridCol w:w="1362"/>
      </w:tblGrid>
      <w:tr w:rsidR="003D2B50" w:rsidRPr="009E7713" w:rsidTr="00203F24">
        <w:tc>
          <w:tcPr>
            <w:tcW w:w="3365" w:type="dxa"/>
            <w:shd w:val="clear" w:color="auto" w:fill="auto"/>
          </w:tcPr>
          <w:p w:rsidR="003D2B50" w:rsidRPr="009E7713" w:rsidRDefault="003D2B50" w:rsidP="00203F24">
            <w:pPr>
              <w:pStyle w:val="Corpotesto"/>
              <w:tabs>
                <w:tab w:val="clear" w:pos="426"/>
                <w:tab w:val="clear" w:pos="4962"/>
                <w:tab w:val="right" w:pos="9638"/>
              </w:tabs>
              <w:spacing w:before="40"/>
              <w:jc w:val="left"/>
              <w:rPr>
                <w:rFonts w:cs="Arial"/>
                <w:b/>
                <w:bCs/>
                <w:sz w:val="22"/>
                <w:szCs w:val="22"/>
              </w:rPr>
            </w:pPr>
            <w:r w:rsidRPr="009E7713">
              <w:rPr>
                <w:rFonts w:cs="Arial"/>
                <w:b/>
                <w:bCs/>
                <w:sz w:val="22"/>
                <w:szCs w:val="22"/>
              </w:rPr>
              <w:t>Parametro</w:t>
            </w:r>
          </w:p>
        </w:tc>
        <w:tc>
          <w:tcPr>
            <w:tcW w:w="4999" w:type="dxa"/>
            <w:shd w:val="clear" w:color="auto" w:fill="auto"/>
          </w:tcPr>
          <w:p w:rsidR="003D2B50" w:rsidRPr="009E7713" w:rsidRDefault="003D2B50" w:rsidP="00203F24">
            <w:pPr>
              <w:pStyle w:val="Corpotesto"/>
              <w:tabs>
                <w:tab w:val="clear" w:pos="426"/>
                <w:tab w:val="clear" w:pos="4962"/>
                <w:tab w:val="right" w:pos="9638"/>
              </w:tabs>
              <w:spacing w:before="40"/>
              <w:jc w:val="left"/>
              <w:rPr>
                <w:rFonts w:cs="Arial"/>
                <w:b/>
                <w:bCs/>
                <w:sz w:val="22"/>
                <w:szCs w:val="22"/>
              </w:rPr>
            </w:pPr>
            <w:r w:rsidRPr="009E7713">
              <w:rPr>
                <w:rFonts w:cs="Arial"/>
                <w:b/>
                <w:bCs/>
                <w:sz w:val="22"/>
                <w:szCs w:val="22"/>
              </w:rPr>
              <w:t>Criterio</w:t>
            </w:r>
          </w:p>
        </w:tc>
        <w:tc>
          <w:tcPr>
            <w:tcW w:w="1382" w:type="dxa"/>
            <w:shd w:val="clear" w:color="auto" w:fill="auto"/>
          </w:tcPr>
          <w:p w:rsidR="003D2B50" w:rsidRPr="009E7713" w:rsidRDefault="003D2B50" w:rsidP="00203F24">
            <w:pPr>
              <w:pStyle w:val="Corpotesto"/>
              <w:tabs>
                <w:tab w:val="clear" w:pos="426"/>
                <w:tab w:val="clear" w:pos="4962"/>
                <w:tab w:val="right" w:pos="9638"/>
              </w:tabs>
              <w:spacing w:before="40"/>
              <w:jc w:val="left"/>
              <w:rPr>
                <w:rFonts w:cs="Arial"/>
                <w:b/>
                <w:bCs/>
                <w:sz w:val="22"/>
                <w:szCs w:val="22"/>
              </w:rPr>
            </w:pPr>
            <w:r w:rsidRPr="009E7713">
              <w:rPr>
                <w:rFonts w:cs="Arial"/>
                <w:b/>
                <w:bCs/>
                <w:sz w:val="22"/>
                <w:szCs w:val="22"/>
              </w:rPr>
              <w:t>Diritto</w:t>
            </w:r>
          </w:p>
        </w:tc>
      </w:tr>
      <w:tr w:rsidR="003D2B50" w:rsidRPr="009E7713" w:rsidTr="00203F24">
        <w:tc>
          <w:tcPr>
            <w:tcW w:w="3365" w:type="dxa"/>
            <w:shd w:val="clear" w:color="auto" w:fill="auto"/>
            <w:vAlign w:val="center"/>
          </w:tcPr>
          <w:p w:rsidR="003D2B50" w:rsidRPr="009E7713" w:rsidRDefault="003D2B50" w:rsidP="00203F24">
            <w:pPr>
              <w:pStyle w:val="Corpotesto"/>
              <w:tabs>
                <w:tab w:val="clear" w:pos="426"/>
                <w:tab w:val="clear" w:pos="4962"/>
                <w:tab w:val="right" w:pos="9638"/>
              </w:tabs>
              <w:spacing w:before="40"/>
              <w:jc w:val="left"/>
              <w:rPr>
                <w:rFonts w:cs="Arial"/>
                <w:sz w:val="22"/>
                <w:szCs w:val="22"/>
              </w:rPr>
            </w:pPr>
            <w:r w:rsidRPr="009E7713">
              <w:rPr>
                <w:rFonts w:cs="Arial"/>
                <w:sz w:val="22"/>
                <w:szCs w:val="22"/>
              </w:rPr>
              <w:t>Commesse a ditte locali e transfer tecnologico</w:t>
            </w:r>
          </w:p>
        </w:tc>
        <w:tc>
          <w:tcPr>
            <w:tcW w:w="4999" w:type="dxa"/>
            <w:shd w:val="clear" w:color="auto" w:fill="auto"/>
            <w:vAlign w:val="center"/>
          </w:tcPr>
          <w:p w:rsidR="003D2B50" w:rsidRPr="009E7713" w:rsidRDefault="003D2B50" w:rsidP="00203F24">
            <w:pPr>
              <w:pStyle w:val="Corpotesto"/>
              <w:tabs>
                <w:tab w:val="clear" w:pos="426"/>
                <w:tab w:val="clear" w:pos="4962"/>
                <w:tab w:val="right" w:pos="9638"/>
              </w:tabs>
              <w:spacing w:before="40"/>
              <w:jc w:val="left"/>
              <w:rPr>
                <w:rFonts w:cs="Arial"/>
                <w:sz w:val="22"/>
                <w:szCs w:val="22"/>
              </w:rPr>
            </w:pPr>
            <w:r w:rsidRPr="009E7713">
              <w:rPr>
                <w:rFonts w:cs="Arial"/>
                <w:sz w:val="22"/>
                <w:szCs w:val="22"/>
              </w:rPr>
              <w:t>L’azienda ha sviluppato progetti con partner locali o ha consolidati rapporti di collaborazione con istituti di ricerca cantonali</w:t>
            </w:r>
          </w:p>
        </w:tc>
        <w:tc>
          <w:tcPr>
            <w:tcW w:w="1382" w:type="dxa"/>
            <w:shd w:val="clear" w:color="auto" w:fill="auto"/>
            <w:vAlign w:val="center"/>
          </w:tcPr>
          <w:p w:rsidR="003D2B50" w:rsidRPr="009E7713" w:rsidRDefault="003D2B50" w:rsidP="00203F24">
            <w:pPr>
              <w:pStyle w:val="Corpotesto"/>
              <w:tabs>
                <w:tab w:val="clear" w:pos="426"/>
                <w:tab w:val="clear" w:pos="4962"/>
                <w:tab w:val="right" w:pos="9638"/>
              </w:tabs>
              <w:spacing w:before="40"/>
              <w:jc w:val="center"/>
              <w:rPr>
                <w:rFonts w:cs="Arial"/>
                <w:sz w:val="22"/>
                <w:szCs w:val="22"/>
              </w:rPr>
            </w:pPr>
            <w:r w:rsidRPr="009E7713">
              <w:rPr>
                <w:rFonts w:cs="Arial"/>
                <w:sz w:val="22"/>
                <w:szCs w:val="22"/>
              </w:rPr>
              <w:t>SI/NO</w:t>
            </w:r>
          </w:p>
        </w:tc>
      </w:tr>
    </w:tbl>
    <w:p w:rsidR="003D2B50" w:rsidRPr="00D05E3A" w:rsidRDefault="003D2B50" w:rsidP="00D05E3A">
      <w:pPr>
        <w:rPr>
          <w:noProof/>
          <w:sz w:val="20"/>
          <w:szCs w:val="20"/>
          <w:lang w:eastAsia="it-CH"/>
        </w:rPr>
      </w:pPr>
    </w:p>
    <w:p w:rsidR="003D2B50" w:rsidRPr="00D05E3A" w:rsidRDefault="003D2B50" w:rsidP="00D05E3A">
      <w:pPr>
        <w:rPr>
          <w:noProof/>
          <w:sz w:val="20"/>
          <w:szCs w:val="20"/>
          <w:lang w:eastAsia="it-CH"/>
        </w:rPr>
      </w:pPr>
    </w:p>
    <w:p w:rsidR="003D2B50" w:rsidRDefault="003D2B50" w:rsidP="003D2B50">
      <w:pPr>
        <w:pStyle w:val="Corpotesto"/>
        <w:tabs>
          <w:tab w:val="clear" w:pos="426"/>
          <w:tab w:val="clear" w:pos="4962"/>
          <w:tab w:val="right" w:pos="9638"/>
        </w:tabs>
        <w:spacing w:before="40"/>
        <w:ind w:left="284" w:hanging="284"/>
        <w:rPr>
          <w:rFonts w:cs="Arial"/>
        </w:rPr>
      </w:pPr>
      <w:r>
        <w:rPr>
          <w:rFonts w:cs="Arial"/>
          <w:u w:val="single"/>
        </w:rPr>
        <w:t>Localizzazione geografica (1 su 2):</w:t>
      </w:r>
      <w:r>
        <w:rPr>
          <w:rFonts w:cs="Arial"/>
          <w:b/>
          <w:bCs/>
        </w:rPr>
        <w:tab/>
      </w:r>
      <w:r w:rsidRPr="008C4E52">
        <w:rPr>
          <w:rFonts w:cs="Arial"/>
        </w:rPr>
        <w:t>+</w:t>
      </w:r>
      <w:r>
        <w:rPr>
          <w:rFonts w:cs="Arial"/>
        </w:rPr>
        <w:t>2</w:t>
      </w:r>
      <w:r w:rsidRPr="008C4E52">
        <w:rPr>
          <w:rFonts w:cs="Arial"/>
        </w:rPr>
        <w:t>%</w:t>
      </w:r>
    </w:p>
    <w:p w:rsidR="003D2B50" w:rsidRPr="008C4E52" w:rsidRDefault="003D2B50" w:rsidP="003D2B50">
      <w:pPr>
        <w:pStyle w:val="Corpotesto"/>
        <w:tabs>
          <w:tab w:val="clear" w:pos="426"/>
          <w:tab w:val="clear" w:pos="4962"/>
          <w:tab w:val="right" w:pos="9638"/>
        </w:tabs>
        <w:spacing w:before="40"/>
        <w:ind w:left="284" w:hanging="284"/>
        <w:rPr>
          <w:rFonts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4871"/>
        <w:gridCol w:w="1362"/>
      </w:tblGrid>
      <w:tr w:rsidR="003D2B50" w:rsidRPr="009E7713" w:rsidTr="00203F24">
        <w:tc>
          <w:tcPr>
            <w:tcW w:w="3365" w:type="dxa"/>
            <w:shd w:val="clear" w:color="auto" w:fill="auto"/>
          </w:tcPr>
          <w:p w:rsidR="003D2B50" w:rsidRPr="009E7713" w:rsidRDefault="003D2B50" w:rsidP="00203F24">
            <w:pPr>
              <w:pStyle w:val="Corpotesto"/>
              <w:tabs>
                <w:tab w:val="clear" w:pos="426"/>
                <w:tab w:val="clear" w:pos="4962"/>
                <w:tab w:val="right" w:pos="9638"/>
              </w:tabs>
              <w:spacing w:before="40"/>
              <w:jc w:val="left"/>
              <w:rPr>
                <w:rFonts w:cs="Arial"/>
                <w:b/>
                <w:bCs/>
                <w:sz w:val="22"/>
                <w:szCs w:val="22"/>
              </w:rPr>
            </w:pPr>
            <w:r w:rsidRPr="009E7713">
              <w:rPr>
                <w:rFonts w:cs="Arial"/>
                <w:b/>
                <w:bCs/>
                <w:sz w:val="22"/>
                <w:szCs w:val="22"/>
              </w:rPr>
              <w:t>Parametro</w:t>
            </w:r>
          </w:p>
        </w:tc>
        <w:tc>
          <w:tcPr>
            <w:tcW w:w="4999" w:type="dxa"/>
            <w:shd w:val="clear" w:color="auto" w:fill="auto"/>
          </w:tcPr>
          <w:p w:rsidR="003D2B50" w:rsidRPr="009E7713" w:rsidRDefault="003D2B50" w:rsidP="00203F24">
            <w:pPr>
              <w:pStyle w:val="Corpotesto"/>
              <w:tabs>
                <w:tab w:val="clear" w:pos="426"/>
                <w:tab w:val="clear" w:pos="4962"/>
                <w:tab w:val="right" w:pos="9638"/>
              </w:tabs>
              <w:spacing w:before="40"/>
              <w:jc w:val="left"/>
              <w:rPr>
                <w:rFonts w:cs="Arial"/>
                <w:b/>
                <w:bCs/>
                <w:sz w:val="22"/>
                <w:szCs w:val="22"/>
              </w:rPr>
            </w:pPr>
            <w:r w:rsidRPr="009E7713">
              <w:rPr>
                <w:rFonts w:cs="Arial"/>
                <w:b/>
                <w:bCs/>
                <w:sz w:val="22"/>
                <w:szCs w:val="22"/>
              </w:rPr>
              <w:t>Criterio</w:t>
            </w:r>
          </w:p>
        </w:tc>
        <w:tc>
          <w:tcPr>
            <w:tcW w:w="1382" w:type="dxa"/>
            <w:shd w:val="clear" w:color="auto" w:fill="auto"/>
          </w:tcPr>
          <w:p w:rsidR="003D2B50" w:rsidRPr="009E7713" w:rsidRDefault="003D2B50" w:rsidP="00203F24">
            <w:pPr>
              <w:pStyle w:val="Corpotesto"/>
              <w:tabs>
                <w:tab w:val="clear" w:pos="426"/>
                <w:tab w:val="clear" w:pos="4962"/>
                <w:tab w:val="right" w:pos="9638"/>
              </w:tabs>
              <w:spacing w:before="40"/>
              <w:jc w:val="left"/>
              <w:rPr>
                <w:rFonts w:cs="Arial"/>
                <w:b/>
                <w:bCs/>
                <w:sz w:val="22"/>
                <w:szCs w:val="22"/>
              </w:rPr>
            </w:pPr>
            <w:r w:rsidRPr="009E7713">
              <w:rPr>
                <w:rFonts w:cs="Arial"/>
                <w:b/>
                <w:bCs/>
                <w:sz w:val="22"/>
                <w:szCs w:val="22"/>
              </w:rPr>
              <w:t>Diritto</w:t>
            </w:r>
          </w:p>
        </w:tc>
      </w:tr>
      <w:tr w:rsidR="003D2B50" w:rsidRPr="009E7713" w:rsidTr="00203F24">
        <w:tc>
          <w:tcPr>
            <w:tcW w:w="3365" w:type="dxa"/>
            <w:shd w:val="clear" w:color="auto" w:fill="auto"/>
            <w:vAlign w:val="center"/>
          </w:tcPr>
          <w:p w:rsidR="003D2B50" w:rsidRPr="009E7713" w:rsidRDefault="003D2B50" w:rsidP="00203F24">
            <w:pPr>
              <w:pStyle w:val="Corpotesto"/>
              <w:tabs>
                <w:tab w:val="clear" w:pos="426"/>
                <w:tab w:val="clear" w:pos="4962"/>
                <w:tab w:val="right" w:pos="9638"/>
              </w:tabs>
              <w:spacing w:before="40"/>
              <w:jc w:val="left"/>
              <w:rPr>
                <w:rFonts w:cs="Arial"/>
                <w:sz w:val="22"/>
                <w:szCs w:val="22"/>
              </w:rPr>
            </w:pPr>
            <w:r w:rsidRPr="009E7713">
              <w:rPr>
                <w:rFonts w:cs="Arial"/>
                <w:sz w:val="22"/>
                <w:szCs w:val="22"/>
              </w:rPr>
              <w:t>Regione periferica</w:t>
            </w:r>
          </w:p>
        </w:tc>
        <w:tc>
          <w:tcPr>
            <w:tcW w:w="4999" w:type="dxa"/>
            <w:shd w:val="clear" w:color="auto" w:fill="auto"/>
            <w:vAlign w:val="center"/>
          </w:tcPr>
          <w:p w:rsidR="003D2B50" w:rsidRPr="009E7713" w:rsidRDefault="003D2B50" w:rsidP="00203F24">
            <w:pPr>
              <w:pStyle w:val="Corpotesto"/>
              <w:tabs>
                <w:tab w:val="clear" w:pos="426"/>
                <w:tab w:val="clear" w:pos="4962"/>
                <w:tab w:val="right" w:pos="9638"/>
              </w:tabs>
              <w:spacing w:before="40"/>
              <w:jc w:val="left"/>
              <w:rPr>
                <w:rFonts w:cs="Arial"/>
                <w:sz w:val="22"/>
                <w:szCs w:val="22"/>
              </w:rPr>
            </w:pPr>
            <w:r w:rsidRPr="009E7713">
              <w:rPr>
                <w:rFonts w:cs="Arial"/>
                <w:sz w:val="22"/>
                <w:szCs w:val="22"/>
              </w:rPr>
              <w:t>L’investimento viene realizzato in una delle seguenti regioni:</w:t>
            </w:r>
          </w:p>
          <w:p w:rsidR="003D2B50" w:rsidRPr="009E7713" w:rsidRDefault="003D2B50" w:rsidP="003D2B50">
            <w:pPr>
              <w:pStyle w:val="Corpotesto"/>
              <w:numPr>
                <w:ilvl w:val="0"/>
                <w:numId w:val="27"/>
              </w:numPr>
              <w:tabs>
                <w:tab w:val="clear" w:pos="426"/>
                <w:tab w:val="clear" w:pos="4962"/>
                <w:tab w:val="right" w:pos="9638"/>
              </w:tabs>
              <w:spacing w:before="40"/>
              <w:ind w:left="349" w:hanging="349"/>
              <w:jc w:val="left"/>
              <w:rPr>
                <w:rFonts w:cs="Arial"/>
                <w:sz w:val="22"/>
                <w:szCs w:val="22"/>
              </w:rPr>
            </w:pPr>
            <w:r w:rsidRPr="009E7713">
              <w:rPr>
                <w:rFonts w:cs="Arial"/>
                <w:sz w:val="22"/>
                <w:szCs w:val="22"/>
              </w:rPr>
              <w:t>Leventina</w:t>
            </w:r>
          </w:p>
          <w:p w:rsidR="003D2B50" w:rsidRPr="009E7713" w:rsidRDefault="003D2B50" w:rsidP="003D2B50">
            <w:pPr>
              <w:pStyle w:val="Corpotesto"/>
              <w:numPr>
                <w:ilvl w:val="0"/>
                <w:numId w:val="27"/>
              </w:numPr>
              <w:tabs>
                <w:tab w:val="clear" w:pos="426"/>
                <w:tab w:val="clear" w:pos="4962"/>
                <w:tab w:val="right" w:pos="9638"/>
              </w:tabs>
              <w:spacing w:before="40"/>
              <w:ind w:left="349" w:hanging="349"/>
              <w:jc w:val="left"/>
              <w:rPr>
                <w:rFonts w:cs="Arial"/>
                <w:sz w:val="22"/>
                <w:szCs w:val="22"/>
              </w:rPr>
            </w:pPr>
            <w:r w:rsidRPr="009E7713">
              <w:rPr>
                <w:rFonts w:cs="Arial"/>
                <w:sz w:val="22"/>
                <w:szCs w:val="22"/>
              </w:rPr>
              <w:t>Valle di Blenio</w:t>
            </w:r>
          </w:p>
          <w:p w:rsidR="003D2B50" w:rsidRPr="009E7713" w:rsidRDefault="003D2B50" w:rsidP="003D2B50">
            <w:pPr>
              <w:pStyle w:val="Corpotesto"/>
              <w:numPr>
                <w:ilvl w:val="0"/>
                <w:numId w:val="27"/>
              </w:numPr>
              <w:tabs>
                <w:tab w:val="clear" w:pos="426"/>
                <w:tab w:val="clear" w:pos="4962"/>
                <w:tab w:val="right" w:pos="9638"/>
              </w:tabs>
              <w:spacing w:before="40"/>
              <w:ind w:left="349" w:hanging="349"/>
              <w:jc w:val="left"/>
              <w:rPr>
                <w:rFonts w:cs="Arial"/>
                <w:sz w:val="22"/>
                <w:szCs w:val="22"/>
              </w:rPr>
            </w:pPr>
            <w:proofErr w:type="spellStart"/>
            <w:r w:rsidRPr="009E7713">
              <w:rPr>
                <w:rFonts w:cs="Arial"/>
                <w:sz w:val="22"/>
                <w:szCs w:val="22"/>
              </w:rPr>
              <w:t>Centovalli</w:t>
            </w:r>
            <w:proofErr w:type="spellEnd"/>
          </w:p>
          <w:p w:rsidR="003D2B50" w:rsidRPr="009E7713" w:rsidRDefault="003D2B50" w:rsidP="003D2B50">
            <w:pPr>
              <w:pStyle w:val="Corpotesto"/>
              <w:numPr>
                <w:ilvl w:val="0"/>
                <w:numId w:val="27"/>
              </w:numPr>
              <w:tabs>
                <w:tab w:val="clear" w:pos="426"/>
                <w:tab w:val="clear" w:pos="4962"/>
                <w:tab w:val="right" w:pos="9638"/>
              </w:tabs>
              <w:spacing w:before="40"/>
              <w:ind w:left="349" w:hanging="349"/>
              <w:jc w:val="left"/>
              <w:rPr>
                <w:rFonts w:cs="Arial"/>
                <w:sz w:val="22"/>
                <w:szCs w:val="22"/>
              </w:rPr>
            </w:pPr>
            <w:r w:rsidRPr="009E7713">
              <w:rPr>
                <w:rFonts w:cs="Arial"/>
                <w:sz w:val="22"/>
                <w:szCs w:val="22"/>
              </w:rPr>
              <w:t xml:space="preserve">Valle </w:t>
            </w:r>
            <w:proofErr w:type="spellStart"/>
            <w:r w:rsidRPr="009E7713">
              <w:rPr>
                <w:rFonts w:cs="Arial"/>
                <w:sz w:val="22"/>
                <w:szCs w:val="22"/>
              </w:rPr>
              <w:t>Onserone</w:t>
            </w:r>
            <w:proofErr w:type="spellEnd"/>
          </w:p>
          <w:p w:rsidR="003D2B50" w:rsidRPr="009E7713" w:rsidRDefault="003D2B50" w:rsidP="003D2B50">
            <w:pPr>
              <w:pStyle w:val="Corpotesto"/>
              <w:numPr>
                <w:ilvl w:val="0"/>
                <w:numId w:val="27"/>
              </w:numPr>
              <w:tabs>
                <w:tab w:val="clear" w:pos="426"/>
                <w:tab w:val="clear" w:pos="4962"/>
                <w:tab w:val="right" w:pos="9638"/>
              </w:tabs>
              <w:spacing w:before="40"/>
              <w:ind w:left="349" w:hanging="349"/>
              <w:jc w:val="left"/>
              <w:rPr>
                <w:rFonts w:cs="Arial"/>
                <w:sz w:val="22"/>
                <w:szCs w:val="22"/>
              </w:rPr>
            </w:pPr>
            <w:r w:rsidRPr="009E7713">
              <w:rPr>
                <w:rFonts w:cs="Arial"/>
                <w:sz w:val="22"/>
                <w:szCs w:val="22"/>
              </w:rPr>
              <w:t xml:space="preserve">Valle </w:t>
            </w:r>
            <w:proofErr w:type="spellStart"/>
            <w:r w:rsidRPr="009E7713">
              <w:rPr>
                <w:rFonts w:cs="Arial"/>
                <w:sz w:val="22"/>
                <w:szCs w:val="22"/>
              </w:rPr>
              <w:t>Verzasca</w:t>
            </w:r>
            <w:proofErr w:type="spellEnd"/>
          </w:p>
          <w:p w:rsidR="003D2B50" w:rsidRPr="009E7713" w:rsidRDefault="003D2B50" w:rsidP="003D2B50">
            <w:pPr>
              <w:pStyle w:val="Corpotesto"/>
              <w:numPr>
                <w:ilvl w:val="0"/>
                <w:numId w:val="27"/>
              </w:numPr>
              <w:tabs>
                <w:tab w:val="clear" w:pos="426"/>
                <w:tab w:val="clear" w:pos="4962"/>
                <w:tab w:val="right" w:pos="9638"/>
              </w:tabs>
              <w:spacing w:before="40"/>
              <w:ind w:left="349" w:hanging="349"/>
              <w:jc w:val="left"/>
              <w:rPr>
                <w:rFonts w:cs="Arial"/>
                <w:sz w:val="22"/>
                <w:szCs w:val="22"/>
              </w:rPr>
            </w:pPr>
            <w:r w:rsidRPr="009E7713">
              <w:rPr>
                <w:rFonts w:cs="Arial"/>
                <w:sz w:val="22"/>
                <w:szCs w:val="22"/>
              </w:rPr>
              <w:t xml:space="preserve">Valle </w:t>
            </w:r>
            <w:proofErr w:type="spellStart"/>
            <w:r w:rsidRPr="009E7713">
              <w:rPr>
                <w:rFonts w:cs="Arial"/>
                <w:sz w:val="22"/>
                <w:szCs w:val="22"/>
              </w:rPr>
              <w:t>Maggia</w:t>
            </w:r>
            <w:proofErr w:type="spellEnd"/>
          </w:p>
        </w:tc>
        <w:tc>
          <w:tcPr>
            <w:tcW w:w="1382" w:type="dxa"/>
            <w:shd w:val="clear" w:color="auto" w:fill="auto"/>
            <w:vAlign w:val="center"/>
          </w:tcPr>
          <w:p w:rsidR="003D2B50" w:rsidRPr="009E7713" w:rsidRDefault="003D2B50" w:rsidP="00203F24">
            <w:pPr>
              <w:pStyle w:val="Corpotesto"/>
              <w:tabs>
                <w:tab w:val="clear" w:pos="426"/>
                <w:tab w:val="clear" w:pos="4962"/>
                <w:tab w:val="right" w:pos="9638"/>
              </w:tabs>
              <w:spacing w:before="40"/>
              <w:jc w:val="center"/>
              <w:rPr>
                <w:rFonts w:cs="Arial"/>
                <w:sz w:val="22"/>
                <w:szCs w:val="22"/>
              </w:rPr>
            </w:pPr>
            <w:r w:rsidRPr="009E7713">
              <w:rPr>
                <w:rFonts w:cs="Arial"/>
                <w:sz w:val="22"/>
                <w:szCs w:val="22"/>
              </w:rPr>
              <w:t>SI/NO</w:t>
            </w:r>
          </w:p>
        </w:tc>
      </w:tr>
      <w:tr w:rsidR="003D2B50" w:rsidRPr="009E7713" w:rsidTr="00203F24">
        <w:tc>
          <w:tcPr>
            <w:tcW w:w="3365" w:type="dxa"/>
            <w:shd w:val="clear" w:color="auto" w:fill="auto"/>
            <w:vAlign w:val="center"/>
          </w:tcPr>
          <w:p w:rsidR="003D2B50" w:rsidRPr="009E7713" w:rsidRDefault="003D2B50" w:rsidP="00203F24">
            <w:pPr>
              <w:pStyle w:val="Corpotesto"/>
              <w:tabs>
                <w:tab w:val="clear" w:pos="426"/>
                <w:tab w:val="clear" w:pos="4962"/>
                <w:tab w:val="right" w:pos="9638"/>
              </w:tabs>
              <w:spacing w:before="40"/>
              <w:jc w:val="left"/>
              <w:rPr>
                <w:rFonts w:cs="Arial"/>
                <w:sz w:val="22"/>
                <w:szCs w:val="22"/>
              </w:rPr>
            </w:pPr>
            <w:r w:rsidRPr="009E7713">
              <w:rPr>
                <w:rFonts w:cs="Arial"/>
                <w:sz w:val="22"/>
                <w:szCs w:val="22"/>
              </w:rPr>
              <w:t>PSE</w:t>
            </w:r>
          </w:p>
        </w:tc>
        <w:tc>
          <w:tcPr>
            <w:tcW w:w="4999" w:type="dxa"/>
            <w:shd w:val="clear" w:color="auto" w:fill="auto"/>
            <w:vAlign w:val="center"/>
          </w:tcPr>
          <w:p w:rsidR="003D2B50" w:rsidRPr="009E7713" w:rsidRDefault="003D2B50" w:rsidP="00203F24">
            <w:pPr>
              <w:pStyle w:val="Corpotesto"/>
              <w:tabs>
                <w:tab w:val="clear" w:pos="426"/>
                <w:tab w:val="clear" w:pos="4962"/>
                <w:tab w:val="right" w:pos="9638"/>
              </w:tabs>
              <w:spacing w:before="40"/>
              <w:jc w:val="left"/>
              <w:rPr>
                <w:rFonts w:cs="Arial"/>
                <w:sz w:val="22"/>
                <w:szCs w:val="22"/>
              </w:rPr>
            </w:pPr>
            <w:r w:rsidRPr="009E7713">
              <w:rPr>
                <w:rFonts w:cs="Arial"/>
                <w:sz w:val="22"/>
                <w:szCs w:val="22"/>
              </w:rPr>
              <w:t>L’investimento viene realizzato in un polo di sviluppo economico riconosciuto dal Cantone (cfr. scheda R7 del PD cantonale)</w:t>
            </w:r>
          </w:p>
        </w:tc>
        <w:tc>
          <w:tcPr>
            <w:tcW w:w="1382" w:type="dxa"/>
            <w:shd w:val="clear" w:color="auto" w:fill="auto"/>
            <w:vAlign w:val="center"/>
          </w:tcPr>
          <w:p w:rsidR="003D2B50" w:rsidRPr="009E7713" w:rsidRDefault="003D2B50" w:rsidP="00203F24">
            <w:pPr>
              <w:pStyle w:val="Corpotesto"/>
              <w:tabs>
                <w:tab w:val="clear" w:pos="426"/>
                <w:tab w:val="clear" w:pos="4962"/>
                <w:tab w:val="right" w:pos="9638"/>
              </w:tabs>
              <w:spacing w:before="40"/>
              <w:jc w:val="center"/>
              <w:rPr>
                <w:rFonts w:cs="Arial"/>
                <w:sz w:val="22"/>
                <w:szCs w:val="22"/>
              </w:rPr>
            </w:pPr>
          </w:p>
        </w:tc>
      </w:tr>
    </w:tbl>
    <w:p w:rsidR="003D2B50" w:rsidRDefault="003D2B50" w:rsidP="002B5656">
      <w:pPr>
        <w:rPr>
          <w:noProof/>
          <w:lang w:eastAsia="it-CH"/>
        </w:rPr>
      </w:pPr>
    </w:p>
    <w:p w:rsidR="003D2B50" w:rsidRDefault="003D2B50" w:rsidP="002B5656">
      <w:pPr>
        <w:rPr>
          <w:rFonts w:cs="Arial"/>
        </w:rPr>
      </w:pPr>
    </w:p>
    <w:p w:rsidR="003D2B50" w:rsidRPr="00D05E3A" w:rsidRDefault="003D2B50" w:rsidP="009E7713">
      <w:pPr>
        <w:pStyle w:val="Corpotesto"/>
        <w:numPr>
          <w:ilvl w:val="0"/>
          <w:numId w:val="40"/>
        </w:numPr>
        <w:tabs>
          <w:tab w:val="clear" w:pos="284"/>
          <w:tab w:val="clear" w:pos="4962"/>
        </w:tabs>
        <w:ind w:left="426" w:hanging="426"/>
        <w:rPr>
          <w:rFonts w:cs="Arial"/>
        </w:rPr>
      </w:pPr>
      <w:r w:rsidRPr="00B50BD0">
        <w:rPr>
          <w:rFonts w:cs="Arial"/>
          <w:bCs/>
        </w:rPr>
        <w:t xml:space="preserve">Come avviene il monitoraggio degli effetti degli aiuti concessi, sia per quel che concerne l’aspetto economico, sia per quel che concerne l’aspetto sociale e ambientale; un monitoraggio efficace è la condizione </w:t>
      </w:r>
      <w:r w:rsidRPr="00B50BD0">
        <w:rPr>
          <w:rFonts w:cs="Arial"/>
          <w:bCs/>
          <w:i/>
          <w:iCs/>
        </w:rPr>
        <w:t>sine qua non</w:t>
      </w:r>
      <w:r w:rsidRPr="00B50BD0">
        <w:rPr>
          <w:rFonts w:cs="Arial"/>
          <w:bCs/>
        </w:rPr>
        <w:t xml:space="preserve"> per valutare l’effetto reale dei sussidi concessi, in modo di poterli indirizzare sempre meglio</w:t>
      </w:r>
      <w:r>
        <w:rPr>
          <w:rFonts w:cs="Arial"/>
          <w:bCs/>
        </w:rPr>
        <w:t>.</w:t>
      </w:r>
    </w:p>
    <w:p w:rsidR="00D05E3A" w:rsidRPr="00B50BD0" w:rsidRDefault="00D05E3A" w:rsidP="009E7713">
      <w:pPr>
        <w:pStyle w:val="Corpotesto"/>
        <w:tabs>
          <w:tab w:val="clear" w:pos="284"/>
          <w:tab w:val="clear" w:pos="4962"/>
        </w:tabs>
        <w:rPr>
          <w:rFonts w:cs="Arial"/>
        </w:rPr>
      </w:pPr>
    </w:p>
    <w:p w:rsidR="003D2B50" w:rsidRPr="007966E5" w:rsidRDefault="003D2B50" w:rsidP="009E7713">
      <w:pPr>
        <w:shd w:val="clear" w:color="auto" w:fill="FFFFFF"/>
        <w:ind w:left="426"/>
        <w:rPr>
          <w:rFonts w:cs="Arial"/>
        </w:rPr>
      </w:pPr>
      <w:bookmarkStart w:id="52" w:name="_Hlk34582403"/>
      <w:r w:rsidRPr="007966E5">
        <w:rPr>
          <w:rFonts w:cs="Arial"/>
        </w:rPr>
        <w:t>Citiamo testualmente dalla risposta del Consiglio di Stato (</w:t>
      </w:r>
      <w:proofErr w:type="spellStart"/>
      <w:r w:rsidRPr="007966E5">
        <w:rPr>
          <w:rFonts w:cs="Arial"/>
        </w:rPr>
        <w:t>evidenziature</w:t>
      </w:r>
      <w:proofErr w:type="spellEnd"/>
      <w:r w:rsidRPr="007966E5">
        <w:rPr>
          <w:rFonts w:cs="Arial"/>
        </w:rPr>
        <w:t xml:space="preserve"> </w:t>
      </w:r>
      <w:r>
        <w:rPr>
          <w:rFonts w:cs="Arial"/>
        </w:rPr>
        <w:t>da parte della CEL</w:t>
      </w:r>
      <w:r w:rsidRPr="007966E5">
        <w:rPr>
          <w:rFonts w:cs="Arial"/>
        </w:rPr>
        <w:t xml:space="preserve">): </w:t>
      </w:r>
    </w:p>
    <w:p w:rsidR="003D2B50" w:rsidRPr="00D05E3A" w:rsidRDefault="003D2B50" w:rsidP="00D05E3A">
      <w:pPr>
        <w:shd w:val="clear" w:color="auto" w:fill="FFFFFF"/>
        <w:spacing w:before="40"/>
        <w:ind w:left="426"/>
        <w:rPr>
          <w:rFonts w:cs="Arial"/>
          <w:sz w:val="12"/>
          <w:szCs w:val="12"/>
        </w:rPr>
      </w:pPr>
    </w:p>
    <w:bookmarkEnd w:id="52"/>
    <w:p w:rsidR="003D2B50" w:rsidRPr="00D05E3A" w:rsidRDefault="003D2B50" w:rsidP="009E7713">
      <w:pPr>
        <w:shd w:val="clear" w:color="auto" w:fill="FFFFFF"/>
        <w:ind w:left="425"/>
        <w:rPr>
          <w:b/>
          <w:bCs/>
          <w:i/>
          <w:iCs/>
          <w:sz w:val="22"/>
          <w:lang w:val="it-IT"/>
        </w:rPr>
      </w:pPr>
      <w:r w:rsidRPr="00D05E3A">
        <w:rPr>
          <w:i/>
          <w:iCs/>
          <w:sz w:val="22"/>
          <w:lang w:val="it-IT"/>
        </w:rPr>
        <w:t xml:space="preserve">“In merito alla metodologia di monitoraggio, il Consiglio di Stato ha fatto proprie le </w:t>
      </w:r>
      <w:r w:rsidRPr="00D05E3A">
        <w:rPr>
          <w:b/>
          <w:bCs/>
          <w:i/>
          <w:iCs/>
          <w:sz w:val="22"/>
          <w:lang w:val="it-IT"/>
        </w:rPr>
        <w:t>indicazioni</w:t>
      </w:r>
      <w:r w:rsidRPr="00D05E3A">
        <w:rPr>
          <w:i/>
          <w:iCs/>
          <w:sz w:val="22"/>
          <w:lang w:val="it-IT"/>
        </w:rPr>
        <w:t xml:space="preserve"> fornite dalla </w:t>
      </w:r>
      <w:r w:rsidRPr="00D05E3A">
        <w:rPr>
          <w:b/>
          <w:bCs/>
          <w:i/>
          <w:iCs/>
          <w:sz w:val="22"/>
          <w:lang w:val="it-IT"/>
        </w:rPr>
        <w:t>commissione della gestione e delle finanze</w:t>
      </w:r>
      <w:r w:rsidRPr="00D05E3A">
        <w:rPr>
          <w:i/>
          <w:iCs/>
          <w:sz w:val="22"/>
          <w:lang w:val="it-IT"/>
        </w:rPr>
        <w:t xml:space="preserve"> che, con il </w:t>
      </w:r>
      <w:r w:rsidRPr="00D05E3A">
        <w:rPr>
          <w:b/>
          <w:bCs/>
          <w:i/>
          <w:iCs/>
          <w:sz w:val="22"/>
          <w:lang w:val="it-IT"/>
        </w:rPr>
        <w:t>rapporto 7060R</w:t>
      </w:r>
      <w:r w:rsidRPr="00D05E3A">
        <w:rPr>
          <w:i/>
          <w:iCs/>
          <w:sz w:val="22"/>
          <w:lang w:val="it-IT"/>
        </w:rPr>
        <w:t xml:space="preserve"> </w:t>
      </w:r>
      <w:r w:rsidRPr="00D05E3A">
        <w:rPr>
          <w:b/>
          <w:bCs/>
          <w:i/>
          <w:iCs/>
          <w:sz w:val="22"/>
          <w:lang w:val="it-IT"/>
        </w:rPr>
        <w:t>del 4 dicembre 2015 relativo alla nuova legge per l'innovazione economica, invitava</w:t>
      </w:r>
      <w:r w:rsidRPr="00D05E3A">
        <w:rPr>
          <w:i/>
          <w:iCs/>
          <w:sz w:val="22"/>
          <w:lang w:val="it-IT"/>
        </w:rPr>
        <w:t xml:space="preserve"> lo stesso </w:t>
      </w:r>
      <w:r w:rsidRPr="00D05E3A">
        <w:rPr>
          <w:b/>
          <w:bCs/>
          <w:i/>
          <w:iCs/>
          <w:sz w:val="22"/>
          <w:lang w:val="it-IT"/>
        </w:rPr>
        <w:t>"ad implementare un sistema di monitoraggio e di controllo snello, efficacie ed efficiente, al fine da permettere la verifica del pieno</w:t>
      </w:r>
      <w:r w:rsidRPr="00D05E3A">
        <w:rPr>
          <w:b/>
          <w:bCs/>
          <w:sz w:val="22"/>
          <w:lang w:val="it-IT"/>
        </w:rPr>
        <w:t xml:space="preserve"> </w:t>
      </w:r>
      <w:r w:rsidRPr="00D05E3A">
        <w:rPr>
          <w:b/>
          <w:bCs/>
          <w:i/>
          <w:iCs/>
          <w:sz w:val="22"/>
          <w:lang w:val="it-IT"/>
        </w:rPr>
        <w:t xml:space="preserve">rispetto di tutti i criteri del decreto esecutivo senza costi supplementari e/o aggravi spropositati in oneri e lavoro amministrativo, sia per lo Stato, sia per le aziende." </w:t>
      </w:r>
    </w:p>
    <w:p w:rsidR="003D2B50" w:rsidRPr="00D05E3A" w:rsidRDefault="003D2B50" w:rsidP="00D05E3A">
      <w:pPr>
        <w:shd w:val="clear" w:color="auto" w:fill="FFFFFF"/>
        <w:spacing w:before="40"/>
        <w:ind w:left="426"/>
        <w:rPr>
          <w:i/>
          <w:iCs/>
          <w:sz w:val="22"/>
          <w:lang w:val="it-IT"/>
        </w:rPr>
      </w:pPr>
      <w:r w:rsidRPr="00D05E3A">
        <w:rPr>
          <w:i/>
          <w:iCs/>
          <w:sz w:val="22"/>
          <w:lang w:val="it-IT"/>
        </w:rPr>
        <w:lastRenderedPageBreak/>
        <w:t xml:space="preserve">La verifica del rispetto dei decreti esecutivi al momento della richiesta di sussidio e prima della decisione di stanziamento viene eseguita dall'Ufficio per lo sviluppo economico (art. 3 </w:t>
      </w:r>
      <w:proofErr w:type="spellStart"/>
      <w:r w:rsidRPr="00D05E3A">
        <w:rPr>
          <w:i/>
          <w:iCs/>
          <w:sz w:val="22"/>
          <w:lang w:val="it-IT"/>
        </w:rPr>
        <w:t>lett</w:t>
      </w:r>
      <w:proofErr w:type="spellEnd"/>
      <w:r w:rsidRPr="00D05E3A">
        <w:rPr>
          <w:i/>
          <w:iCs/>
          <w:sz w:val="22"/>
          <w:lang w:val="it-IT"/>
        </w:rPr>
        <w:t xml:space="preserve"> b </w:t>
      </w:r>
      <w:proofErr w:type="spellStart"/>
      <w:r w:rsidRPr="00D05E3A">
        <w:rPr>
          <w:i/>
          <w:iCs/>
          <w:sz w:val="22"/>
          <w:lang w:val="it-IT"/>
        </w:rPr>
        <w:t>RLinn</w:t>
      </w:r>
      <w:proofErr w:type="spellEnd"/>
      <w:r w:rsidRPr="00D05E3A">
        <w:rPr>
          <w:i/>
          <w:iCs/>
          <w:sz w:val="22"/>
          <w:lang w:val="it-IT"/>
        </w:rPr>
        <w:t xml:space="preserve"> e art. 16 </w:t>
      </w:r>
      <w:proofErr w:type="spellStart"/>
      <w:r w:rsidRPr="00D05E3A">
        <w:rPr>
          <w:i/>
          <w:iCs/>
          <w:sz w:val="22"/>
          <w:lang w:val="it-IT"/>
        </w:rPr>
        <w:t>cpv</w:t>
      </w:r>
      <w:proofErr w:type="spellEnd"/>
      <w:r w:rsidRPr="00D05E3A">
        <w:rPr>
          <w:i/>
          <w:iCs/>
          <w:sz w:val="22"/>
          <w:lang w:val="it-IT"/>
        </w:rPr>
        <w:t xml:space="preserve"> 1 </w:t>
      </w:r>
      <w:proofErr w:type="spellStart"/>
      <w:r w:rsidRPr="00D05E3A">
        <w:rPr>
          <w:i/>
          <w:iCs/>
          <w:sz w:val="22"/>
          <w:lang w:val="it-IT"/>
        </w:rPr>
        <w:t>RLlnn</w:t>
      </w:r>
      <w:proofErr w:type="spellEnd"/>
      <w:r w:rsidRPr="00D05E3A">
        <w:rPr>
          <w:i/>
          <w:iCs/>
          <w:sz w:val="22"/>
          <w:lang w:val="it-IT"/>
        </w:rPr>
        <w:t>).</w:t>
      </w:r>
    </w:p>
    <w:p w:rsidR="003D2B50" w:rsidRPr="00D05E3A" w:rsidRDefault="003D2B50" w:rsidP="00D05E3A">
      <w:pPr>
        <w:shd w:val="clear" w:color="auto" w:fill="FFFFFF"/>
        <w:spacing w:before="40"/>
        <w:ind w:left="426"/>
        <w:rPr>
          <w:b/>
          <w:bCs/>
          <w:i/>
          <w:iCs/>
          <w:sz w:val="22"/>
          <w:lang w:val="it-IT"/>
        </w:rPr>
      </w:pPr>
      <w:r w:rsidRPr="00D05E3A">
        <w:rPr>
          <w:i/>
          <w:iCs/>
          <w:sz w:val="22"/>
          <w:lang w:val="it-IT"/>
        </w:rPr>
        <w:t xml:space="preserve">Dopo lo stanziamento del sussidio, </w:t>
      </w:r>
      <w:r w:rsidRPr="00D05E3A">
        <w:rPr>
          <w:b/>
          <w:bCs/>
          <w:i/>
          <w:iCs/>
          <w:sz w:val="22"/>
          <w:lang w:val="it-IT"/>
        </w:rPr>
        <w:t xml:space="preserve">il monitoraggio del rispetto dei criteri di accesso viene eseguito annualmente dall'Ufficio dell'amministrazione e del </w:t>
      </w:r>
      <w:proofErr w:type="spellStart"/>
      <w:r w:rsidRPr="00D05E3A">
        <w:rPr>
          <w:b/>
          <w:bCs/>
          <w:i/>
          <w:iCs/>
          <w:sz w:val="22"/>
          <w:lang w:val="it-IT"/>
        </w:rPr>
        <w:t>controllinq</w:t>
      </w:r>
      <w:proofErr w:type="spellEnd"/>
      <w:r w:rsidRPr="00D05E3A">
        <w:rPr>
          <w:b/>
          <w:bCs/>
          <w:i/>
          <w:iCs/>
          <w:sz w:val="22"/>
          <w:lang w:val="it-IT"/>
        </w:rPr>
        <w:t xml:space="preserve"> (di seguito UAC)</w:t>
      </w:r>
      <w:r w:rsidRPr="00D05E3A">
        <w:rPr>
          <w:i/>
          <w:iCs/>
          <w:sz w:val="22"/>
          <w:lang w:val="it-IT"/>
        </w:rPr>
        <w:t xml:space="preserve"> tramite direttive e formulari specifici (art. 4 </w:t>
      </w:r>
      <w:proofErr w:type="spellStart"/>
      <w:r w:rsidRPr="00D05E3A">
        <w:rPr>
          <w:i/>
          <w:iCs/>
          <w:sz w:val="22"/>
          <w:lang w:val="it-IT"/>
        </w:rPr>
        <w:t>lett</w:t>
      </w:r>
      <w:proofErr w:type="spellEnd"/>
      <w:r w:rsidRPr="00D05E3A">
        <w:rPr>
          <w:i/>
          <w:iCs/>
          <w:sz w:val="22"/>
          <w:lang w:val="it-IT"/>
        </w:rPr>
        <w:t xml:space="preserve"> b e art. 16 </w:t>
      </w:r>
      <w:proofErr w:type="spellStart"/>
      <w:r w:rsidRPr="00D05E3A">
        <w:rPr>
          <w:i/>
          <w:iCs/>
          <w:sz w:val="22"/>
          <w:lang w:val="it-IT"/>
        </w:rPr>
        <w:t>cpv</w:t>
      </w:r>
      <w:proofErr w:type="spellEnd"/>
      <w:r w:rsidRPr="00D05E3A">
        <w:rPr>
          <w:i/>
          <w:iCs/>
          <w:sz w:val="22"/>
          <w:lang w:val="it-IT"/>
        </w:rPr>
        <w:t xml:space="preserve"> 1 e 2 </w:t>
      </w:r>
      <w:proofErr w:type="spellStart"/>
      <w:r w:rsidRPr="00D05E3A">
        <w:rPr>
          <w:i/>
          <w:iCs/>
          <w:sz w:val="22"/>
          <w:lang w:val="it-IT"/>
        </w:rPr>
        <w:t>RLlnn</w:t>
      </w:r>
      <w:proofErr w:type="spellEnd"/>
      <w:r w:rsidRPr="00D05E3A">
        <w:rPr>
          <w:i/>
          <w:iCs/>
          <w:sz w:val="22"/>
          <w:lang w:val="it-IT"/>
        </w:rPr>
        <w:t xml:space="preserve">, e direttive pubblicate). </w:t>
      </w:r>
      <w:r w:rsidRPr="00D05E3A">
        <w:rPr>
          <w:b/>
          <w:bCs/>
          <w:i/>
          <w:iCs/>
          <w:sz w:val="22"/>
          <w:lang w:val="it-IT"/>
        </w:rPr>
        <w:t>Per 10 anni le aziende beneficiarie di sussidio devono autocertificare il rispetto dei decreti</w:t>
      </w:r>
      <w:r w:rsidRPr="00D05E3A">
        <w:rPr>
          <w:i/>
          <w:iCs/>
          <w:sz w:val="22"/>
          <w:lang w:val="it-IT"/>
        </w:rPr>
        <w:t xml:space="preserve"> tramite il modulo di autocertificazione pubblicato sul sito dell'UAC. La verifica delle aziende beneficiarie unicamente di sussidi decisi tramite procedura agevolata inferiori a 25'000 CHF, è ridotta a 2 anni a partire da quello di decisione. </w:t>
      </w:r>
      <w:r w:rsidRPr="00D05E3A">
        <w:rPr>
          <w:b/>
          <w:bCs/>
          <w:i/>
          <w:iCs/>
          <w:sz w:val="22"/>
          <w:lang w:val="it-IT"/>
        </w:rPr>
        <w:t>Annualmente l'UAC, applicando una procedura di selezione a campione o nei casi critici o dubbi, effettua una verifica</w:t>
      </w:r>
      <w:r w:rsidRPr="00D05E3A">
        <w:rPr>
          <w:i/>
          <w:iCs/>
          <w:sz w:val="22"/>
          <w:lang w:val="it-IT"/>
        </w:rPr>
        <w:t xml:space="preserve"> </w:t>
      </w:r>
      <w:r w:rsidRPr="00D05E3A">
        <w:rPr>
          <w:b/>
          <w:bCs/>
          <w:i/>
          <w:iCs/>
          <w:sz w:val="22"/>
          <w:lang w:val="it-IT"/>
        </w:rPr>
        <w:t>puntuale</w:t>
      </w:r>
      <w:r w:rsidRPr="00D05E3A">
        <w:rPr>
          <w:i/>
          <w:iCs/>
          <w:sz w:val="22"/>
          <w:lang w:val="it-IT"/>
        </w:rPr>
        <w:t xml:space="preserve"> secondo la direttiva specifica stabilita in applicazione dell'art. 16 </w:t>
      </w:r>
      <w:proofErr w:type="spellStart"/>
      <w:r w:rsidRPr="00D05E3A">
        <w:rPr>
          <w:i/>
          <w:iCs/>
          <w:sz w:val="22"/>
          <w:lang w:val="it-IT"/>
        </w:rPr>
        <w:t>cpv</w:t>
      </w:r>
      <w:proofErr w:type="spellEnd"/>
      <w:r w:rsidRPr="00D05E3A">
        <w:rPr>
          <w:i/>
          <w:iCs/>
          <w:sz w:val="22"/>
          <w:lang w:val="it-IT"/>
        </w:rPr>
        <w:t xml:space="preserve"> 3 </w:t>
      </w:r>
      <w:proofErr w:type="spellStart"/>
      <w:r w:rsidRPr="00D05E3A">
        <w:rPr>
          <w:i/>
          <w:iCs/>
          <w:sz w:val="22"/>
          <w:lang w:val="it-IT"/>
        </w:rPr>
        <w:t>RLinn</w:t>
      </w:r>
      <w:proofErr w:type="spellEnd"/>
      <w:r w:rsidRPr="00D05E3A">
        <w:rPr>
          <w:i/>
          <w:iCs/>
          <w:sz w:val="22"/>
          <w:lang w:val="it-IT"/>
        </w:rPr>
        <w:t xml:space="preserve">. </w:t>
      </w:r>
      <w:r w:rsidRPr="00D05E3A">
        <w:rPr>
          <w:b/>
          <w:bCs/>
          <w:i/>
          <w:iCs/>
          <w:sz w:val="22"/>
          <w:lang w:val="it-IT"/>
        </w:rPr>
        <w:t>Nell'ambito di queste verifiche le aziende forniscono dati e documenti formali di dettaglio, che</w:t>
      </w:r>
      <w:r w:rsidRPr="00D05E3A">
        <w:rPr>
          <w:i/>
          <w:iCs/>
          <w:sz w:val="22"/>
          <w:lang w:val="it-IT"/>
        </w:rPr>
        <w:t xml:space="preserve"> </w:t>
      </w:r>
      <w:r w:rsidRPr="00D05E3A">
        <w:rPr>
          <w:b/>
          <w:bCs/>
          <w:i/>
          <w:iCs/>
          <w:sz w:val="22"/>
          <w:lang w:val="it-IT"/>
        </w:rPr>
        <w:t xml:space="preserve">consentono una </w:t>
      </w:r>
      <w:r w:rsidRPr="00D05E3A">
        <w:rPr>
          <w:b/>
          <w:bCs/>
          <w:sz w:val="22"/>
          <w:lang w:val="it-IT"/>
        </w:rPr>
        <w:t xml:space="preserve">verifica approfondita del rispetto dei criteri di accesso alla </w:t>
      </w:r>
      <w:proofErr w:type="spellStart"/>
      <w:r w:rsidRPr="00D05E3A">
        <w:rPr>
          <w:b/>
          <w:bCs/>
          <w:sz w:val="22"/>
          <w:lang w:val="it-IT"/>
        </w:rPr>
        <w:t>Llnn</w:t>
      </w:r>
      <w:proofErr w:type="spellEnd"/>
      <w:r w:rsidRPr="00D05E3A">
        <w:rPr>
          <w:sz w:val="22"/>
          <w:lang w:val="it-IT"/>
        </w:rPr>
        <w:t xml:space="preserve">. </w:t>
      </w:r>
      <w:r w:rsidRPr="00D05E3A">
        <w:rPr>
          <w:i/>
          <w:iCs/>
          <w:sz w:val="22"/>
          <w:lang w:val="it-IT"/>
        </w:rPr>
        <w:t xml:space="preserve">A titolo di informazione, il monitoraggio da parte dell'UAC per gli anni 2016, 2017 e 2018 è avvenuto tramite l'esame di rispettivamente di 62, 85 e 105 autocertificazioni, </w:t>
      </w:r>
      <w:r w:rsidRPr="00D05E3A">
        <w:rPr>
          <w:b/>
          <w:bCs/>
          <w:i/>
          <w:iCs/>
          <w:sz w:val="22"/>
          <w:lang w:val="it-IT"/>
        </w:rPr>
        <w:t>mentre le verifiche puntuali hanno riguardato indicativamente il 10% delle aziende sottoposte a monitoraggio.</w:t>
      </w:r>
      <w:r w:rsidRPr="00D05E3A">
        <w:rPr>
          <w:i/>
          <w:iCs/>
          <w:sz w:val="22"/>
          <w:lang w:val="it-IT"/>
        </w:rPr>
        <w:t xml:space="preserve"> Attualmente è in corso la procedura di monitoraggio per l'anno 2019, che riguarda 101 aziende. </w:t>
      </w:r>
      <w:r w:rsidRPr="00D05E3A">
        <w:rPr>
          <w:b/>
          <w:bCs/>
          <w:i/>
          <w:iCs/>
          <w:sz w:val="22"/>
          <w:lang w:val="it-IT"/>
        </w:rPr>
        <w:t xml:space="preserve">In aggiunta a ciò, l'Ufficio per lo sviluppo economico e l'Ufficio dell'amministrazione e </w:t>
      </w:r>
      <w:proofErr w:type="spellStart"/>
      <w:r w:rsidRPr="00D05E3A">
        <w:rPr>
          <w:b/>
          <w:bCs/>
          <w:i/>
          <w:iCs/>
          <w:sz w:val="22"/>
          <w:lang w:val="it-IT"/>
        </w:rPr>
        <w:t>controlling</w:t>
      </w:r>
      <w:proofErr w:type="spellEnd"/>
      <w:r w:rsidRPr="00D05E3A">
        <w:rPr>
          <w:b/>
          <w:bCs/>
          <w:i/>
          <w:iCs/>
          <w:sz w:val="22"/>
          <w:lang w:val="it-IT"/>
        </w:rPr>
        <w:t xml:space="preserve"> procedono sistematicamente a convocare in audizione i beneficiari, qualora dovessero venire a conoscenza, da ogni possibile fonte, di problemi in relazione ai progetti sostenuti o all'azienda stessa”. </w:t>
      </w:r>
    </w:p>
    <w:p w:rsidR="003D2B50" w:rsidRPr="007966E5" w:rsidRDefault="003D2B50" w:rsidP="009E7713">
      <w:pPr>
        <w:ind w:left="426"/>
        <w:rPr>
          <w:lang w:val="it-IT"/>
        </w:rPr>
      </w:pPr>
    </w:p>
    <w:p w:rsidR="003D2B50" w:rsidRPr="00B50BD0" w:rsidRDefault="003D2B50" w:rsidP="009E7713">
      <w:pPr>
        <w:ind w:left="426"/>
        <w:rPr>
          <w:bCs/>
          <w:lang w:val="it-IT"/>
        </w:rPr>
      </w:pPr>
      <w:r w:rsidRPr="00B50BD0">
        <w:rPr>
          <w:bCs/>
          <w:lang w:val="it-IT"/>
        </w:rPr>
        <w:t>Per quel che concerne l’impatto della Legge, il Consiglio di Stato si è espresso come segue, citiamo testualmente:</w:t>
      </w:r>
    </w:p>
    <w:p w:rsidR="003D2B50" w:rsidRDefault="003D2B50" w:rsidP="00D05E3A">
      <w:pPr>
        <w:shd w:val="clear" w:color="auto" w:fill="FFFFFF"/>
        <w:spacing w:before="140"/>
        <w:ind w:left="426"/>
        <w:rPr>
          <w:i/>
          <w:iCs/>
          <w:sz w:val="22"/>
          <w:lang w:val="it-IT"/>
        </w:rPr>
      </w:pPr>
      <w:r w:rsidRPr="00D05E3A">
        <w:rPr>
          <w:b/>
          <w:bCs/>
          <w:i/>
          <w:iCs/>
          <w:sz w:val="22"/>
          <w:lang w:val="it-IT"/>
        </w:rPr>
        <w:t>“È invece prematuro effettuare analisi più approfondite sull'impatto della Legge, in quanto gli effetti dei progetti sostenuti potranno verificarsi solo nel corso dei prossimi anni. Non bisogna inoltre dimenticare che molti dei progetti sostenuti nel quadriennio sono ancora in fase di realizzazione e che pertanto l'impatto sarà verificabile solo in un secondo momento.</w:t>
      </w:r>
      <w:r w:rsidRPr="00D05E3A">
        <w:rPr>
          <w:i/>
          <w:iCs/>
          <w:sz w:val="22"/>
          <w:lang w:val="it-IT"/>
        </w:rPr>
        <w:t xml:space="preserve"> La possibilità di effettuare analisi periodiche più dettagliate è espressamente prevista dalla legge per l'innovazione economica (art. 21 cpv. 3) ed è stata utilizzata, ad esempio, proprio per la preparazione dell'attuale legge: la precedente legge è stata infatti oggetto di un'approfondita valutazione ex-post, pubblicata con il messaggio 6569. Una nuova analisi di questo tipo potrà essere fatta una volta che almeno due periodi completi del credito quadro saranno conclusi. Solo così si potranno infatti trarre utili insegnamenti sulla base di un'analisi basata sulle misure dell'efficacia, dell'efficienza, dell'equità e della sostenibilità”.</w:t>
      </w:r>
    </w:p>
    <w:p w:rsidR="00D05E3A" w:rsidRPr="002B5656" w:rsidRDefault="00D05E3A" w:rsidP="002B5656">
      <w:pPr>
        <w:rPr>
          <w:sz w:val="18"/>
          <w:szCs w:val="18"/>
          <w:lang w:val="it-IT"/>
        </w:rPr>
      </w:pPr>
    </w:p>
    <w:p w:rsidR="003D2B50" w:rsidRPr="002B5656" w:rsidRDefault="003D2B50" w:rsidP="002B5656">
      <w:pPr>
        <w:rPr>
          <w:sz w:val="18"/>
          <w:szCs w:val="18"/>
          <w:lang w:eastAsia="it-IT"/>
        </w:rPr>
      </w:pPr>
    </w:p>
    <w:p w:rsidR="003D2B50" w:rsidRPr="00005488" w:rsidRDefault="003D2B50" w:rsidP="00D05E3A">
      <w:pPr>
        <w:pStyle w:val="Corpotesto"/>
        <w:numPr>
          <w:ilvl w:val="0"/>
          <w:numId w:val="40"/>
        </w:numPr>
        <w:tabs>
          <w:tab w:val="clear" w:pos="284"/>
          <w:tab w:val="clear" w:pos="4962"/>
        </w:tabs>
        <w:spacing w:before="40"/>
        <w:ind w:left="426" w:hanging="426"/>
        <w:rPr>
          <w:rFonts w:cs="Arial"/>
          <w:bCs/>
        </w:rPr>
      </w:pPr>
      <w:bookmarkStart w:id="53" w:name="_Hlk33695521"/>
      <w:r w:rsidRPr="00005488">
        <w:rPr>
          <w:rFonts w:cs="Arial"/>
          <w:bCs/>
        </w:rPr>
        <w:t xml:space="preserve">Le modalità di applicazione dell’art. 6 del </w:t>
      </w:r>
      <w:proofErr w:type="spellStart"/>
      <w:r w:rsidRPr="00005488">
        <w:rPr>
          <w:rFonts w:cs="Arial"/>
          <w:bCs/>
        </w:rPr>
        <w:t>RLInn</w:t>
      </w:r>
      <w:proofErr w:type="spellEnd"/>
      <w:r w:rsidRPr="00005488">
        <w:rPr>
          <w:rFonts w:cs="Arial"/>
          <w:bCs/>
        </w:rPr>
        <w:t xml:space="preserve"> concernente le aziende del terziario avanzato. Questo in quanto tale articolo, con l’eccezione del cpv. d, sembra lasciare un ampio margine di interpretazione. Si è domandato pure quante richieste sono state rifiutate e con quale motivazione.</w:t>
      </w:r>
    </w:p>
    <w:p w:rsidR="003D2B50" w:rsidRPr="00D05E3A" w:rsidRDefault="003D2B50" w:rsidP="009E7713">
      <w:pPr>
        <w:rPr>
          <w:rFonts w:eastAsia="Times New Roman"/>
          <w:sz w:val="20"/>
          <w:szCs w:val="20"/>
        </w:rPr>
      </w:pPr>
    </w:p>
    <w:p w:rsidR="003D2B50" w:rsidRPr="007966E5" w:rsidRDefault="003D2B50" w:rsidP="009E7713">
      <w:pPr>
        <w:shd w:val="clear" w:color="auto" w:fill="FFFFFF"/>
        <w:ind w:left="426"/>
        <w:rPr>
          <w:rFonts w:cs="Arial"/>
        </w:rPr>
      </w:pPr>
      <w:r w:rsidRPr="007966E5">
        <w:rPr>
          <w:rFonts w:cs="Arial"/>
        </w:rPr>
        <w:t>Citiamo testualmente dalla risposta del Consiglio di Stato (</w:t>
      </w:r>
      <w:proofErr w:type="spellStart"/>
      <w:r w:rsidRPr="007966E5">
        <w:rPr>
          <w:rFonts w:cs="Arial"/>
        </w:rPr>
        <w:t>evidenziature</w:t>
      </w:r>
      <w:proofErr w:type="spellEnd"/>
      <w:r w:rsidRPr="007966E5">
        <w:rPr>
          <w:rFonts w:cs="Arial"/>
        </w:rPr>
        <w:t xml:space="preserve"> </w:t>
      </w:r>
      <w:r>
        <w:rPr>
          <w:rFonts w:cs="Arial"/>
        </w:rPr>
        <w:t>da parte della CEL</w:t>
      </w:r>
      <w:r w:rsidRPr="007966E5">
        <w:rPr>
          <w:rFonts w:cs="Arial"/>
        </w:rPr>
        <w:t xml:space="preserve">): </w:t>
      </w:r>
    </w:p>
    <w:p w:rsidR="003D2B50" w:rsidRPr="00D05E3A" w:rsidRDefault="003D2B50" w:rsidP="00D05E3A">
      <w:pPr>
        <w:pStyle w:val="Stile"/>
        <w:spacing w:before="140"/>
        <w:ind w:left="426"/>
        <w:jc w:val="both"/>
        <w:rPr>
          <w:i/>
          <w:iCs/>
          <w:sz w:val="22"/>
          <w:szCs w:val="22"/>
          <w:lang w:val="it-IT"/>
        </w:rPr>
      </w:pPr>
      <w:r w:rsidRPr="00D05E3A">
        <w:rPr>
          <w:i/>
          <w:iCs/>
          <w:sz w:val="22"/>
          <w:szCs w:val="22"/>
          <w:lang w:val="it-IT"/>
        </w:rPr>
        <w:t xml:space="preserve">“Per valutare se le aziende del terziario avanzato soddisfano i requisiti stabiliti dal </w:t>
      </w:r>
      <w:proofErr w:type="spellStart"/>
      <w:r w:rsidRPr="00D05E3A">
        <w:rPr>
          <w:i/>
          <w:iCs/>
          <w:sz w:val="22"/>
          <w:szCs w:val="22"/>
          <w:lang w:val="it-IT"/>
        </w:rPr>
        <w:t>RLinn</w:t>
      </w:r>
      <w:proofErr w:type="spellEnd"/>
      <w:r w:rsidRPr="00D05E3A">
        <w:rPr>
          <w:i/>
          <w:iCs/>
          <w:sz w:val="22"/>
          <w:szCs w:val="22"/>
          <w:lang w:val="it-IT"/>
        </w:rPr>
        <w:t xml:space="preserve"> - in particolare quelli di cui all'art. 6 cpv. 1 </w:t>
      </w:r>
      <w:proofErr w:type="spellStart"/>
      <w:r w:rsidRPr="00D05E3A">
        <w:rPr>
          <w:i/>
          <w:iCs/>
          <w:sz w:val="22"/>
          <w:szCs w:val="22"/>
          <w:lang w:val="it-IT"/>
        </w:rPr>
        <w:t>lett</w:t>
      </w:r>
      <w:proofErr w:type="spellEnd"/>
      <w:r w:rsidRPr="00D05E3A">
        <w:rPr>
          <w:i/>
          <w:iCs/>
          <w:sz w:val="22"/>
          <w:szCs w:val="22"/>
          <w:lang w:val="it-IT"/>
        </w:rPr>
        <w:t xml:space="preserve">. b) e c) - si verifica se l'azienda svolga al proprio interno attività di ricerca e sviluppo. La verifica è volta a constatare la presenza strutturata di laboratori e macchinari nonché di figure professionali tecniche specializzate (ad esempio: ricercatori, ingegneri, informatici, personale tecnico, etc.), i cui costi solitamente sono attivati a bilancio in quanto procurano all'azienda vantaggi economici misurabili durante diversi anni.  In totale, dopo una verifica, cinque richieste presentate da altrettante aziende del settore terziario, che non ottemperavano a quanto sopra, non sono state ritenute idonee. Si tratta generalmente di società di consulenza o di natura esclusivamente commerciale”. </w:t>
      </w:r>
    </w:p>
    <w:p w:rsidR="003D2B50" w:rsidRPr="002B5656" w:rsidRDefault="003D2B50" w:rsidP="002B5656">
      <w:pPr>
        <w:rPr>
          <w:sz w:val="18"/>
          <w:szCs w:val="18"/>
          <w:lang w:val="it-IT"/>
        </w:rPr>
      </w:pPr>
    </w:p>
    <w:p w:rsidR="002B5656" w:rsidRPr="002B5656" w:rsidRDefault="002B5656" w:rsidP="002B5656">
      <w:pPr>
        <w:rPr>
          <w:sz w:val="18"/>
          <w:szCs w:val="18"/>
          <w:lang w:val="it-IT"/>
        </w:rPr>
      </w:pPr>
    </w:p>
    <w:p w:rsidR="003D2B50" w:rsidRDefault="003D2B50" w:rsidP="009E7713">
      <w:pPr>
        <w:pStyle w:val="Corpotesto"/>
        <w:numPr>
          <w:ilvl w:val="0"/>
          <w:numId w:val="40"/>
        </w:numPr>
        <w:tabs>
          <w:tab w:val="clear" w:pos="284"/>
          <w:tab w:val="clear" w:pos="4962"/>
        </w:tabs>
        <w:ind w:left="425" w:hanging="425"/>
        <w:rPr>
          <w:rFonts w:cs="Arial"/>
          <w:bCs/>
        </w:rPr>
      </w:pPr>
      <w:r w:rsidRPr="00005488">
        <w:rPr>
          <w:rFonts w:cs="Arial"/>
          <w:bCs/>
        </w:rPr>
        <w:lastRenderedPageBreak/>
        <w:t xml:space="preserve">Su quale base viene stabilita </w:t>
      </w:r>
      <w:bookmarkStart w:id="54" w:name="_Hlk35234096"/>
      <w:r w:rsidRPr="00005488">
        <w:rPr>
          <w:rFonts w:cs="Arial"/>
          <w:bCs/>
        </w:rPr>
        <w:t xml:space="preserve">la soglia del salario lordo annuale che deve percepire almeno il 60% dei dipendenti, fatta eccezione per gli apprendisti </w:t>
      </w:r>
      <w:bookmarkEnd w:id="54"/>
      <w:r w:rsidRPr="00005488">
        <w:rPr>
          <w:rFonts w:cs="Arial"/>
          <w:bCs/>
        </w:rPr>
        <w:t>e, soprattutto, se si prevede di incrementarla (attualmente è posta a</w:t>
      </w:r>
      <w:r>
        <w:rPr>
          <w:rFonts w:cs="Arial"/>
          <w:bCs/>
        </w:rPr>
        <w:t xml:space="preserve"> </w:t>
      </w:r>
      <w:r w:rsidRPr="00005488">
        <w:rPr>
          <w:rFonts w:cs="Arial"/>
          <w:bCs/>
        </w:rPr>
        <w:t xml:space="preserve">CHF 48'000.00). </w:t>
      </w:r>
    </w:p>
    <w:p w:rsidR="003D2B50" w:rsidRPr="00D05E3A" w:rsidRDefault="003D2B50" w:rsidP="003D2B50">
      <w:pPr>
        <w:pStyle w:val="Corpotesto"/>
        <w:tabs>
          <w:tab w:val="clear" w:pos="426"/>
          <w:tab w:val="clear" w:pos="4962"/>
        </w:tabs>
        <w:spacing w:before="40"/>
        <w:ind w:left="284"/>
        <w:rPr>
          <w:rFonts w:cs="Arial"/>
          <w:bCs/>
          <w:sz w:val="20"/>
        </w:rPr>
      </w:pPr>
    </w:p>
    <w:p w:rsidR="003D2B50" w:rsidRDefault="003D2B50" w:rsidP="009E7713">
      <w:pPr>
        <w:shd w:val="clear" w:color="auto" w:fill="FFFFFF"/>
        <w:ind w:left="425"/>
        <w:rPr>
          <w:rFonts w:cs="Arial"/>
        </w:rPr>
      </w:pPr>
      <w:bookmarkStart w:id="55" w:name="_Hlk34584058"/>
      <w:r w:rsidRPr="007966E5">
        <w:rPr>
          <w:rFonts w:cs="Arial"/>
        </w:rPr>
        <w:t>Citiamo dalla risposta del Consiglio di Stato (</w:t>
      </w:r>
      <w:proofErr w:type="spellStart"/>
      <w:r w:rsidRPr="007966E5">
        <w:rPr>
          <w:rFonts w:cs="Arial"/>
        </w:rPr>
        <w:t>evidenziature</w:t>
      </w:r>
      <w:proofErr w:type="spellEnd"/>
      <w:r w:rsidRPr="007966E5">
        <w:rPr>
          <w:rFonts w:cs="Arial"/>
        </w:rPr>
        <w:t xml:space="preserve"> </w:t>
      </w:r>
      <w:r>
        <w:rPr>
          <w:rFonts w:cs="Arial"/>
        </w:rPr>
        <w:t>da parte della CEL</w:t>
      </w:r>
      <w:r w:rsidRPr="007966E5">
        <w:rPr>
          <w:rFonts w:cs="Arial"/>
        </w:rPr>
        <w:t xml:space="preserve">): </w:t>
      </w:r>
    </w:p>
    <w:bookmarkEnd w:id="55"/>
    <w:p w:rsidR="003D2B50" w:rsidRPr="00D05E3A" w:rsidRDefault="003D2B50" w:rsidP="002B5656">
      <w:pPr>
        <w:shd w:val="clear" w:color="auto" w:fill="FFFFFF"/>
        <w:spacing w:before="120"/>
        <w:ind w:left="425"/>
        <w:rPr>
          <w:b/>
          <w:bCs/>
          <w:i/>
          <w:iCs/>
          <w:sz w:val="22"/>
          <w:lang w:val="it-IT"/>
        </w:rPr>
      </w:pPr>
      <w:r w:rsidRPr="00D05E3A">
        <w:rPr>
          <w:i/>
          <w:iCs/>
          <w:sz w:val="22"/>
          <w:lang w:val="it-IT"/>
        </w:rPr>
        <w:t xml:space="preserve">“già nel 2015 il Consiglio di Stato riteneva che "malgrado la </w:t>
      </w:r>
      <w:proofErr w:type="spellStart"/>
      <w:r w:rsidRPr="00D05E3A">
        <w:rPr>
          <w:i/>
          <w:iCs/>
          <w:sz w:val="22"/>
          <w:lang w:val="it-IT"/>
        </w:rPr>
        <w:t>Llnn</w:t>
      </w:r>
      <w:proofErr w:type="spellEnd"/>
      <w:r w:rsidRPr="00D05E3A">
        <w:rPr>
          <w:i/>
          <w:iCs/>
          <w:sz w:val="22"/>
          <w:lang w:val="it-IT"/>
        </w:rPr>
        <w:t xml:space="preserve"> non sia una Legge pensata per regolare il mercato del lavoro bensì per stimolare l'innovazione, </w:t>
      </w:r>
      <w:r w:rsidRPr="00D05E3A">
        <w:rPr>
          <w:b/>
          <w:bCs/>
          <w:i/>
          <w:iCs/>
          <w:sz w:val="22"/>
          <w:lang w:val="it-IT"/>
        </w:rPr>
        <w:t>un criterio d'accesso legato ai livelli salariali s'impone:</w:t>
      </w:r>
      <w:r w:rsidRPr="00D05E3A">
        <w:rPr>
          <w:i/>
          <w:iCs/>
          <w:sz w:val="22"/>
          <w:lang w:val="it-IT"/>
        </w:rPr>
        <w:t xml:space="preserve"> non può infatti essere ritenuto virtuoso un modello di sviluppo sostenuto attivamente dal Cantone basato esclusivamente sul differenziale salariale con la vicina Italia. </w:t>
      </w:r>
      <w:r w:rsidRPr="00D05E3A">
        <w:rPr>
          <w:b/>
          <w:bCs/>
          <w:i/>
          <w:iCs/>
          <w:sz w:val="22"/>
          <w:lang w:val="it-IT"/>
        </w:rPr>
        <w:t xml:space="preserve">Manodopera qualificata, produttiva e ben retribuita è necessaria per mantenere competitive le aziende e per perseguire l'obiettivo di una crescita qualitativa e non solo quantitativa. </w:t>
      </w:r>
    </w:p>
    <w:p w:rsidR="003D2B50" w:rsidRPr="00D05E3A" w:rsidRDefault="003D2B50" w:rsidP="002B5656">
      <w:pPr>
        <w:shd w:val="clear" w:color="auto" w:fill="FFFFFF"/>
        <w:spacing w:before="120"/>
        <w:ind w:left="425"/>
        <w:rPr>
          <w:b/>
          <w:bCs/>
          <w:i/>
          <w:iCs/>
          <w:sz w:val="22"/>
          <w:lang w:val="it-IT"/>
        </w:rPr>
      </w:pPr>
      <w:r w:rsidRPr="00D05E3A">
        <w:rPr>
          <w:i/>
          <w:iCs/>
          <w:sz w:val="22"/>
          <w:lang w:val="it-IT"/>
        </w:rPr>
        <w:t xml:space="preserve">Nel bilancio di metà legislatura, presentato con il messaggio 7557 del 4 luglio 2018, il Consiglio di Stato riprendeva questo concetto, sottolineando allora come </w:t>
      </w:r>
      <w:r w:rsidRPr="00D05E3A">
        <w:rPr>
          <w:b/>
          <w:bCs/>
          <w:i/>
          <w:iCs/>
          <w:sz w:val="22"/>
          <w:lang w:val="it-IT"/>
        </w:rPr>
        <w:t xml:space="preserve">"le soglie d'accesso potranno essere adeguate, ma in modo che siano sempre significativamente più elevate rispetto ai salari minimi imposti, ad esempio, dai contratti normali di lavoro. </w:t>
      </w:r>
    </w:p>
    <w:p w:rsidR="003D2B50" w:rsidRPr="00D05E3A" w:rsidRDefault="003D2B50" w:rsidP="002B5656">
      <w:pPr>
        <w:pStyle w:val="Stile"/>
        <w:spacing w:before="120"/>
        <w:ind w:left="425"/>
        <w:jc w:val="both"/>
        <w:rPr>
          <w:i/>
          <w:iCs/>
          <w:sz w:val="22"/>
          <w:szCs w:val="22"/>
          <w:lang w:val="it-IT"/>
        </w:rPr>
      </w:pPr>
      <w:r w:rsidRPr="00D05E3A">
        <w:rPr>
          <w:i/>
          <w:iCs/>
          <w:sz w:val="22"/>
          <w:szCs w:val="22"/>
          <w:lang w:val="it-IT"/>
        </w:rPr>
        <w:t>Considerato che il Gran Consiglio ha recentemente approvato. il messaggio concernente la nuova legge sul salario minimo, una riflessione sulle soglie di cui all'attuale decreto esecutivo concernente i criteri salariali si impone</w:t>
      </w:r>
      <w:r w:rsidRPr="00D05E3A">
        <w:rPr>
          <w:b/>
          <w:bCs/>
          <w:i/>
          <w:iCs/>
          <w:sz w:val="22"/>
          <w:szCs w:val="22"/>
          <w:lang w:val="it-IT"/>
        </w:rPr>
        <w:t>. In linea di principio il Consiglio di Stato, considerato anche gli argomenti espressi nei messaggi precedenti, non intravvede particolari problemi ad adattare verso l'alto l'attuale soglia.</w:t>
      </w:r>
      <w:r w:rsidRPr="00D05E3A">
        <w:rPr>
          <w:i/>
          <w:iCs/>
          <w:sz w:val="22"/>
          <w:szCs w:val="22"/>
          <w:lang w:val="it-IT"/>
        </w:rPr>
        <w:t xml:space="preserve"> </w:t>
      </w:r>
      <w:r w:rsidRPr="00D05E3A">
        <w:rPr>
          <w:b/>
          <w:bCs/>
          <w:i/>
          <w:iCs/>
          <w:sz w:val="22"/>
          <w:szCs w:val="22"/>
          <w:lang w:val="it-IT"/>
        </w:rPr>
        <w:t>Una riflessione va fatta inoltre per quanto concerne il terziario avanzato, per il quale potrebbe essere necessario prevedere una soglia significativamente più alta rispetto al settore industriale.</w:t>
      </w:r>
      <w:r w:rsidRPr="00D05E3A">
        <w:rPr>
          <w:i/>
          <w:iCs/>
          <w:sz w:val="22"/>
          <w:szCs w:val="22"/>
          <w:lang w:val="it-IT"/>
        </w:rPr>
        <w:t xml:space="preserve"> </w:t>
      </w:r>
    </w:p>
    <w:p w:rsidR="003D2B50" w:rsidRDefault="003D2B50" w:rsidP="002B5656">
      <w:pPr>
        <w:pStyle w:val="Stile"/>
        <w:spacing w:before="120"/>
        <w:ind w:left="425"/>
        <w:jc w:val="both"/>
        <w:rPr>
          <w:i/>
          <w:iCs/>
          <w:sz w:val="22"/>
          <w:szCs w:val="22"/>
          <w:lang w:val="it-IT"/>
        </w:rPr>
      </w:pPr>
      <w:r w:rsidRPr="00D05E3A">
        <w:rPr>
          <w:i/>
          <w:iCs/>
          <w:sz w:val="22"/>
          <w:szCs w:val="22"/>
          <w:lang w:val="it-IT"/>
        </w:rPr>
        <w:t xml:space="preserve">Ciò appare giustificato da un lato dai profili qualificati necessari per svolgere attività di sviluppo e ricerca, dall'altro lato dalla sempre più importante pressione del </w:t>
      </w:r>
      <w:proofErr w:type="spellStart"/>
      <w:r w:rsidRPr="00D05E3A">
        <w:rPr>
          <w:i/>
          <w:iCs/>
          <w:sz w:val="22"/>
          <w:szCs w:val="22"/>
          <w:lang w:val="it-IT"/>
        </w:rPr>
        <w:t>frontalierato</w:t>
      </w:r>
      <w:proofErr w:type="spellEnd"/>
      <w:r w:rsidRPr="00D05E3A">
        <w:rPr>
          <w:i/>
          <w:iCs/>
          <w:sz w:val="22"/>
          <w:szCs w:val="22"/>
          <w:lang w:val="it-IT"/>
        </w:rPr>
        <w:t xml:space="preserve"> sul settore terziario, come dimostrano le recenti statistiche. </w:t>
      </w:r>
    </w:p>
    <w:p w:rsidR="00D05E3A" w:rsidRDefault="00D05E3A" w:rsidP="00D05E3A">
      <w:pPr>
        <w:rPr>
          <w:lang w:val="it-IT"/>
        </w:rPr>
      </w:pPr>
    </w:p>
    <w:p w:rsidR="002B5656" w:rsidRPr="00D05E3A" w:rsidRDefault="002B5656" w:rsidP="00D05E3A">
      <w:pPr>
        <w:rPr>
          <w:lang w:val="it-IT"/>
        </w:rPr>
      </w:pPr>
    </w:p>
    <w:p w:rsidR="003D2B50" w:rsidRPr="002B5656" w:rsidRDefault="002B5656" w:rsidP="002B5656">
      <w:pPr>
        <w:pStyle w:val="Titolo2"/>
      </w:pPr>
      <w:bookmarkStart w:id="56" w:name="_Toc37096447"/>
      <w:bookmarkStart w:id="57" w:name="_Toc39677875"/>
      <w:r w:rsidRPr="002B5656">
        <w:t>5.3</w:t>
      </w:r>
      <w:r w:rsidRPr="002B5656">
        <w:tab/>
      </w:r>
      <w:r w:rsidR="003D2B50" w:rsidRPr="002B5656">
        <w:t>Ulteriori approfondimenti commissionali</w:t>
      </w:r>
      <w:bookmarkEnd w:id="56"/>
      <w:bookmarkEnd w:id="57"/>
    </w:p>
    <w:p w:rsidR="003D2B50" w:rsidRDefault="003D2B50" w:rsidP="003D2B50">
      <w:pPr>
        <w:pStyle w:val="Corpotesto"/>
        <w:numPr>
          <w:ilvl w:val="0"/>
          <w:numId w:val="27"/>
        </w:numPr>
        <w:tabs>
          <w:tab w:val="clear" w:pos="426"/>
        </w:tabs>
        <w:spacing w:before="40"/>
        <w:ind w:left="284" w:hanging="284"/>
        <w:rPr>
          <w:rFonts w:cs="Arial"/>
        </w:rPr>
      </w:pPr>
      <w:r w:rsidRPr="008F03BB">
        <w:rPr>
          <w:rFonts w:cs="Arial"/>
        </w:rPr>
        <w:t xml:space="preserve">Numero nuove aziende beneficiarie di sussidi </w:t>
      </w:r>
      <w:proofErr w:type="spellStart"/>
      <w:r w:rsidRPr="008F03BB">
        <w:rPr>
          <w:rFonts w:cs="Arial"/>
        </w:rPr>
        <w:t>Llnn</w:t>
      </w:r>
      <w:proofErr w:type="spellEnd"/>
      <w:r w:rsidRPr="008F03BB">
        <w:rPr>
          <w:rFonts w:cs="Arial"/>
        </w:rPr>
        <w:t xml:space="preserve"> che si sono stabilite in Ticino e dettagli per ogni a</w:t>
      </w:r>
      <w:r>
        <w:rPr>
          <w:rFonts w:cs="Arial"/>
        </w:rPr>
        <w:t>zienda.</w:t>
      </w:r>
    </w:p>
    <w:p w:rsidR="003D2B50" w:rsidRPr="00D05E3A" w:rsidRDefault="003D2B50" w:rsidP="00D05E3A">
      <w:pPr>
        <w:pStyle w:val="Corpotesto"/>
        <w:tabs>
          <w:tab w:val="clear" w:pos="426"/>
        </w:tabs>
        <w:rPr>
          <w:rFonts w:cs="Arial"/>
          <w:sz w:val="20"/>
        </w:rPr>
      </w:pPr>
    </w:p>
    <w:p w:rsidR="003D2B50" w:rsidRDefault="003D2B50" w:rsidP="00D05E3A">
      <w:pPr>
        <w:shd w:val="clear" w:color="auto" w:fill="FFFFFF"/>
        <w:ind w:left="284"/>
        <w:rPr>
          <w:rFonts w:cs="Arial"/>
        </w:rPr>
      </w:pPr>
      <w:r w:rsidRPr="007966E5">
        <w:rPr>
          <w:rFonts w:cs="Arial"/>
        </w:rPr>
        <w:t xml:space="preserve">Citiamo dalla risposta del Consiglio di Stato: </w:t>
      </w:r>
    </w:p>
    <w:p w:rsidR="003D2B50" w:rsidRPr="00D05E3A" w:rsidRDefault="003D2B50" w:rsidP="00D05E3A">
      <w:pPr>
        <w:pStyle w:val="Stile"/>
        <w:spacing w:before="120"/>
        <w:ind w:left="284"/>
        <w:jc w:val="both"/>
        <w:rPr>
          <w:i/>
          <w:iCs/>
          <w:sz w:val="22"/>
          <w:szCs w:val="22"/>
          <w:lang w:val="it-IT"/>
        </w:rPr>
      </w:pPr>
      <w:r w:rsidRPr="00D05E3A">
        <w:rPr>
          <w:i/>
          <w:iCs/>
          <w:sz w:val="22"/>
          <w:szCs w:val="22"/>
          <w:lang w:val="it-IT"/>
        </w:rPr>
        <w:t xml:space="preserve">“La legge per l'innovazione economica è rivolta prevalentemente a sostenere le aziende già esistenti. Nessuna azienda proveniente dall'estero ha beneficiato di sussidi per investimenti materiali o immateriali ai sensi della </w:t>
      </w:r>
      <w:proofErr w:type="spellStart"/>
      <w:r w:rsidRPr="00D05E3A">
        <w:rPr>
          <w:i/>
          <w:iCs/>
          <w:sz w:val="22"/>
          <w:szCs w:val="22"/>
          <w:lang w:val="it-IT"/>
        </w:rPr>
        <w:t>Llnn</w:t>
      </w:r>
      <w:proofErr w:type="spellEnd"/>
      <w:r w:rsidRPr="00D05E3A">
        <w:rPr>
          <w:i/>
          <w:iCs/>
          <w:sz w:val="22"/>
          <w:szCs w:val="22"/>
          <w:lang w:val="it-IT"/>
        </w:rPr>
        <w:t>. Si ricorda che tra i criteri applicati alle nuove aziende per potere beneficiare di sussidi per investimenti materiali vi è la necessità di investire nei primi 3 anni almeno CHF 5 milioni (inclusi investimenti in terreni e immobili, ma escluso il capitale circolante). Tra le nuove aziende nate sul territorio, si annoverano invece cinque start-up”.</w:t>
      </w:r>
    </w:p>
    <w:p w:rsidR="003D2B50" w:rsidRPr="00D05E3A" w:rsidRDefault="003D2B50" w:rsidP="00D05E3A">
      <w:pPr>
        <w:pStyle w:val="Stile"/>
        <w:spacing w:before="120"/>
        <w:ind w:left="284"/>
        <w:jc w:val="both"/>
        <w:rPr>
          <w:sz w:val="22"/>
          <w:szCs w:val="22"/>
        </w:rPr>
      </w:pPr>
      <w:r w:rsidRPr="00D05E3A">
        <w:rPr>
          <w:sz w:val="22"/>
          <w:szCs w:val="22"/>
        </w:rPr>
        <w:t xml:space="preserve">Come avviene il monitoraggio delle aziende beneficiarie di sussidi sotto il profilo sociale e ambientale? </w:t>
      </w:r>
    </w:p>
    <w:p w:rsidR="003D2B50" w:rsidRPr="00D05E3A" w:rsidRDefault="003D2B50" w:rsidP="00D05E3A">
      <w:pPr>
        <w:pStyle w:val="Corpotesto"/>
        <w:tabs>
          <w:tab w:val="clear" w:pos="426"/>
        </w:tabs>
        <w:rPr>
          <w:rFonts w:cs="Arial"/>
          <w:szCs w:val="24"/>
        </w:rPr>
      </w:pPr>
    </w:p>
    <w:p w:rsidR="003D2B50" w:rsidRPr="00D05E3A" w:rsidRDefault="00D05E3A" w:rsidP="00D05E3A">
      <w:pPr>
        <w:pStyle w:val="Corpotesto"/>
        <w:tabs>
          <w:tab w:val="clear" w:pos="426"/>
        </w:tabs>
        <w:ind w:left="284" w:hanging="284"/>
        <w:rPr>
          <w:rFonts w:cs="Arial"/>
          <w:szCs w:val="24"/>
        </w:rPr>
      </w:pPr>
      <w:r>
        <w:rPr>
          <w:rFonts w:cs="Arial"/>
          <w:szCs w:val="24"/>
        </w:rPr>
        <w:tab/>
      </w:r>
      <w:r w:rsidR="003D2B50" w:rsidRPr="00D05E3A">
        <w:rPr>
          <w:rFonts w:cs="Arial"/>
          <w:szCs w:val="24"/>
        </w:rPr>
        <w:t>Citiamo testualmente dalla risposta del Consiglio di Stato (</w:t>
      </w:r>
      <w:proofErr w:type="spellStart"/>
      <w:r w:rsidR="003D2B50" w:rsidRPr="00D05E3A">
        <w:rPr>
          <w:rFonts w:cs="Arial"/>
          <w:szCs w:val="24"/>
        </w:rPr>
        <w:t>evidenziature</w:t>
      </w:r>
      <w:proofErr w:type="spellEnd"/>
      <w:r w:rsidR="003D2B50" w:rsidRPr="00D05E3A">
        <w:rPr>
          <w:rFonts w:cs="Arial"/>
          <w:szCs w:val="24"/>
        </w:rPr>
        <w:t xml:space="preserve"> da parte della CEL): </w:t>
      </w:r>
    </w:p>
    <w:p w:rsidR="003D2B50" w:rsidRDefault="003D2B50" w:rsidP="00D05E3A">
      <w:pPr>
        <w:pStyle w:val="Stile"/>
        <w:tabs>
          <w:tab w:val="left" w:pos="567"/>
        </w:tabs>
        <w:spacing w:before="120"/>
        <w:ind w:left="284"/>
        <w:jc w:val="both"/>
        <w:rPr>
          <w:b/>
          <w:bCs/>
          <w:i/>
          <w:iCs/>
          <w:lang w:val="it-IT"/>
        </w:rPr>
      </w:pPr>
      <w:r>
        <w:rPr>
          <w:i/>
          <w:iCs/>
          <w:lang w:val="it-IT"/>
        </w:rPr>
        <w:t>“</w:t>
      </w:r>
      <w:r w:rsidRPr="008C44F0">
        <w:rPr>
          <w:i/>
          <w:iCs/>
          <w:lang w:val="it-IT"/>
        </w:rPr>
        <w:t>Premesso che la legge per l'innovazione economica è volta a incentivare l'innovazione o l'internazionalizzazione, ogni azienda beneficiaria è tenuta al rispetto di tutte le norme di legge cantonali e federali, la mancanza del quale può comportare la revoca, una riduzione proporzionale o la restituzione del sussidio</w:t>
      </w:r>
      <w:r w:rsidRPr="00CA06A8">
        <w:rPr>
          <w:b/>
          <w:bCs/>
          <w:i/>
          <w:iCs/>
          <w:lang w:val="it-IT"/>
        </w:rPr>
        <w:t>.</w:t>
      </w:r>
      <w:r>
        <w:rPr>
          <w:b/>
          <w:bCs/>
          <w:i/>
          <w:iCs/>
          <w:lang w:val="it-IT"/>
        </w:rPr>
        <w:t xml:space="preserve"> </w:t>
      </w:r>
      <w:r w:rsidRPr="00CA06A8">
        <w:rPr>
          <w:b/>
          <w:bCs/>
          <w:i/>
          <w:iCs/>
          <w:lang w:val="it-IT"/>
        </w:rPr>
        <w:t xml:space="preserve">Per quanto concerne gli aspetti ambientali ogni investimento </w:t>
      </w:r>
      <w:r>
        <w:rPr>
          <w:b/>
          <w:bCs/>
          <w:i/>
          <w:iCs/>
          <w:lang w:val="it-IT"/>
        </w:rPr>
        <w:t>m</w:t>
      </w:r>
      <w:r w:rsidRPr="00CA06A8">
        <w:rPr>
          <w:b/>
          <w:bCs/>
          <w:i/>
          <w:iCs/>
          <w:lang w:val="it-IT"/>
        </w:rPr>
        <w:t>ateriale oggetto di sussidio è vincolato all'ottenimento del preavviso</w:t>
      </w:r>
      <w:r>
        <w:rPr>
          <w:b/>
          <w:bCs/>
          <w:i/>
          <w:iCs/>
          <w:lang w:val="it-IT"/>
        </w:rPr>
        <w:t xml:space="preserve"> </w:t>
      </w:r>
      <w:r w:rsidRPr="00CA06A8">
        <w:rPr>
          <w:b/>
          <w:bCs/>
          <w:i/>
          <w:iCs/>
          <w:lang w:val="it-IT"/>
        </w:rPr>
        <w:t xml:space="preserve">positivo da parte della Sezione per la protezione dell'aria, dell'acqua e del suolo. </w:t>
      </w:r>
    </w:p>
    <w:p w:rsidR="003D2B50" w:rsidRPr="000A0070" w:rsidRDefault="003D2B50" w:rsidP="00D05E3A">
      <w:pPr>
        <w:pStyle w:val="Stile"/>
        <w:tabs>
          <w:tab w:val="left" w:pos="567"/>
        </w:tabs>
        <w:spacing w:before="120"/>
        <w:ind w:left="284"/>
        <w:jc w:val="both"/>
        <w:rPr>
          <w:b/>
          <w:bCs/>
          <w:i/>
          <w:iCs/>
          <w:lang w:val="it-IT"/>
        </w:rPr>
      </w:pPr>
      <w:r w:rsidRPr="000A0070">
        <w:rPr>
          <w:b/>
          <w:bCs/>
          <w:i/>
          <w:iCs/>
          <w:lang w:val="it-IT"/>
        </w:rPr>
        <w:lastRenderedPageBreak/>
        <w:t>Ogni investimento deciso in procedura ordinaria è complessivamente vincolato ai preavvisi favo</w:t>
      </w:r>
      <w:r>
        <w:rPr>
          <w:b/>
          <w:bCs/>
          <w:i/>
          <w:iCs/>
          <w:lang w:val="it-IT"/>
        </w:rPr>
        <w:t>revoli delle seguenti autorità:</w:t>
      </w:r>
    </w:p>
    <w:p w:rsidR="003D2B50" w:rsidRPr="00D05E3A" w:rsidRDefault="003D2B50" w:rsidP="00D05E3A">
      <w:pPr>
        <w:pStyle w:val="Stile"/>
        <w:numPr>
          <w:ilvl w:val="0"/>
          <w:numId w:val="42"/>
        </w:numPr>
        <w:tabs>
          <w:tab w:val="left" w:pos="567"/>
        </w:tabs>
        <w:spacing w:before="60"/>
        <w:ind w:left="284" w:firstLine="0"/>
        <w:rPr>
          <w:bCs/>
          <w:i/>
          <w:iCs/>
          <w:sz w:val="22"/>
          <w:szCs w:val="22"/>
          <w:lang w:val="it-IT"/>
        </w:rPr>
      </w:pPr>
      <w:r w:rsidRPr="00D05E3A">
        <w:rPr>
          <w:bCs/>
          <w:i/>
          <w:iCs/>
          <w:sz w:val="22"/>
          <w:szCs w:val="22"/>
          <w:lang w:val="it-IT"/>
        </w:rPr>
        <w:t xml:space="preserve">Sezione per la protezione dell'aria, dell'acqua e del suolo (solo per investimenti materiali); </w:t>
      </w:r>
    </w:p>
    <w:p w:rsidR="003D2B50" w:rsidRPr="00D05E3A" w:rsidRDefault="003D2B50" w:rsidP="00D05E3A">
      <w:pPr>
        <w:pStyle w:val="Stile"/>
        <w:numPr>
          <w:ilvl w:val="0"/>
          <w:numId w:val="42"/>
        </w:numPr>
        <w:tabs>
          <w:tab w:val="left" w:pos="567"/>
        </w:tabs>
        <w:spacing w:before="60"/>
        <w:ind w:left="284" w:firstLine="0"/>
        <w:rPr>
          <w:bCs/>
          <w:i/>
          <w:iCs/>
          <w:sz w:val="22"/>
          <w:szCs w:val="22"/>
          <w:lang w:val="it-IT"/>
        </w:rPr>
      </w:pPr>
      <w:r w:rsidRPr="00D05E3A">
        <w:rPr>
          <w:bCs/>
          <w:i/>
          <w:iCs/>
          <w:sz w:val="22"/>
          <w:szCs w:val="22"/>
          <w:lang w:val="it-IT"/>
        </w:rPr>
        <w:t xml:space="preserve">Ufficio di tassazione delle persone giuridiche, </w:t>
      </w:r>
    </w:p>
    <w:p w:rsidR="003D2B50" w:rsidRPr="00D05E3A" w:rsidRDefault="003D2B50" w:rsidP="00D05E3A">
      <w:pPr>
        <w:pStyle w:val="Stile"/>
        <w:numPr>
          <w:ilvl w:val="0"/>
          <w:numId w:val="42"/>
        </w:numPr>
        <w:tabs>
          <w:tab w:val="left" w:pos="567"/>
        </w:tabs>
        <w:spacing w:before="60"/>
        <w:ind w:left="284" w:firstLine="0"/>
        <w:rPr>
          <w:bCs/>
          <w:i/>
          <w:iCs/>
          <w:sz w:val="22"/>
          <w:szCs w:val="22"/>
          <w:lang w:val="it-IT"/>
        </w:rPr>
      </w:pPr>
      <w:r w:rsidRPr="00D05E3A">
        <w:rPr>
          <w:bCs/>
          <w:i/>
          <w:iCs/>
          <w:sz w:val="22"/>
          <w:szCs w:val="22"/>
          <w:lang w:val="it-IT"/>
        </w:rPr>
        <w:t xml:space="preserve">Sezione del lavoro, </w:t>
      </w:r>
    </w:p>
    <w:p w:rsidR="003D2B50" w:rsidRPr="00D05E3A" w:rsidRDefault="003D2B50" w:rsidP="00D05E3A">
      <w:pPr>
        <w:pStyle w:val="Stile"/>
        <w:numPr>
          <w:ilvl w:val="0"/>
          <w:numId w:val="42"/>
        </w:numPr>
        <w:tabs>
          <w:tab w:val="left" w:pos="567"/>
        </w:tabs>
        <w:spacing w:before="60"/>
        <w:ind w:left="284" w:firstLine="0"/>
        <w:rPr>
          <w:bCs/>
          <w:i/>
          <w:iCs/>
          <w:sz w:val="22"/>
          <w:szCs w:val="22"/>
          <w:lang w:val="it-IT"/>
        </w:rPr>
      </w:pPr>
      <w:r w:rsidRPr="00D05E3A">
        <w:rPr>
          <w:bCs/>
          <w:i/>
          <w:iCs/>
          <w:sz w:val="22"/>
          <w:szCs w:val="22"/>
          <w:lang w:val="it-IT"/>
        </w:rPr>
        <w:t xml:space="preserve">Ufficio delle imposte alla fonte e del bollo; </w:t>
      </w:r>
    </w:p>
    <w:p w:rsidR="003D2B50" w:rsidRPr="00D05E3A" w:rsidRDefault="003D2B50" w:rsidP="00D05E3A">
      <w:pPr>
        <w:pStyle w:val="Stile"/>
        <w:numPr>
          <w:ilvl w:val="0"/>
          <w:numId w:val="42"/>
        </w:numPr>
        <w:tabs>
          <w:tab w:val="left" w:pos="567"/>
        </w:tabs>
        <w:spacing w:before="60"/>
        <w:ind w:left="284" w:firstLine="0"/>
        <w:rPr>
          <w:bCs/>
          <w:i/>
          <w:iCs/>
          <w:sz w:val="22"/>
          <w:szCs w:val="22"/>
          <w:lang w:val="it-IT"/>
        </w:rPr>
      </w:pPr>
      <w:r w:rsidRPr="00D05E3A">
        <w:rPr>
          <w:bCs/>
          <w:i/>
          <w:iCs/>
          <w:sz w:val="22"/>
          <w:szCs w:val="22"/>
          <w:lang w:val="it-IT"/>
        </w:rPr>
        <w:t xml:space="preserve">Cassa cantonale di compensazione AVS/AI/IPG. </w:t>
      </w:r>
    </w:p>
    <w:p w:rsidR="003D2B50" w:rsidRPr="00D05E3A" w:rsidRDefault="003D2B50" w:rsidP="00D05E3A">
      <w:pPr>
        <w:pStyle w:val="Stile"/>
        <w:tabs>
          <w:tab w:val="left" w:pos="567"/>
        </w:tabs>
        <w:spacing w:before="120"/>
        <w:ind w:left="284"/>
        <w:rPr>
          <w:i/>
          <w:iCs/>
          <w:sz w:val="22"/>
          <w:szCs w:val="22"/>
          <w:lang w:val="it-IT"/>
        </w:rPr>
      </w:pPr>
      <w:r w:rsidRPr="00D05E3A">
        <w:rPr>
          <w:i/>
          <w:iCs/>
          <w:sz w:val="22"/>
          <w:szCs w:val="22"/>
          <w:lang w:val="it-IT"/>
        </w:rPr>
        <w:t xml:space="preserve">Per quanto non regolato dalla legge per l'innovazione economica fa stato la legge sui sussidi e la legge sulle procedure amministrative. </w:t>
      </w:r>
    </w:p>
    <w:p w:rsidR="003D2B50" w:rsidRPr="00D05E3A" w:rsidRDefault="003D2B50" w:rsidP="003D2B50">
      <w:pPr>
        <w:pStyle w:val="Corpotesto"/>
        <w:tabs>
          <w:tab w:val="clear" w:pos="426"/>
        </w:tabs>
        <w:spacing w:before="40"/>
        <w:rPr>
          <w:rFonts w:cs="Arial"/>
          <w:sz w:val="32"/>
          <w:szCs w:val="32"/>
        </w:rPr>
      </w:pPr>
    </w:p>
    <w:bookmarkEnd w:id="53"/>
    <w:p w:rsidR="003D2B50" w:rsidRPr="00D765AA" w:rsidRDefault="003D2B50" w:rsidP="003D2B50">
      <w:pPr>
        <w:pStyle w:val="Corpotesto"/>
        <w:numPr>
          <w:ilvl w:val="0"/>
          <w:numId w:val="27"/>
        </w:numPr>
        <w:tabs>
          <w:tab w:val="clear" w:pos="426"/>
        </w:tabs>
        <w:spacing w:before="40"/>
        <w:ind w:left="284" w:hanging="284"/>
        <w:rPr>
          <w:rFonts w:cs="Arial"/>
          <w:lang w:val="it-CH"/>
        </w:rPr>
      </w:pPr>
      <w:r w:rsidRPr="00D765AA">
        <w:rPr>
          <w:rFonts w:cs="Arial"/>
          <w:lang w:val="it-CH"/>
        </w:rPr>
        <w:t>Dettagli relativi alle aziende beneficiarie di sussidi per investimenti materiali e immateriali</w:t>
      </w:r>
      <w:r>
        <w:rPr>
          <w:rFonts w:cs="Arial"/>
          <w:lang w:val="it-CH"/>
        </w:rPr>
        <w:t>.</w:t>
      </w:r>
    </w:p>
    <w:p w:rsidR="003D2B50" w:rsidRPr="00D05E3A" w:rsidRDefault="003D2B50" w:rsidP="003D2B50">
      <w:pPr>
        <w:pStyle w:val="Paragrafoelenco"/>
        <w:rPr>
          <w:rFonts w:eastAsia="Times New Roman"/>
          <w:b/>
          <w:bCs/>
          <w:sz w:val="20"/>
          <w:szCs w:val="20"/>
        </w:rPr>
      </w:pPr>
    </w:p>
    <w:p w:rsidR="003D2B50" w:rsidRPr="00D765AA" w:rsidRDefault="003D2B50" w:rsidP="003D2B50">
      <w:pPr>
        <w:shd w:val="clear" w:color="auto" w:fill="FFFFFF"/>
        <w:spacing w:before="40"/>
        <w:ind w:left="284"/>
        <w:rPr>
          <w:rFonts w:cs="Arial"/>
        </w:rPr>
      </w:pPr>
      <w:r>
        <w:rPr>
          <w:rFonts w:cs="Arial"/>
        </w:rPr>
        <w:t>Qui di seguito la tabella fornita dal</w:t>
      </w:r>
      <w:r w:rsidRPr="007966E5">
        <w:rPr>
          <w:rFonts w:cs="Arial"/>
        </w:rPr>
        <w:t xml:space="preserve"> Consiglio di Stato</w:t>
      </w:r>
      <w:r>
        <w:rPr>
          <w:rFonts w:cs="Arial"/>
        </w:rPr>
        <w:t xml:space="preserve"> che, p</w:t>
      </w:r>
      <w:r w:rsidRPr="00D765AA">
        <w:rPr>
          <w:rFonts w:cs="Arial"/>
        </w:rPr>
        <w:t>er agevolare una visione complessiva, fornisce il dettaglio del periodo 2016-2019 suddividendo in tre la tipologia di beneficiari: sussidi per innovazione (procedura ordinaria), sussidi per innovazione (</w:t>
      </w:r>
      <w:proofErr w:type="spellStart"/>
      <w:r w:rsidRPr="00D765AA">
        <w:rPr>
          <w:rFonts w:cs="Arial"/>
        </w:rPr>
        <w:t>Innosuisse</w:t>
      </w:r>
      <w:proofErr w:type="spellEnd"/>
      <w:r w:rsidRPr="00D765AA">
        <w:rPr>
          <w:rFonts w:cs="Arial"/>
        </w:rPr>
        <w:t xml:space="preserve"> e EU) e internazionalizzazione (fiere e SGE): </w:t>
      </w:r>
    </w:p>
    <w:p w:rsidR="003D2B50" w:rsidRDefault="003D2B50" w:rsidP="003D2B50">
      <w:pPr>
        <w:pStyle w:val="Paragrafoelenco"/>
        <w:rPr>
          <w:rFonts w:eastAsia="Times New Roman"/>
          <w:i/>
          <w:iCs/>
          <w:szCs w:val="24"/>
        </w:rPr>
      </w:pPr>
    </w:p>
    <w:p w:rsidR="009E7713" w:rsidRDefault="009E7713" w:rsidP="003D2B50">
      <w:pPr>
        <w:pStyle w:val="Paragrafoelenco"/>
        <w:rPr>
          <w:rFonts w:eastAsia="Times New Roman"/>
          <w:i/>
          <w:iCs/>
          <w:szCs w:val="24"/>
        </w:rPr>
      </w:pPr>
    </w:p>
    <w:p w:rsidR="003D2B50" w:rsidRDefault="003D2B50" w:rsidP="003D2B50">
      <w:pPr>
        <w:pStyle w:val="Paragrafoelenco"/>
        <w:rPr>
          <w:noProof/>
          <w:lang w:eastAsia="it-CH"/>
        </w:rPr>
      </w:pPr>
      <w:r w:rsidRPr="000A03C0">
        <w:rPr>
          <w:noProof/>
          <w:lang w:eastAsia="it-CH"/>
        </w:rPr>
        <w:lastRenderedPageBreak/>
        <w:drawing>
          <wp:inline distT="0" distB="0" distL="0" distR="0">
            <wp:extent cx="6334125" cy="71818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4125" cy="7181850"/>
                    </a:xfrm>
                    <a:prstGeom prst="rect">
                      <a:avLst/>
                    </a:prstGeom>
                    <a:noFill/>
                    <a:ln>
                      <a:noFill/>
                    </a:ln>
                  </pic:spPr>
                </pic:pic>
              </a:graphicData>
            </a:graphic>
          </wp:inline>
        </w:drawing>
      </w:r>
    </w:p>
    <w:p w:rsidR="003D2B50" w:rsidRDefault="003D2B50" w:rsidP="003D2B50">
      <w:pPr>
        <w:pStyle w:val="Paragrafoelenco"/>
        <w:rPr>
          <w:noProof/>
          <w:lang w:eastAsia="it-CH"/>
        </w:rPr>
      </w:pPr>
    </w:p>
    <w:p w:rsidR="00D05E3A" w:rsidRDefault="00D05E3A" w:rsidP="003D2B50">
      <w:pPr>
        <w:pStyle w:val="Paragrafoelenco"/>
        <w:rPr>
          <w:noProof/>
          <w:lang w:eastAsia="it-CH"/>
        </w:rPr>
      </w:pPr>
    </w:p>
    <w:p w:rsidR="003D2B50" w:rsidRDefault="003D2B50" w:rsidP="003D2B50">
      <w:pPr>
        <w:pStyle w:val="Paragrafoelenco"/>
        <w:rPr>
          <w:rFonts w:eastAsia="Times New Roman"/>
          <w:szCs w:val="24"/>
        </w:rPr>
      </w:pPr>
      <w:r w:rsidRPr="00465C2C">
        <w:rPr>
          <w:rFonts w:eastAsia="Times New Roman"/>
          <w:szCs w:val="24"/>
        </w:rPr>
        <w:t xml:space="preserve">A questo proposito non va dimenticato che le aziende che hanno beneficiato di un sussidio per l’innovazione ai sensi degli articoli 7 e 8 </w:t>
      </w:r>
      <w:proofErr w:type="spellStart"/>
      <w:r w:rsidRPr="00465C2C">
        <w:rPr>
          <w:rFonts w:eastAsia="Times New Roman"/>
          <w:szCs w:val="24"/>
        </w:rPr>
        <w:t>LInn</w:t>
      </w:r>
      <w:proofErr w:type="spellEnd"/>
      <w:r w:rsidRPr="00465C2C">
        <w:rPr>
          <w:rFonts w:eastAsia="Times New Roman"/>
          <w:szCs w:val="24"/>
        </w:rPr>
        <w:t xml:space="preserve"> con procedura ordinaria, non possono presentare una nuova richiesta fino alla conclusione degli investimenti previsti dal business </w:t>
      </w:r>
      <w:proofErr w:type="spellStart"/>
      <w:r w:rsidRPr="00465C2C">
        <w:rPr>
          <w:rFonts w:eastAsia="Times New Roman"/>
          <w:szCs w:val="24"/>
        </w:rPr>
        <w:t>plan</w:t>
      </w:r>
      <w:proofErr w:type="spellEnd"/>
      <w:r w:rsidRPr="00465C2C">
        <w:rPr>
          <w:rFonts w:eastAsia="Times New Roman"/>
          <w:szCs w:val="24"/>
        </w:rPr>
        <w:t>.</w:t>
      </w:r>
    </w:p>
    <w:p w:rsidR="003D2B50" w:rsidRDefault="003D2B50" w:rsidP="003D2B50">
      <w:pPr>
        <w:pStyle w:val="Paragrafoelenco"/>
        <w:rPr>
          <w:rFonts w:eastAsia="Times New Roman"/>
          <w:szCs w:val="24"/>
        </w:rPr>
      </w:pPr>
    </w:p>
    <w:p w:rsidR="003D2B50" w:rsidRDefault="003D2B50" w:rsidP="003D2B50">
      <w:pPr>
        <w:pStyle w:val="Paragrafoelenco"/>
        <w:rPr>
          <w:rFonts w:eastAsia="Times New Roman"/>
          <w:szCs w:val="24"/>
        </w:rPr>
      </w:pPr>
      <w:r w:rsidRPr="00465C2C">
        <w:rPr>
          <w:rFonts w:eastAsia="Times New Roman"/>
          <w:szCs w:val="24"/>
        </w:rPr>
        <w:t>Di regola queste aziende beneficiano sola una volta</w:t>
      </w:r>
      <w:r>
        <w:rPr>
          <w:rFonts w:eastAsia="Times New Roman"/>
          <w:szCs w:val="24"/>
        </w:rPr>
        <w:t xml:space="preserve"> </w:t>
      </w:r>
      <w:r w:rsidRPr="00465C2C">
        <w:rPr>
          <w:rFonts w:eastAsia="Times New Roman"/>
          <w:szCs w:val="24"/>
        </w:rPr>
        <w:t xml:space="preserve">nel quadriennio </w:t>
      </w:r>
      <w:r>
        <w:rPr>
          <w:rFonts w:eastAsia="Times New Roman"/>
          <w:szCs w:val="24"/>
        </w:rPr>
        <w:t xml:space="preserve">(ed è stato il caso per il periodo 2016 – 2019) </w:t>
      </w:r>
      <w:r w:rsidRPr="00465C2C">
        <w:rPr>
          <w:rFonts w:eastAsia="Times New Roman"/>
          <w:szCs w:val="24"/>
        </w:rPr>
        <w:t>di questo tipo</w:t>
      </w:r>
      <w:r>
        <w:rPr>
          <w:rFonts w:eastAsia="Times New Roman"/>
          <w:szCs w:val="24"/>
        </w:rPr>
        <w:t xml:space="preserve"> </w:t>
      </w:r>
      <w:r w:rsidRPr="00465C2C">
        <w:rPr>
          <w:rFonts w:eastAsia="Times New Roman"/>
          <w:szCs w:val="24"/>
        </w:rPr>
        <w:t>di aiuti,</w:t>
      </w:r>
      <w:r>
        <w:rPr>
          <w:rFonts w:eastAsia="Times New Roman"/>
          <w:szCs w:val="24"/>
        </w:rPr>
        <w:t xml:space="preserve"> </w:t>
      </w:r>
      <w:r w:rsidRPr="00465C2C">
        <w:rPr>
          <w:rFonts w:eastAsia="Times New Roman"/>
          <w:szCs w:val="24"/>
        </w:rPr>
        <w:t xml:space="preserve">anche perché </w:t>
      </w:r>
      <w:r>
        <w:rPr>
          <w:rFonts w:eastAsia="Times New Roman"/>
          <w:szCs w:val="24"/>
        </w:rPr>
        <w:tab/>
      </w:r>
      <w:r w:rsidRPr="00465C2C">
        <w:rPr>
          <w:rFonts w:eastAsia="Times New Roman"/>
          <w:szCs w:val="24"/>
        </w:rPr>
        <w:t>l’orizzonte richiesto per gli inves</w:t>
      </w:r>
      <w:r w:rsidR="00467BDE">
        <w:rPr>
          <w:rFonts w:eastAsia="Times New Roman"/>
          <w:szCs w:val="24"/>
        </w:rPr>
        <w:t>timenti previsti è di tre anni.</w:t>
      </w:r>
    </w:p>
    <w:p w:rsidR="009E7713" w:rsidRDefault="009E7713" w:rsidP="003D2B50">
      <w:pPr>
        <w:pStyle w:val="Paragrafoelenco"/>
        <w:rPr>
          <w:rFonts w:eastAsia="Times New Roman"/>
          <w:szCs w:val="24"/>
        </w:rPr>
      </w:pPr>
    </w:p>
    <w:p w:rsidR="003D2B50" w:rsidRDefault="003D2B50" w:rsidP="003D2B50">
      <w:pPr>
        <w:pStyle w:val="Paragrafoelenco"/>
        <w:rPr>
          <w:rFonts w:eastAsia="Times New Roman"/>
          <w:szCs w:val="24"/>
        </w:rPr>
      </w:pPr>
      <w:r w:rsidRPr="005D2F73">
        <w:rPr>
          <w:rFonts w:eastAsia="Times New Roman"/>
          <w:szCs w:val="24"/>
        </w:rPr>
        <w:lastRenderedPageBreak/>
        <w:t xml:space="preserve">L’Ufficio per lo sviluppo economico, ha indicato che avviene un sistematico controllo annuale sul rispetto dei criteri di accesso ai sussidi, che variano tra un minimo di due anni per le misure agevolate di entità minore, fino a 10 anni per i sussidi più consistenti (superiori a CHF 25'000). </w:t>
      </w:r>
      <w:r>
        <w:rPr>
          <w:rFonts w:eastAsia="Times New Roman"/>
          <w:szCs w:val="24"/>
        </w:rPr>
        <w:t>Risulterebbe che q</w:t>
      </w:r>
      <w:r w:rsidRPr="005D2F73">
        <w:rPr>
          <w:rFonts w:eastAsia="Times New Roman"/>
          <w:szCs w:val="24"/>
        </w:rPr>
        <w:t>uesto monitoraggio permett</w:t>
      </w:r>
      <w:r>
        <w:rPr>
          <w:rFonts w:eastAsia="Times New Roman"/>
          <w:szCs w:val="24"/>
        </w:rPr>
        <w:t>a</w:t>
      </w:r>
      <w:r w:rsidRPr="005D2F73">
        <w:rPr>
          <w:rFonts w:eastAsia="Times New Roman"/>
          <w:szCs w:val="24"/>
        </w:rPr>
        <w:t xml:space="preserve"> di avere sotto controllo il corretto utilizzo dei mezzi stanziati. </w:t>
      </w:r>
    </w:p>
    <w:p w:rsidR="003D2B50" w:rsidRPr="005D2F73" w:rsidRDefault="003D2B50" w:rsidP="003D2B50">
      <w:pPr>
        <w:pStyle w:val="Paragrafoelenco"/>
        <w:rPr>
          <w:rFonts w:eastAsia="Times New Roman"/>
          <w:szCs w:val="24"/>
        </w:rPr>
      </w:pPr>
      <w:r>
        <w:rPr>
          <w:rFonts w:eastAsia="Times New Roman"/>
          <w:szCs w:val="24"/>
        </w:rPr>
        <w:t xml:space="preserve">Per contro viene ritenuto </w:t>
      </w:r>
      <w:r w:rsidRPr="005D2F73">
        <w:rPr>
          <w:rFonts w:eastAsia="Times New Roman"/>
          <w:szCs w:val="24"/>
        </w:rPr>
        <w:t>prematuro poter effettuare analisi più approfondite sull’impatto della Legge, in quanto gli effetti dei progetti sostenuti potranno verificarsi solo nel corso dei prossimi anni. Non bisogna inoltre dimenticare che molti dei progetti sostenuti nel quadriennio sono ancora in fase di realizzazione e che pertanto l’impatto sarà verificabile solo in un secondo momento.</w:t>
      </w:r>
    </w:p>
    <w:p w:rsidR="003D2B50" w:rsidRPr="009E7713" w:rsidRDefault="003D2B50" w:rsidP="003D2B50">
      <w:pPr>
        <w:rPr>
          <w:sz w:val="18"/>
          <w:szCs w:val="18"/>
          <w:lang w:val="it-IT" w:eastAsia="it-IT"/>
        </w:rPr>
      </w:pPr>
    </w:p>
    <w:p w:rsidR="003D2B50" w:rsidRDefault="003D2B50" w:rsidP="003D2B50">
      <w:pPr>
        <w:pStyle w:val="Paragrafoelenco"/>
        <w:rPr>
          <w:rFonts w:eastAsia="Times New Roman"/>
          <w:szCs w:val="24"/>
        </w:rPr>
      </w:pPr>
      <w:r w:rsidRPr="00465C2C">
        <w:rPr>
          <w:rFonts w:eastAsia="Times New Roman"/>
          <w:szCs w:val="24"/>
        </w:rPr>
        <w:t xml:space="preserve">A questo proposito non va dimenticato che le aziende che hanno beneficiato di un sussidio per l’innovazione ai sensi degli articoli 7 e 8 </w:t>
      </w:r>
      <w:proofErr w:type="spellStart"/>
      <w:r w:rsidRPr="00465C2C">
        <w:rPr>
          <w:rFonts w:eastAsia="Times New Roman"/>
          <w:szCs w:val="24"/>
        </w:rPr>
        <w:t>LInn</w:t>
      </w:r>
      <w:proofErr w:type="spellEnd"/>
      <w:r w:rsidRPr="00465C2C">
        <w:rPr>
          <w:rFonts w:eastAsia="Times New Roman"/>
          <w:szCs w:val="24"/>
        </w:rPr>
        <w:t xml:space="preserve"> con procedura ordinaria, non possono presentare una nuova richiesta fino alla conclusione degli investimenti previsti dal business </w:t>
      </w:r>
      <w:proofErr w:type="spellStart"/>
      <w:r w:rsidRPr="00465C2C">
        <w:rPr>
          <w:rFonts w:eastAsia="Times New Roman"/>
          <w:szCs w:val="24"/>
        </w:rPr>
        <w:t>plan</w:t>
      </w:r>
      <w:proofErr w:type="spellEnd"/>
      <w:r w:rsidRPr="00465C2C">
        <w:rPr>
          <w:rFonts w:eastAsia="Times New Roman"/>
          <w:szCs w:val="24"/>
        </w:rPr>
        <w:t>.</w:t>
      </w:r>
    </w:p>
    <w:p w:rsidR="003D2B50" w:rsidRPr="009E7713" w:rsidRDefault="003D2B50" w:rsidP="003D2B50">
      <w:pPr>
        <w:pStyle w:val="Paragrafoelenco"/>
        <w:rPr>
          <w:rFonts w:eastAsia="Times New Roman"/>
          <w:sz w:val="18"/>
          <w:szCs w:val="18"/>
        </w:rPr>
      </w:pPr>
    </w:p>
    <w:p w:rsidR="003D2B50" w:rsidRDefault="003D2B50" w:rsidP="003D2B50">
      <w:pPr>
        <w:pStyle w:val="Paragrafoelenco"/>
        <w:rPr>
          <w:rFonts w:eastAsia="Times New Roman"/>
          <w:szCs w:val="24"/>
        </w:rPr>
      </w:pPr>
      <w:r w:rsidRPr="000D6897">
        <w:rPr>
          <w:rFonts w:eastAsia="Times New Roman"/>
          <w:szCs w:val="24"/>
        </w:rPr>
        <w:t>Di regola queste aziende beneficiano sola una volta nel quadriennio di questo tipo di aiuti, anche perché l’orizzonte richiesto per gli investimenti previsti è di tre anni.</w:t>
      </w:r>
      <w:r w:rsidRPr="00465C2C">
        <w:rPr>
          <w:rFonts w:eastAsia="Times New Roman"/>
          <w:szCs w:val="24"/>
        </w:rPr>
        <w:t xml:space="preserve"> </w:t>
      </w:r>
    </w:p>
    <w:p w:rsidR="00D05E3A" w:rsidRDefault="00D05E3A" w:rsidP="003D2B50">
      <w:pPr>
        <w:pStyle w:val="Paragrafoelenco"/>
        <w:rPr>
          <w:rFonts w:eastAsia="Times New Roman"/>
          <w:szCs w:val="24"/>
        </w:rPr>
      </w:pPr>
    </w:p>
    <w:p w:rsidR="00D05E3A" w:rsidRPr="00465C2C" w:rsidRDefault="00D05E3A" w:rsidP="003D2B50">
      <w:pPr>
        <w:pStyle w:val="Paragrafoelenco"/>
        <w:rPr>
          <w:rFonts w:eastAsia="Times New Roman"/>
          <w:szCs w:val="24"/>
        </w:rPr>
      </w:pPr>
    </w:p>
    <w:p w:rsidR="003D2B50" w:rsidRPr="006575EA" w:rsidRDefault="00D05E3A" w:rsidP="002B5656">
      <w:pPr>
        <w:pStyle w:val="Titolo2"/>
      </w:pPr>
      <w:bookmarkStart w:id="58" w:name="_Toc37096448"/>
      <w:bookmarkStart w:id="59" w:name="_Toc39677876"/>
      <w:r>
        <w:t>5.</w:t>
      </w:r>
      <w:r w:rsidR="009E7713">
        <w:t>4</w:t>
      </w:r>
      <w:r>
        <w:tab/>
      </w:r>
      <w:r w:rsidR="003D2B50" w:rsidRPr="006575EA">
        <w:t>Proposte di modifica di Legge</w:t>
      </w:r>
      <w:r w:rsidR="003D2B50">
        <w:t xml:space="preserve"> (p.to 4 del Messaggio </w:t>
      </w:r>
      <w:r w:rsidR="00467BDE">
        <w:t xml:space="preserve">n. </w:t>
      </w:r>
      <w:r w:rsidR="003D2B50">
        <w:t>7768)</w:t>
      </w:r>
      <w:bookmarkEnd w:id="58"/>
      <w:bookmarkEnd w:id="59"/>
    </w:p>
    <w:p w:rsidR="003D2B50" w:rsidRPr="006575EA" w:rsidRDefault="003D2B50" w:rsidP="003D2B50">
      <w:pPr>
        <w:rPr>
          <w:lang w:val="it-IT" w:eastAsia="it-IT"/>
        </w:rPr>
      </w:pPr>
      <w:r w:rsidRPr="006575EA">
        <w:rPr>
          <w:lang w:val="it-IT" w:eastAsia="it-IT"/>
        </w:rPr>
        <w:t>Per agevolare la gestione delle richieste e il successivo monitoraggio, il Consiglio di Stato propone</w:t>
      </w:r>
      <w:r>
        <w:rPr>
          <w:lang w:val="it-IT" w:eastAsia="it-IT"/>
        </w:rPr>
        <w:t xml:space="preserve"> di intervenire nei seguenti punti</w:t>
      </w:r>
      <w:r w:rsidRPr="006575EA">
        <w:rPr>
          <w:lang w:val="it-IT" w:eastAsia="it-IT"/>
        </w:rPr>
        <w:t>:</w:t>
      </w:r>
    </w:p>
    <w:p w:rsidR="003D2B50" w:rsidRPr="00C10ADE" w:rsidRDefault="003D2B50" w:rsidP="003D2B50">
      <w:pPr>
        <w:pStyle w:val="Paragrafoelenco"/>
        <w:numPr>
          <w:ilvl w:val="0"/>
          <w:numId w:val="22"/>
        </w:numPr>
        <w:spacing w:before="100"/>
        <w:ind w:left="425" w:hanging="425"/>
        <w:rPr>
          <w:rFonts w:cs="Arial"/>
          <w:bCs/>
          <w:szCs w:val="24"/>
        </w:rPr>
      </w:pPr>
      <w:r>
        <w:rPr>
          <w:rFonts w:cs="Arial"/>
          <w:bCs/>
          <w:szCs w:val="24"/>
        </w:rPr>
        <w:t>v</w:t>
      </w:r>
      <w:r w:rsidRPr="00C10ADE">
        <w:rPr>
          <w:rFonts w:cs="Arial"/>
          <w:bCs/>
          <w:szCs w:val="24"/>
        </w:rPr>
        <w:t>erifica dell’idoneità del richiedente e inserimento della possibilità di norma retroattiva per modifiche dei criteri di ammissibilità</w:t>
      </w:r>
      <w:r>
        <w:rPr>
          <w:rFonts w:cs="Arial"/>
          <w:bCs/>
          <w:szCs w:val="24"/>
        </w:rPr>
        <w:t>;</w:t>
      </w:r>
    </w:p>
    <w:p w:rsidR="003D2B50" w:rsidRPr="00C10ADE" w:rsidRDefault="003D2B50" w:rsidP="003D2B50">
      <w:pPr>
        <w:pStyle w:val="Paragrafoelenco"/>
        <w:numPr>
          <w:ilvl w:val="0"/>
          <w:numId w:val="22"/>
        </w:numPr>
        <w:spacing w:before="100"/>
        <w:ind w:left="425" w:hanging="425"/>
        <w:rPr>
          <w:rFonts w:cs="Arial"/>
          <w:bCs/>
          <w:szCs w:val="24"/>
        </w:rPr>
      </w:pPr>
      <w:r>
        <w:rPr>
          <w:rFonts w:cs="Arial"/>
          <w:bCs/>
          <w:szCs w:val="24"/>
        </w:rPr>
        <w:t>a</w:t>
      </w:r>
      <w:r w:rsidRPr="00C10ADE">
        <w:rPr>
          <w:rFonts w:cs="Arial"/>
          <w:bCs/>
          <w:szCs w:val="24"/>
        </w:rPr>
        <w:t>bolizione della misura sulla fideiussione</w:t>
      </w:r>
      <w:r>
        <w:rPr>
          <w:rFonts w:cs="Arial"/>
          <w:bCs/>
          <w:szCs w:val="24"/>
        </w:rPr>
        <w:t>;</w:t>
      </w:r>
    </w:p>
    <w:p w:rsidR="003D2B50" w:rsidRPr="00C10ADE" w:rsidRDefault="003D2B50" w:rsidP="003D2B50">
      <w:pPr>
        <w:pStyle w:val="Paragrafoelenco"/>
        <w:numPr>
          <w:ilvl w:val="0"/>
          <w:numId w:val="22"/>
        </w:numPr>
        <w:spacing w:before="100"/>
        <w:ind w:left="425" w:hanging="425"/>
        <w:rPr>
          <w:rFonts w:cs="Arial"/>
          <w:bCs/>
          <w:szCs w:val="24"/>
        </w:rPr>
      </w:pPr>
      <w:r>
        <w:rPr>
          <w:rFonts w:cs="Arial"/>
          <w:bCs/>
          <w:szCs w:val="24"/>
        </w:rPr>
        <w:t>i</w:t>
      </w:r>
      <w:r w:rsidRPr="00C10ADE">
        <w:rPr>
          <w:rFonts w:cs="Arial"/>
          <w:bCs/>
          <w:szCs w:val="24"/>
        </w:rPr>
        <w:t>scrizione delle attività di marketing e dei costi di gestione al conto di gestione corrente</w:t>
      </w:r>
      <w:r>
        <w:rPr>
          <w:rFonts w:cs="Arial"/>
          <w:bCs/>
          <w:szCs w:val="24"/>
        </w:rPr>
        <w:t>;</w:t>
      </w:r>
    </w:p>
    <w:p w:rsidR="003D2B50" w:rsidRPr="00C10ADE" w:rsidRDefault="003D2B50" w:rsidP="003D2B50">
      <w:pPr>
        <w:pStyle w:val="Paragrafoelenco"/>
        <w:numPr>
          <w:ilvl w:val="0"/>
          <w:numId w:val="22"/>
        </w:numPr>
        <w:spacing w:before="100"/>
        <w:ind w:left="425" w:hanging="425"/>
        <w:rPr>
          <w:rFonts w:cs="Arial"/>
          <w:bCs/>
          <w:szCs w:val="24"/>
        </w:rPr>
      </w:pPr>
      <w:r>
        <w:rPr>
          <w:rFonts w:cs="Arial"/>
          <w:bCs/>
          <w:szCs w:val="24"/>
        </w:rPr>
        <w:t>n</w:t>
      </w:r>
      <w:r w:rsidRPr="00C10ADE">
        <w:rPr>
          <w:rFonts w:cs="Arial"/>
          <w:bCs/>
          <w:szCs w:val="24"/>
        </w:rPr>
        <w:t>umero minimo di dipendenti</w:t>
      </w:r>
      <w:r>
        <w:rPr>
          <w:rFonts w:cs="Arial"/>
          <w:bCs/>
          <w:szCs w:val="24"/>
        </w:rPr>
        <w:t>;</w:t>
      </w:r>
    </w:p>
    <w:p w:rsidR="003D2B50" w:rsidRPr="00C10ADE" w:rsidRDefault="003D2B50" w:rsidP="003D2B50">
      <w:pPr>
        <w:pStyle w:val="Paragrafoelenco"/>
        <w:numPr>
          <w:ilvl w:val="0"/>
          <w:numId w:val="22"/>
        </w:numPr>
        <w:spacing w:before="100"/>
        <w:ind w:left="425" w:hanging="425"/>
        <w:rPr>
          <w:rFonts w:cs="Arial"/>
          <w:bCs/>
          <w:szCs w:val="24"/>
        </w:rPr>
      </w:pPr>
      <w:r>
        <w:rPr>
          <w:rFonts w:cs="Arial"/>
          <w:bCs/>
          <w:szCs w:val="24"/>
        </w:rPr>
        <w:t>a</w:t>
      </w:r>
      <w:r w:rsidRPr="00C10ADE">
        <w:rPr>
          <w:rFonts w:cs="Arial"/>
          <w:bCs/>
          <w:szCs w:val="24"/>
        </w:rPr>
        <w:t>llineamento dell’obbligo di informazione all’obbligo di rispetto dei criteri.</w:t>
      </w:r>
    </w:p>
    <w:p w:rsidR="003D2B50" w:rsidRPr="00467BDE" w:rsidRDefault="003D2B50" w:rsidP="003D2B50">
      <w:pPr>
        <w:rPr>
          <w:bCs/>
          <w:sz w:val="18"/>
          <w:szCs w:val="18"/>
          <w:highlight w:val="cyan"/>
          <w:lang w:eastAsia="it-IT"/>
        </w:rPr>
      </w:pPr>
    </w:p>
    <w:p w:rsidR="003D2B50" w:rsidRPr="00467BDE" w:rsidRDefault="003D2B50" w:rsidP="003D2B50">
      <w:pPr>
        <w:rPr>
          <w:bCs/>
          <w:sz w:val="18"/>
          <w:szCs w:val="18"/>
          <w:lang w:eastAsia="it-IT"/>
        </w:rPr>
      </w:pPr>
    </w:p>
    <w:p w:rsidR="003D2B50" w:rsidRPr="006A0493" w:rsidRDefault="003D2B50" w:rsidP="003D2B50">
      <w:pPr>
        <w:rPr>
          <w:b/>
          <w:bCs/>
          <w:lang w:eastAsia="it-IT"/>
        </w:rPr>
      </w:pPr>
      <w:r w:rsidRPr="006A0493">
        <w:rPr>
          <w:b/>
          <w:bCs/>
          <w:lang w:eastAsia="it-IT"/>
        </w:rPr>
        <w:t>Criteri di ammissibilità</w:t>
      </w:r>
    </w:p>
    <w:p w:rsidR="003D2B50" w:rsidRPr="007A53C9" w:rsidRDefault="003D2B50" w:rsidP="003D2B50">
      <w:pPr>
        <w:tabs>
          <w:tab w:val="left" w:pos="1418"/>
        </w:tabs>
        <w:rPr>
          <w:rFonts w:cs="Arial"/>
          <w:b/>
          <w:bCs/>
          <w:szCs w:val="24"/>
        </w:rPr>
      </w:pPr>
      <w:r w:rsidRPr="006A0493">
        <w:rPr>
          <w:b/>
          <w:bCs/>
          <w:lang w:eastAsia="it-IT"/>
        </w:rPr>
        <w:t>Art. 6</w:t>
      </w:r>
      <w:r w:rsidRPr="00B73903">
        <w:rPr>
          <w:lang w:eastAsia="it-IT"/>
        </w:rPr>
        <w:t xml:space="preserve"> </w:t>
      </w:r>
      <w:r>
        <w:rPr>
          <w:lang w:eastAsia="it-IT"/>
        </w:rPr>
        <w:tab/>
      </w:r>
      <w:r w:rsidRPr="006A0493">
        <w:rPr>
          <w:rFonts w:cs="Arial"/>
          <w:b/>
          <w:bCs/>
          <w:szCs w:val="24"/>
        </w:rPr>
        <w:t>Proposta di modifica con aggiunta del cpv. 1 bis e cpv. 3 (nuovi)</w:t>
      </w:r>
    </w:p>
    <w:p w:rsidR="003D2B50" w:rsidRPr="00467BDE" w:rsidRDefault="003D2B50" w:rsidP="003D2B50">
      <w:pPr>
        <w:tabs>
          <w:tab w:val="left" w:pos="1418"/>
        </w:tabs>
        <w:rPr>
          <w:b/>
          <w:bCs/>
          <w:sz w:val="12"/>
          <w:szCs w:val="12"/>
          <w:lang w:val="it-IT" w:eastAsia="it-IT"/>
        </w:rPr>
      </w:pPr>
    </w:p>
    <w:p w:rsidR="003D2B50" w:rsidRPr="004300AD" w:rsidRDefault="003D2B50" w:rsidP="003D2B50">
      <w:pPr>
        <w:tabs>
          <w:tab w:val="left" w:pos="1418"/>
        </w:tabs>
        <w:ind w:left="1418" w:hanging="1418"/>
        <w:rPr>
          <w:lang w:val="it-IT" w:eastAsia="it-IT"/>
        </w:rPr>
      </w:pPr>
      <w:r>
        <w:rPr>
          <w:lang w:val="it-IT" w:eastAsia="it-IT"/>
        </w:rPr>
        <w:t>cpv. 1 bis</w:t>
      </w:r>
      <w:r>
        <w:rPr>
          <w:lang w:val="it-IT" w:eastAsia="it-IT"/>
        </w:rPr>
        <w:tab/>
      </w:r>
      <w:r w:rsidRPr="004300AD">
        <w:rPr>
          <w:lang w:val="it-IT" w:eastAsia="it-IT"/>
        </w:rPr>
        <w:t>la Commissione concorda di introdurre nella base legale</w:t>
      </w:r>
      <w:r>
        <w:rPr>
          <w:lang w:val="it-IT" w:eastAsia="it-IT"/>
        </w:rPr>
        <w:t xml:space="preserve"> </w:t>
      </w:r>
      <w:r w:rsidRPr="006A0493">
        <w:rPr>
          <w:lang w:val="it-IT" w:eastAsia="it-IT"/>
        </w:rPr>
        <w:t>(</w:t>
      </w:r>
      <w:r>
        <w:rPr>
          <w:lang w:val="it-IT" w:eastAsia="it-IT"/>
        </w:rPr>
        <w:t>a</w:t>
      </w:r>
      <w:r w:rsidRPr="006A0493">
        <w:rPr>
          <w:lang w:val="it-IT" w:eastAsia="it-IT"/>
        </w:rPr>
        <w:t>rt. 6 cpv. 1 bis)</w:t>
      </w:r>
      <w:r w:rsidRPr="004300AD">
        <w:rPr>
          <w:lang w:val="it-IT" w:eastAsia="it-IT"/>
        </w:rPr>
        <w:t xml:space="preserve"> la facoltà </w:t>
      </w:r>
      <w:r w:rsidRPr="004300AD">
        <w:rPr>
          <w:rFonts w:cs="Arial"/>
          <w:bCs/>
          <w:szCs w:val="24"/>
        </w:rPr>
        <w:t>all’autorità cantonale</w:t>
      </w:r>
      <w:r w:rsidRPr="004300AD">
        <w:rPr>
          <w:lang w:val="it-IT" w:eastAsia="it-IT"/>
        </w:rPr>
        <w:t xml:space="preserve"> per poter sospendere o negare il sussidio a un richiedente interessato da procedimenti giudiziari o che ha fornito informazioni inesatte, false o incomplete. Si tratta di un principio logico, che permette allo Stato di tutelarsi di fronte a fattispecie poco chiare, tra </w:t>
      </w:r>
      <w:r>
        <w:rPr>
          <w:lang w:val="it-IT" w:eastAsia="it-IT"/>
        </w:rPr>
        <w:t>le</w:t>
      </w:r>
      <w:r w:rsidRPr="004300AD">
        <w:rPr>
          <w:lang w:val="it-IT" w:eastAsia="it-IT"/>
        </w:rPr>
        <w:t xml:space="preserve"> quali si potrebbero citare, ad esempio, il coinvolgimento in fallimenti fraudolenti o procedure gravi a carico dei richiedenti.</w:t>
      </w:r>
    </w:p>
    <w:p w:rsidR="003D2B50" w:rsidRPr="009E7713" w:rsidRDefault="003D2B50" w:rsidP="003D2B50">
      <w:pPr>
        <w:rPr>
          <w:sz w:val="12"/>
          <w:szCs w:val="12"/>
          <w:lang w:val="it-IT" w:eastAsia="it-IT"/>
        </w:rPr>
      </w:pPr>
    </w:p>
    <w:p w:rsidR="009E7713" w:rsidRDefault="003D2B50" w:rsidP="009E7713">
      <w:pPr>
        <w:tabs>
          <w:tab w:val="left" w:pos="1418"/>
        </w:tabs>
        <w:ind w:left="1418" w:hanging="1418"/>
        <w:rPr>
          <w:lang w:val="it-IT" w:eastAsia="it-IT"/>
        </w:rPr>
      </w:pPr>
      <w:r>
        <w:rPr>
          <w:lang w:val="it-IT" w:eastAsia="it-IT"/>
        </w:rPr>
        <w:t>c</w:t>
      </w:r>
      <w:r w:rsidRPr="006A0493">
        <w:rPr>
          <w:lang w:val="it-IT" w:eastAsia="it-IT"/>
        </w:rPr>
        <w:t>pv. 3</w:t>
      </w:r>
      <w:r>
        <w:rPr>
          <w:lang w:val="it-IT" w:eastAsia="it-IT"/>
        </w:rPr>
        <w:tab/>
        <w:t>l</w:t>
      </w:r>
      <w:r w:rsidR="00467BDE">
        <w:rPr>
          <w:lang w:val="it-IT" w:eastAsia="it-IT"/>
        </w:rPr>
        <w:t>a C</w:t>
      </w:r>
      <w:r w:rsidRPr="006A0493">
        <w:rPr>
          <w:lang w:val="it-IT" w:eastAsia="it-IT"/>
        </w:rPr>
        <w:t xml:space="preserve">ommissione approva anche il principio (art. 6 cpv. 3) secondo il quale, a fronte di una modifica dei criteri di ammissibilità in favore delle aziende, gli stessi andranno adottati anche per la verifica dei casi decisi in precedenza, il cui periodo di monitoraggio non è ancora concluso. Questo disposto dovrà trovare applicazione soltanto nel caso in cui i criteri di ammissibilità per l’applicazione delle misure dovessero essere ammorbiditi e resi più favorevoli alle aziende. In questo modo, viene costituita una base legale per l’applicazione retroattiva delle condizioni di adempimento dei criteri a seguito della decisione e viene garantita la parità di trattamento tra le aziende beneficiarie sotto il vecchio e il nuovo regime. </w:t>
      </w:r>
      <w:r w:rsidR="009E7713">
        <w:rPr>
          <w:lang w:val="it-IT" w:eastAsia="it-IT"/>
        </w:rPr>
        <w:br w:type="page"/>
      </w:r>
    </w:p>
    <w:p w:rsidR="003D2B50" w:rsidRPr="009E7713" w:rsidRDefault="003D2B50" w:rsidP="003D2B50">
      <w:pPr>
        <w:rPr>
          <w:b/>
          <w:bCs/>
          <w:sz w:val="23"/>
          <w:szCs w:val="23"/>
          <w:lang w:eastAsia="it-IT"/>
        </w:rPr>
      </w:pPr>
      <w:r w:rsidRPr="009E7713">
        <w:rPr>
          <w:b/>
          <w:bCs/>
          <w:sz w:val="23"/>
          <w:szCs w:val="23"/>
          <w:lang w:eastAsia="it-IT"/>
        </w:rPr>
        <w:lastRenderedPageBreak/>
        <w:t>Accesso al credito</w:t>
      </w:r>
    </w:p>
    <w:p w:rsidR="003D2B50" w:rsidRPr="009E7713" w:rsidRDefault="003D2B50" w:rsidP="003D2B50">
      <w:pPr>
        <w:tabs>
          <w:tab w:val="left" w:pos="1418"/>
        </w:tabs>
        <w:ind w:left="1418" w:hanging="1418"/>
        <w:rPr>
          <w:b/>
          <w:bCs/>
          <w:sz w:val="23"/>
          <w:szCs w:val="23"/>
          <w:lang w:eastAsia="it-IT"/>
        </w:rPr>
      </w:pPr>
      <w:r w:rsidRPr="009E7713">
        <w:rPr>
          <w:b/>
          <w:bCs/>
          <w:sz w:val="23"/>
          <w:szCs w:val="23"/>
          <w:lang w:eastAsia="it-IT"/>
        </w:rPr>
        <w:t>Art. 10</w:t>
      </w:r>
      <w:r w:rsidRPr="009E7713">
        <w:rPr>
          <w:b/>
          <w:bCs/>
          <w:sz w:val="23"/>
          <w:szCs w:val="23"/>
          <w:lang w:eastAsia="it-IT"/>
        </w:rPr>
        <w:tab/>
        <w:t>Proposta di modifica dell’articolo, abrogazione della misura sulla fideiussione</w:t>
      </w:r>
    </w:p>
    <w:p w:rsidR="003D2B50" w:rsidRPr="00467BDE" w:rsidRDefault="003D2B50" w:rsidP="003D2B50">
      <w:pPr>
        <w:rPr>
          <w:rFonts w:cs="Arial"/>
          <w:bCs/>
          <w:sz w:val="12"/>
          <w:szCs w:val="12"/>
        </w:rPr>
      </w:pPr>
    </w:p>
    <w:p w:rsidR="003D2B50" w:rsidRDefault="003D2B50" w:rsidP="003D2B50">
      <w:pPr>
        <w:rPr>
          <w:rFonts w:cs="Arial"/>
          <w:bCs/>
          <w:szCs w:val="24"/>
        </w:rPr>
      </w:pPr>
      <w:r>
        <w:rPr>
          <w:rFonts w:cs="Arial"/>
          <w:bCs/>
          <w:szCs w:val="24"/>
        </w:rPr>
        <w:t>A</w:t>
      </w:r>
      <w:r w:rsidRPr="004300AD">
        <w:rPr>
          <w:rFonts w:cs="Arial"/>
          <w:bCs/>
          <w:szCs w:val="24"/>
        </w:rPr>
        <w:t xml:space="preserve"> seguito alla revisione della legge sugli aiuti finanziari alle organizzazioni che concedono fideiussioni alle PMI, approvata dalle Camere federali nel dicembre 2018 ed entrata in vigore il 1</w:t>
      </w:r>
      <w:r>
        <w:rPr>
          <w:rFonts w:cs="Arial"/>
          <w:bCs/>
          <w:szCs w:val="24"/>
        </w:rPr>
        <w:t xml:space="preserve"> </w:t>
      </w:r>
      <w:r w:rsidRPr="004300AD">
        <w:rPr>
          <w:rFonts w:cs="Arial"/>
          <w:bCs/>
          <w:szCs w:val="24"/>
        </w:rPr>
        <w:t>luglio</w:t>
      </w:r>
      <w:r>
        <w:rPr>
          <w:rFonts w:cs="Arial"/>
          <w:bCs/>
          <w:szCs w:val="24"/>
        </w:rPr>
        <w:t xml:space="preserve"> </w:t>
      </w:r>
      <w:r w:rsidRPr="004300AD">
        <w:rPr>
          <w:rFonts w:cs="Arial"/>
          <w:bCs/>
          <w:szCs w:val="24"/>
        </w:rPr>
        <w:t>2019, le cooperative di fideiussione che esercitano nel quadro della legge federale potranno rilasciare questo tipo di garanzie per importi fino a un milione di franchi. Questa novità rende de facto superato l’attuale art. 10 della Legge per l’innovazione, rendendone necessaria l’abrogazione.</w:t>
      </w:r>
    </w:p>
    <w:p w:rsidR="003D2B50" w:rsidRDefault="003D2B50" w:rsidP="003D2B50">
      <w:pPr>
        <w:rPr>
          <w:rFonts w:cs="Arial"/>
          <w:bCs/>
          <w:szCs w:val="24"/>
        </w:rPr>
      </w:pPr>
    </w:p>
    <w:p w:rsidR="003D2B50" w:rsidRDefault="00467BDE" w:rsidP="003D2B50">
      <w:pPr>
        <w:rPr>
          <w:rFonts w:cs="Arial"/>
          <w:bCs/>
          <w:szCs w:val="24"/>
        </w:rPr>
      </w:pPr>
      <w:bookmarkStart w:id="60" w:name="_Hlk33624470"/>
      <w:r>
        <w:rPr>
          <w:rFonts w:cs="Arial"/>
          <w:bCs/>
          <w:szCs w:val="24"/>
        </w:rPr>
        <w:t>Visto quanto precede la C</w:t>
      </w:r>
      <w:r w:rsidR="003D2B50" w:rsidRPr="005F108E">
        <w:rPr>
          <w:rFonts w:cs="Arial"/>
          <w:bCs/>
          <w:szCs w:val="24"/>
        </w:rPr>
        <w:t xml:space="preserve">ommissione aderisce alla proposta di </w:t>
      </w:r>
      <w:bookmarkEnd w:id="60"/>
      <w:r w:rsidR="003D2B50" w:rsidRPr="005F108E">
        <w:rPr>
          <w:rFonts w:cs="Arial"/>
          <w:bCs/>
          <w:szCs w:val="24"/>
        </w:rPr>
        <w:t>modifica di Legge.</w:t>
      </w:r>
    </w:p>
    <w:p w:rsidR="003D2B50" w:rsidRPr="00467BDE" w:rsidRDefault="003D2B50" w:rsidP="003D2B50">
      <w:pPr>
        <w:rPr>
          <w:rFonts w:cs="Arial"/>
          <w:bCs/>
          <w:sz w:val="18"/>
          <w:szCs w:val="18"/>
        </w:rPr>
      </w:pPr>
    </w:p>
    <w:p w:rsidR="003D2B50" w:rsidRPr="00467BDE" w:rsidRDefault="003D2B50" w:rsidP="003D2B50">
      <w:pPr>
        <w:rPr>
          <w:rFonts w:cs="Arial"/>
          <w:bCs/>
          <w:sz w:val="18"/>
          <w:szCs w:val="18"/>
        </w:rPr>
      </w:pPr>
    </w:p>
    <w:p w:rsidR="003D2B50" w:rsidRPr="009E7713" w:rsidRDefault="003D2B50" w:rsidP="003D2B50">
      <w:pPr>
        <w:rPr>
          <w:b/>
          <w:bCs/>
          <w:sz w:val="23"/>
          <w:szCs w:val="23"/>
          <w:lang w:eastAsia="it-IT"/>
        </w:rPr>
      </w:pPr>
      <w:r w:rsidRPr="009E7713">
        <w:rPr>
          <w:b/>
          <w:bCs/>
          <w:sz w:val="23"/>
          <w:szCs w:val="23"/>
          <w:lang w:eastAsia="it-IT"/>
        </w:rPr>
        <w:t>Finanziamento</w:t>
      </w:r>
    </w:p>
    <w:p w:rsidR="003D2B50" w:rsidRPr="009E7713" w:rsidRDefault="003D2B50" w:rsidP="003D2B50">
      <w:pPr>
        <w:tabs>
          <w:tab w:val="left" w:pos="1418"/>
        </w:tabs>
        <w:ind w:left="1418" w:hanging="1418"/>
        <w:rPr>
          <w:rFonts w:cs="Arial"/>
          <w:b/>
          <w:bCs/>
          <w:sz w:val="23"/>
          <w:szCs w:val="23"/>
        </w:rPr>
      </w:pPr>
      <w:r w:rsidRPr="009E7713">
        <w:rPr>
          <w:b/>
          <w:bCs/>
          <w:sz w:val="23"/>
          <w:szCs w:val="23"/>
          <w:lang w:eastAsia="it-IT"/>
        </w:rPr>
        <w:t>Art. 15</w:t>
      </w:r>
      <w:r w:rsidRPr="009E7713">
        <w:rPr>
          <w:b/>
          <w:bCs/>
          <w:sz w:val="23"/>
          <w:szCs w:val="23"/>
          <w:lang w:eastAsia="it-IT"/>
        </w:rPr>
        <w:tab/>
        <w:t>Proposta di modifica del cpv. 1 con l’i</w:t>
      </w:r>
      <w:r w:rsidRPr="009E7713">
        <w:rPr>
          <w:rFonts w:cs="Arial"/>
          <w:b/>
          <w:bCs/>
          <w:sz w:val="23"/>
          <w:szCs w:val="23"/>
        </w:rPr>
        <w:t>scrizione delle attività di marketing e dei costi di gestione al conto di gestione corrente.</w:t>
      </w:r>
    </w:p>
    <w:p w:rsidR="003D2B50" w:rsidRPr="00467BDE" w:rsidRDefault="003D2B50" w:rsidP="003D2B50">
      <w:pPr>
        <w:rPr>
          <w:rFonts w:cs="Arial"/>
          <w:bCs/>
          <w:sz w:val="12"/>
          <w:szCs w:val="12"/>
        </w:rPr>
      </w:pPr>
    </w:p>
    <w:p w:rsidR="003D2B50" w:rsidRDefault="003D2B50" w:rsidP="003D2B50">
      <w:pPr>
        <w:rPr>
          <w:rFonts w:cs="Arial"/>
          <w:bCs/>
          <w:szCs w:val="24"/>
        </w:rPr>
      </w:pPr>
      <w:r w:rsidRPr="004300AD">
        <w:rPr>
          <w:rFonts w:cs="Arial"/>
          <w:bCs/>
          <w:szCs w:val="24"/>
        </w:rPr>
        <w:t xml:space="preserve">Considerato che il principio della modifica dell’art. 15 cpv. 1 </w:t>
      </w:r>
      <w:proofErr w:type="spellStart"/>
      <w:r w:rsidRPr="004300AD">
        <w:rPr>
          <w:rFonts w:cs="Arial"/>
          <w:bCs/>
          <w:szCs w:val="24"/>
        </w:rPr>
        <w:t>LInn</w:t>
      </w:r>
      <w:proofErr w:type="spellEnd"/>
      <w:r w:rsidRPr="004300AD">
        <w:rPr>
          <w:rFonts w:cs="Arial"/>
          <w:bCs/>
          <w:szCs w:val="24"/>
        </w:rPr>
        <w:t>, prevede che le misure di marketing territoriale (art. 14) e di gestione (art. 18) non vadano ad</w:t>
      </w:r>
      <w:r>
        <w:rPr>
          <w:rFonts w:cs="Arial"/>
          <w:bCs/>
          <w:szCs w:val="24"/>
        </w:rPr>
        <w:t xml:space="preserve"> incidere sul credito quadro, </w:t>
      </w:r>
      <w:r w:rsidRPr="004300AD">
        <w:rPr>
          <w:rFonts w:cs="Arial"/>
          <w:bCs/>
          <w:szCs w:val="24"/>
        </w:rPr>
        <w:t>già stato approvato dal Gran consiglio con la discussione del messaggio n. 7557 e l’adozione del relativo rapporto</w:t>
      </w:r>
      <w:r>
        <w:rPr>
          <w:rFonts w:cs="Arial"/>
          <w:bCs/>
          <w:szCs w:val="24"/>
        </w:rPr>
        <w:t>, l</w:t>
      </w:r>
      <w:r w:rsidRPr="00953F71">
        <w:rPr>
          <w:rFonts w:cs="Arial"/>
          <w:bCs/>
          <w:szCs w:val="24"/>
        </w:rPr>
        <w:t>a commissione invita ad approvare</w:t>
      </w:r>
      <w:r w:rsidRPr="004300AD">
        <w:rPr>
          <w:rFonts w:cs="Arial"/>
          <w:bCs/>
          <w:szCs w:val="24"/>
        </w:rPr>
        <w:t xml:space="preserve"> la modifica di legge che circoscrive alle misure dirette (art. 7, 8, 9 e 11)</w:t>
      </w:r>
      <w:r>
        <w:rPr>
          <w:rFonts w:cs="Arial"/>
          <w:bCs/>
          <w:szCs w:val="24"/>
        </w:rPr>
        <w:t xml:space="preserve">, ai crediti specifici (art. 12) e </w:t>
      </w:r>
      <w:r w:rsidRPr="004300AD">
        <w:rPr>
          <w:rFonts w:cs="Arial"/>
          <w:bCs/>
          <w:szCs w:val="24"/>
        </w:rPr>
        <w:t>ai premi (art. 13)</w:t>
      </w:r>
      <w:r>
        <w:rPr>
          <w:rFonts w:cs="Arial"/>
          <w:bCs/>
          <w:szCs w:val="24"/>
        </w:rPr>
        <w:t xml:space="preserve">, </w:t>
      </w:r>
      <w:r w:rsidRPr="004300AD">
        <w:rPr>
          <w:rFonts w:cs="Arial"/>
          <w:bCs/>
          <w:szCs w:val="24"/>
        </w:rPr>
        <w:t xml:space="preserve">il finanziamento mediante credito quadro. Questa modifica concerne anche le spese per l’organizzazione di eventi e iniziative particolari volte a sensibilizzare e informare le aziende in merito alle tematiche legate all’innovazione </w:t>
      </w:r>
      <w:r w:rsidRPr="00953F71">
        <w:rPr>
          <w:rFonts w:cs="Arial"/>
          <w:bCs/>
          <w:szCs w:val="24"/>
        </w:rPr>
        <w:t>tra le quali, nel quadriennio passato, si annoverano ad esempio la campagna informativa “</w:t>
      </w:r>
      <w:proofErr w:type="spellStart"/>
      <w:proofErr w:type="gramStart"/>
      <w:r w:rsidRPr="00953F71">
        <w:rPr>
          <w:rFonts w:cs="Arial"/>
          <w:bCs/>
          <w:szCs w:val="24"/>
        </w:rPr>
        <w:t>Innova.Crea.Cresci</w:t>
      </w:r>
      <w:proofErr w:type="spellEnd"/>
      <w:proofErr w:type="gramEnd"/>
      <w:r w:rsidRPr="00953F71">
        <w:rPr>
          <w:rFonts w:cs="Arial"/>
          <w:bCs/>
          <w:szCs w:val="24"/>
        </w:rPr>
        <w:t>”, l’evento “</w:t>
      </w:r>
      <w:proofErr w:type="spellStart"/>
      <w:r w:rsidRPr="00953F71">
        <w:rPr>
          <w:rFonts w:cs="Arial"/>
          <w:bCs/>
          <w:szCs w:val="24"/>
        </w:rPr>
        <w:t>Silicon</w:t>
      </w:r>
      <w:proofErr w:type="spellEnd"/>
      <w:r w:rsidRPr="00953F71">
        <w:rPr>
          <w:rFonts w:cs="Arial"/>
          <w:bCs/>
          <w:szCs w:val="24"/>
        </w:rPr>
        <w:t xml:space="preserve"> Valley </w:t>
      </w:r>
      <w:proofErr w:type="spellStart"/>
      <w:r w:rsidRPr="00953F71">
        <w:rPr>
          <w:rFonts w:cs="Arial"/>
          <w:bCs/>
          <w:szCs w:val="24"/>
        </w:rPr>
        <w:t>meets</w:t>
      </w:r>
      <w:proofErr w:type="spellEnd"/>
      <w:r w:rsidRPr="00953F71">
        <w:rPr>
          <w:rFonts w:cs="Arial"/>
          <w:bCs/>
          <w:szCs w:val="24"/>
        </w:rPr>
        <w:t xml:space="preserve"> </w:t>
      </w:r>
      <w:proofErr w:type="spellStart"/>
      <w:r w:rsidRPr="00953F71">
        <w:rPr>
          <w:rFonts w:cs="Arial"/>
          <w:bCs/>
          <w:szCs w:val="24"/>
        </w:rPr>
        <w:t>Switzerland</w:t>
      </w:r>
      <w:proofErr w:type="spellEnd"/>
      <w:r w:rsidRPr="00953F71">
        <w:rPr>
          <w:rFonts w:cs="Arial"/>
          <w:bCs/>
          <w:szCs w:val="24"/>
        </w:rPr>
        <w:t>” o ancora il “</w:t>
      </w:r>
      <w:proofErr w:type="spellStart"/>
      <w:r w:rsidRPr="00953F71">
        <w:rPr>
          <w:rFonts w:cs="Arial"/>
          <w:bCs/>
          <w:szCs w:val="24"/>
        </w:rPr>
        <w:t>Mediatech</w:t>
      </w:r>
      <w:proofErr w:type="spellEnd"/>
      <w:r w:rsidRPr="00953F71">
        <w:rPr>
          <w:rFonts w:cs="Arial"/>
          <w:bCs/>
          <w:szCs w:val="24"/>
        </w:rPr>
        <w:t xml:space="preserve"> </w:t>
      </w:r>
      <w:proofErr w:type="spellStart"/>
      <w:r w:rsidRPr="00953F71">
        <w:rPr>
          <w:rFonts w:cs="Arial"/>
          <w:bCs/>
          <w:szCs w:val="24"/>
        </w:rPr>
        <w:t>Day</w:t>
      </w:r>
      <w:proofErr w:type="spellEnd"/>
      <w:r w:rsidRPr="00953F71">
        <w:rPr>
          <w:rFonts w:cs="Arial"/>
          <w:bCs/>
          <w:szCs w:val="24"/>
        </w:rPr>
        <w:t>”.</w:t>
      </w:r>
    </w:p>
    <w:p w:rsidR="003D2B50" w:rsidRDefault="003D2B50" w:rsidP="003D2B50">
      <w:pPr>
        <w:rPr>
          <w:rFonts w:cs="Arial"/>
          <w:bCs/>
          <w:szCs w:val="24"/>
        </w:rPr>
      </w:pPr>
      <w:r w:rsidRPr="004300AD">
        <w:rPr>
          <w:rFonts w:cs="Arial"/>
          <w:bCs/>
          <w:szCs w:val="24"/>
        </w:rPr>
        <w:t xml:space="preserve">Per garantire anche nel quadriennio 2020-2023 la possibilità di organizzare o co-organizzare eventi rilevanti di promozione dell’innovazione è previsto, visto il passaggio da credito quadro a gestione corrente, un adeguamento del Preventivo 2020 di CHF 100'000, suddivisi equamente tra eventi organizzati in proprio ed eventi co-organizzati con altri partner. </w:t>
      </w:r>
    </w:p>
    <w:p w:rsidR="003D2B50" w:rsidRPr="00467BDE" w:rsidRDefault="003D2B50" w:rsidP="003D2B50">
      <w:pPr>
        <w:rPr>
          <w:rFonts w:cs="Arial"/>
          <w:bCs/>
          <w:sz w:val="18"/>
          <w:szCs w:val="18"/>
        </w:rPr>
      </w:pPr>
    </w:p>
    <w:p w:rsidR="003D2B50" w:rsidRPr="00467BDE" w:rsidRDefault="003D2B50" w:rsidP="003D2B50">
      <w:pPr>
        <w:rPr>
          <w:rFonts w:cs="Arial"/>
          <w:bCs/>
          <w:sz w:val="18"/>
          <w:szCs w:val="18"/>
        </w:rPr>
      </w:pPr>
    </w:p>
    <w:p w:rsidR="003D2B50" w:rsidRPr="009E7713" w:rsidRDefault="003D2B50" w:rsidP="003D2B50">
      <w:pPr>
        <w:rPr>
          <w:b/>
          <w:bCs/>
          <w:sz w:val="23"/>
          <w:szCs w:val="23"/>
          <w:lang w:eastAsia="it-IT"/>
        </w:rPr>
      </w:pPr>
      <w:r w:rsidRPr="009E7713">
        <w:rPr>
          <w:b/>
          <w:bCs/>
          <w:sz w:val="23"/>
          <w:szCs w:val="23"/>
          <w:lang w:eastAsia="it-IT"/>
        </w:rPr>
        <w:t>Procedura e condizioni per le richieste di aiuto</w:t>
      </w:r>
    </w:p>
    <w:p w:rsidR="003D2B50" w:rsidRPr="009E7713" w:rsidRDefault="003D2B50" w:rsidP="003D2B50">
      <w:pPr>
        <w:tabs>
          <w:tab w:val="left" w:pos="1418"/>
        </w:tabs>
        <w:ind w:left="1418" w:hanging="1418"/>
        <w:rPr>
          <w:b/>
          <w:bCs/>
          <w:sz w:val="23"/>
          <w:szCs w:val="23"/>
          <w:lang w:eastAsia="it-IT"/>
        </w:rPr>
      </w:pPr>
      <w:r w:rsidRPr="009E7713">
        <w:rPr>
          <w:b/>
          <w:bCs/>
          <w:sz w:val="23"/>
          <w:szCs w:val="23"/>
          <w:lang w:eastAsia="it-IT"/>
        </w:rPr>
        <w:t>Art. 17</w:t>
      </w:r>
      <w:r w:rsidRPr="009E7713">
        <w:rPr>
          <w:b/>
          <w:bCs/>
          <w:sz w:val="23"/>
          <w:szCs w:val="23"/>
          <w:lang w:eastAsia="it-IT"/>
        </w:rPr>
        <w:tab/>
        <w:t>Proposta di modifica del cpv. 2 con l’aggiunta del numero minimo di dipendenti</w:t>
      </w:r>
    </w:p>
    <w:p w:rsidR="003D2B50" w:rsidRPr="00467BDE" w:rsidRDefault="003D2B50" w:rsidP="003D2B50">
      <w:pPr>
        <w:rPr>
          <w:rFonts w:cs="Arial"/>
          <w:bCs/>
          <w:sz w:val="12"/>
          <w:szCs w:val="12"/>
        </w:rPr>
      </w:pPr>
    </w:p>
    <w:p w:rsidR="003D2B50" w:rsidRPr="00C438ED" w:rsidRDefault="003D2B50" w:rsidP="003D2B50">
      <w:pPr>
        <w:rPr>
          <w:rFonts w:cs="Arial"/>
          <w:bCs/>
          <w:szCs w:val="24"/>
        </w:rPr>
      </w:pPr>
      <w:r w:rsidRPr="00C438ED">
        <w:rPr>
          <w:rFonts w:cs="Arial"/>
          <w:bCs/>
          <w:szCs w:val="24"/>
        </w:rPr>
        <w:t>Citiamo testualmente dal Messaggio del Consiglio di Stato:</w:t>
      </w:r>
    </w:p>
    <w:p w:rsidR="003D2B50" w:rsidRPr="00467BDE" w:rsidRDefault="003D2B50" w:rsidP="003D2B50">
      <w:pPr>
        <w:rPr>
          <w:rFonts w:cs="Arial"/>
          <w:bCs/>
          <w:sz w:val="12"/>
          <w:szCs w:val="12"/>
        </w:rPr>
      </w:pPr>
    </w:p>
    <w:p w:rsidR="003D2B50" w:rsidRPr="00C438ED" w:rsidRDefault="003D2B50" w:rsidP="003D2B50">
      <w:pPr>
        <w:rPr>
          <w:rFonts w:cs="Arial"/>
          <w:bCs/>
          <w:i/>
          <w:iCs/>
          <w:szCs w:val="24"/>
        </w:rPr>
      </w:pPr>
      <w:r w:rsidRPr="00C438ED">
        <w:rPr>
          <w:rFonts w:cs="Arial"/>
          <w:bCs/>
          <w:i/>
          <w:iCs/>
          <w:szCs w:val="24"/>
        </w:rPr>
        <w:t xml:space="preserve">Tenuto conto dello scopo della legge, che è di stimolare e sostenere l’innovazione di “aziende private orientate all’esportazione, con grande potenzialità di crescita e che generano rilevanti ricadute economiche” (art. 1 </w:t>
      </w:r>
      <w:proofErr w:type="spellStart"/>
      <w:r w:rsidRPr="00C438ED">
        <w:rPr>
          <w:rFonts w:cs="Arial"/>
          <w:bCs/>
          <w:i/>
          <w:iCs/>
          <w:szCs w:val="24"/>
        </w:rPr>
        <w:t>LInn</w:t>
      </w:r>
      <w:proofErr w:type="spellEnd"/>
      <w:r w:rsidRPr="00C438ED">
        <w:rPr>
          <w:rFonts w:cs="Arial"/>
          <w:bCs/>
          <w:i/>
          <w:iCs/>
          <w:szCs w:val="24"/>
        </w:rPr>
        <w:t>), si ritiene necessario poter stabilire, per ogni misura e tipologia di azienda (azienda esistente, start-up), un limite minimo di dipendenti per poter accedere agli strumenti di promozione, tenuto conto inoltre che, per le aziende con meno di un dipendente equivalente tempo pieno, non è possibile applicare una verifica del rispetto dei criteri di ammissibilità fissati nei decreti esecutivi</w:t>
      </w:r>
      <w:r>
        <w:rPr>
          <w:rFonts w:cs="Arial"/>
          <w:bCs/>
          <w:i/>
          <w:iCs/>
          <w:szCs w:val="24"/>
        </w:rPr>
        <w:t>.</w:t>
      </w:r>
    </w:p>
    <w:p w:rsidR="003D2B50" w:rsidRPr="00C438ED" w:rsidRDefault="003D2B50" w:rsidP="003D2B50">
      <w:pPr>
        <w:rPr>
          <w:rFonts w:cs="Arial"/>
          <w:bCs/>
          <w:szCs w:val="24"/>
        </w:rPr>
      </w:pPr>
    </w:p>
    <w:p w:rsidR="003D2B50" w:rsidRPr="00C438ED" w:rsidRDefault="003D2B50" w:rsidP="003D2B50">
      <w:pPr>
        <w:rPr>
          <w:rFonts w:cs="Arial"/>
          <w:bCs/>
          <w:szCs w:val="24"/>
        </w:rPr>
      </w:pPr>
      <w:r w:rsidRPr="00C438ED">
        <w:rPr>
          <w:rFonts w:cs="Arial"/>
          <w:bCs/>
          <w:szCs w:val="24"/>
        </w:rPr>
        <w:t xml:space="preserve">Va innanzitutto sottolineato che, in caso di approvazione della proposta di modifica di Legge, sarà competenza del Consiglio di Stato fissare i rispettivi limiti minimi di dipendenti </w:t>
      </w:r>
    </w:p>
    <w:p w:rsidR="003D2B50" w:rsidRPr="00C438ED" w:rsidRDefault="003D2B50" w:rsidP="003D2B50">
      <w:pPr>
        <w:rPr>
          <w:rFonts w:cs="Arial"/>
          <w:bCs/>
          <w:szCs w:val="24"/>
        </w:rPr>
      </w:pPr>
      <w:r w:rsidRPr="00C438ED">
        <w:rPr>
          <w:rFonts w:cs="Arial"/>
          <w:bCs/>
          <w:szCs w:val="24"/>
        </w:rPr>
        <w:t xml:space="preserve">per ogni misura e tipologia di azienda. </w:t>
      </w:r>
    </w:p>
    <w:p w:rsidR="003D2B50" w:rsidRDefault="003D2B50" w:rsidP="003D2B50">
      <w:pPr>
        <w:rPr>
          <w:rFonts w:cs="Arial"/>
          <w:bCs/>
          <w:szCs w:val="24"/>
        </w:rPr>
      </w:pPr>
    </w:p>
    <w:p w:rsidR="003D2B50" w:rsidRPr="00C438ED" w:rsidRDefault="00467BDE" w:rsidP="003D2B50">
      <w:pPr>
        <w:rPr>
          <w:rFonts w:cs="Arial"/>
          <w:bCs/>
          <w:szCs w:val="24"/>
        </w:rPr>
      </w:pPr>
      <w:r>
        <w:rPr>
          <w:rFonts w:cs="Arial"/>
          <w:bCs/>
          <w:szCs w:val="24"/>
        </w:rPr>
        <w:t>La C</w:t>
      </w:r>
      <w:r w:rsidR="003D2B50" w:rsidRPr="00C438ED">
        <w:rPr>
          <w:rFonts w:cs="Arial"/>
          <w:bCs/>
          <w:szCs w:val="24"/>
        </w:rPr>
        <w:t>ommissione ha chiesto ulteriori informazioni al riguardo e il Consiglio di Stato ha fornito dei dati di dettaglio che attestavano la bontà della seguente conclusione, citiamo testualmente:</w:t>
      </w:r>
    </w:p>
    <w:p w:rsidR="003D2B50" w:rsidRPr="00467BDE" w:rsidRDefault="003D2B50" w:rsidP="003D2B50">
      <w:pPr>
        <w:rPr>
          <w:rFonts w:cs="Arial"/>
          <w:bCs/>
          <w:sz w:val="12"/>
          <w:szCs w:val="12"/>
        </w:rPr>
      </w:pPr>
    </w:p>
    <w:p w:rsidR="003D2B50" w:rsidRPr="00C438ED" w:rsidRDefault="003D2B50" w:rsidP="003D2B50">
      <w:pPr>
        <w:rPr>
          <w:rFonts w:cs="Arial"/>
          <w:bCs/>
          <w:i/>
          <w:iCs/>
          <w:szCs w:val="24"/>
        </w:rPr>
      </w:pPr>
      <w:r w:rsidRPr="00C438ED">
        <w:rPr>
          <w:rFonts w:cs="Arial"/>
          <w:bCs/>
          <w:i/>
          <w:iCs/>
          <w:szCs w:val="24"/>
        </w:rPr>
        <w:t xml:space="preserve">Alla luce di queste considerazioni, riteniamo che </w:t>
      </w:r>
      <w:proofErr w:type="gramStart"/>
      <w:r w:rsidRPr="00C438ED">
        <w:rPr>
          <w:rFonts w:cs="Arial"/>
          <w:bCs/>
          <w:i/>
          <w:iCs/>
          <w:szCs w:val="24"/>
        </w:rPr>
        <w:t>le start-up</w:t>
      </w:r>
      <w:proofErr w:type="gramEnd"/>
      <w:r w:rsidRPr="00C438ED">
        <w:rPr>
          <w:rFonts w:cs="Arial"/>
          <w:bCs/>
          <w:i/>
          <w:iCs/>
          <w:szCs w:val="24"/>
        </w:rPr>
        <w:t xml:space="preserve"> che rispondono ai requisiti d’innovazione stabiliti dal Regolamento della Legge tributaria (art. 5a) debbano poter accedere a tutte le misure, a condizione di avere almeno un dipendente. Per l’accesso ai sussidi d’innovazione con procedura ordinaria (di gran lunga i principali) si ritiene che una soglia di un minimo di 5 ETP non penalizzi le aziende, che fanno capo a questa misura. Si ritiene invece sensato abbassare la soglia a 3 ETP per quanto concerne le aziende che partecipano a programmi di ricerca applicata </w:t>
      </w:r>
      <w:proofErr w:type="spellStart"/>
      <w:r w:rsidRPr="00C438ED">
        <w:rPr>
          <w:rFonts w:cs="Arial"/>
          <w:bCs/>
          <w:i/>
          <w:iCs/>
          <w:szCs w:val="24"/>
        </w:rPr>
        <w:t>Innosuisse</w:t>
      </w:r>
      <w:proofErr w:type="spellEnd"/>
      <w:r w:rsidRPr="00C438ED">
        <w:rPr>
          <w:rFonts w:cs="Arial"/>
          <w:bCs/>
          <w:i/>
          <w:iCs/>
          <w:szCs w:val="24"/>
        </w:rPr>
        <w:t xml:space="preserve"> e EU, i cui progetti sono spesso altamente innovativi. Stessa soglia per le misure a sostegno dell’internazionalizzazione</w:t>
      </w:r>
      <w:r>
        <w:rPr>
          <w:rFonts w:cs="Arial"/>
          <w:bCs/>
          <w:i/>
          <w:iCs/>
          <w:szCs w:val="24"/>
        </w:rPr>
        <w:t>.</w:t>
      </w:r>
    </w:p>
    <w:p w:rsidR="003D2B50" w:rsidRPr="00C438ED" w:rsidRDefault="003D2B50" w:rsidP="003D2B50">
      <w:pPr>
        <w:rPr>
          <w:rFonts w:cs="Arial"/>
          <w:bCs/>
          <w:szCs w:val="24"/>
        </w:rPr>
      </w:pPr>
    </w:p>
    <w:p w:rsidR="003D2B50" w:rsidRPr="00A9608F" w:rsidRDefault="003D2B50" w:rsidP="003D2B50">
      <w:pPr>
        <w:rPr>
          <w:rFonts w:cs="Arial"/>
          <w:bCs/>
          <w:szCs w:val="24"/>
        </w:rPr>
      </w:pPr>
      <w:r w:rsidRPr="00A9608F">
        <w:rPr>
          <w:rFonts w:cs="Arial"/>
          <w:bCs/>
          <w:szCs w:val="24"/>
        </w:rPr>
        <w:t xml:space="preserve">Per quanto concerne </w:t>
      </w:r>
      <w:proofErr w:type="gramStart"/>
      <w:r w:rsidRPr="00A9608F">
        <w:rPr>
          <w:rFonts w:cs="Arial"/>
          <w:bCs/>
          <w:szCs w:val="24"/>
        </w:rPr>
        <w:t>le start-up</w:t>
      </w:r>
      <w:proofErr w:type="gramEnd"/>
      <w:r w:rsidRPr="00A9608F">
        <w:rPr>
          <w:rFonts w:cs="Arial"/>
          <w:bCs/>
          <w:szCs w:val="24"/>
        </w:rPr>
        <w:t xml:space="preserve">, va ricordato che il Dipartimento delle finanze e dell’economia ha varato un’articolata strategia (presentata sul sito www.ti.ch/startup), che prevede una serie di misure dedicate esplicitamente al loro sostegno che copre le diverse fasi di sviluppo del progetto. Dall’idea al consolidamento del business </w:t>
      </w:r>
      <w:proofErr w:type="spellStart"/>
      <w:r w:rsidRPr="00A9608F">
        <w:rPr>
          <w:rFonts w:cs="Arial"/>
          <w:bCs/>
          <w:szCs w:val="24"/>
        </w:rPr>
        <w:t>plan</w:t>
      </w:r>
      <w:proofErr w:type="spellEnd"/>
      <w:r w:rsidRPr="00A9608F">
        <w:rPr>
          <w:rFonts w:cs="Arial"/>
          <w:bCs/>
          <w:szCs w:val="24"/>
        </w:rPr>
        <w:t xml:space="preserve">, dalla ricerca dei primi clienti e investitori al prototipo, fino alla crescita sul piano internazionale del proprio business, ogni start-up ha a disposizione una serie di misure specifiche e calibrate secondo le effettive necessità. Per start-up si intendono giovani aziende caratterizzate per loro natura da contenuti innovativi, con team multidisciplinari e una prospettiva di crescita internazionale. Aziende che possono creare quindi interessanti opportunità di sviluppo tecnologico, con ricadute anche in termini occupazionali e fiscali, senza dimenticare la valorizzazione delle molte riconosciute competenze a livello universitario presenti in Ticino. </w:t>
      </w:r>
    </w:p>
    <w:p w:rsidR="003D2B50" w:rsidRPr="00A9608F" w:rsidRDefault="003D2B50" w:rsidP="003D2B50">
      <w:pPr>
        <w:rPr>
          <w:rFonts w:cs="Arial"/>
          <w:bCs/>
          <w:szCs w:val="24"/>
        </w:rPr>
      </w:pPr>
      <w:r w:rsidRPr="00A9608F">
        <w:rPr>
          <w:rFonts w:cs="Arial"/>
          <w:bCs/>
          <w:szCs w:val="24"/>
        </w:rPr>
        <w:t xml:space="preserve">Tra le varie misure, anche la Legge per l’innovazione economica, seppur focalizzata sulle aziende già radicate sul territorio, prevede mirate possibilità di sostegno diretto anche per </w:t>
      </w:r>
      <w:proofErr w:type="gramStart"/>
      <w:r w:rsidRPr="00A9608F">
        <w:rPr>
          <w:rFonts w:cs="Arial"/>
          <w:bCs/>
          <w:szCs w:val="24"/>
        </w:rPr>
        <w:t>le start-up</w:t>
      </w:r>
      <w:proofErr w:type="gramEnd"/>
      <w:r w:rsidRPr="00A9608F">
        <w:rPr>
          <w:rFonts w:cs="Arial"/>
          <w:bCs/>
          <w:szCs w:val="24"/>
        </w:rPr>
        <w:t xml:space="preserve">, in particolare per incentivare la partecipazione al programma di </w:t>
      </w:r>
      <w:proofErr w:type="spellStart"/>
      <w:r w:rsidRPr="00A9608F">
        <w:rPr>
          <w:rFonts w:cs="Arial"/>
          <w:bCs/>
          <w:szCs w:val="24"/>
        </w:rPr>
        <w:t>coaching</w:t>
      </w:r>
      <w:proofErr w:type="spellEnd"/>
      <w:r w:rsidRPr="00A9608F">
        <w:rPr>
          <w:rFonts w:cs="Arial"/>
          <w:bCs/>
          <w:szCs w:val="24"/>
        </w:rPr>
        <w:t xml:space="preserve"> per start-up di </w:t>
      </w:r>
      <w:proofErr w:type="spellStart"/>
      <w:r w:rsidRPr="00A9608F">
        <w:rPr>
          <w:rFonts w:cs="Arial"/>
          <w:bCs/>
          <w:szCs w:val="24"/>
        </w:rPr>
        <w:t>Innosuisse</w:t>
      </w:r>
      <w:proofErr w:type="spellEnd"/>
      <w:r w:rsidRPr="00A9608F">
        <w:rPr>
          <w:rFonts w:cs="Arial"/>
          <w:bCs/>
          <w:szCs w:val="24"/>
        </w:rPr>
        <w:t xml:space="preserve">. In questo caso il Cantone può concedere, </w:t>
      </w:r>
      <w:proofErr w:type="gramStart"/>
      <w:r w:rsidRPr="00A9608F">
        <w:rPr>
          <w:rFonts w:cs="Arial"/>
          <w:bCs/>
          <w:szCs w:val="24"/>
        </w:rPr>
        <w:t>alle start-up</w:t>
      </w:r>
      <w:proofErr w:type="gramEnd"/>
      <w:r w:rsidRPr="00A9608F">
        <w:rPr>
          <w:rFonts w:cs="Arial"/>
          <w:bCs/>
          <w:szCs w:val="24"/>
        </w:rPr>
        <w:t xml:space="preserve"> che sono state accolte dal programma, contributi a fondo perso pari al 25% dei costi computabili, per un totale di contributo non superiore a CHF 50'000. </w:t>
      </w:r>
    </w:p>
    <w:p w:rsidR="003D2B50" w:rsidRPr="00F46FA8" w:rsidRDefault="003D2B50" w:rsidP="003D2B50">
      <w:pPr>
        <w:rPr>
          <w:strike/>
          <w:lang w:val="it-IT" w:eastAsia="it-IT"/>
        </w:rPr>
      </w:pPr>
    </w:p>
    <w:p w:rsidR="003D2B50" w:rsidRPr="00C438ED" w:rsidRDefault="003D2B50" w:rsidP="003D2B50">
      <w:pPr>
        <w:rPr>
          <w:rFonts w:cs="Arial"/>
          <w:bCs/>
          <w:szCs w:val="24"/>
        </w:rPr>
      </w:pPr>
      <w:r w:rsidRPr="00C438ED">
        <w:rPr>
          <w:rFonts w:cs="Arial"/>
          <w:bCs/>
          <w:szCs w:val="24"/>
        </w:rPr>
        <w:t xml:space="preserve">Visto quanto precede, la </w:t>
      </w:r>
      <w:r w:rsidR="00D05E3A">
        <w:rPr>
          <w:rFonts w:cs="Arial"/>
          <w:bCs/>
          <w:szCs w:val="24"/>
        </w:rPr>
        <w:t>C</w:t>
      </w:r>
      <w:r w:rsidRPr="00C438ED">
        <w:rPr>
          <w:rFonts w:cs="Arial"/>
          <w:bCs/>
          <w:szCs w:val="24"/>
        </w:rPr>
        <w:t>ommissione concorda con la proposta di modifica della Legge.</w:t>
      </w:r>
    </w:p>
    <w:p w:rsidR="003D2B50" w:rsidRPr="00467BDE" w:rsidRDefault="003D2B50" w:rsidP="003D2B50">
      <w:pPr>
        <w:rPr>
          <w:rFonts w:cs="Arial"/>
          <w:bCs/>
          <w:sz w:val="18"/>
          <w:szCs w:val="18"/>
        </w:rPr>
      </w:pPr>
    </w:p>
    <w:p w:rsidR="003D2B50" w:rsidRPr="00467BDE" w:rsidRDefault="003D2B50" w:rsidP="003D2B50">
      <w:pPr>
        <w:rPr>
          <w:rFonts w:cs="Arial"/>
          <w:bCs/>
          <w:sz w:val="18"/>
          <w:szCs w:val="18"/>
        </w:rPr>
      </w:pPr>
    </w:p>
    <w:p w:rsidR="003D2B50" w:rsidRPr="009E7713" w:rsidRDefault="003D2B50" w:rsidP="003D2B50">
      <w:pPr>
        <w:rPr>
          <w:b/>
          <w:bCs/>
          <w:sz w:val="23"/>
          <w:szCs w:val="23"/>
          <w:lang w:eastAsia="it-IT"/>
        </w:rPr>
      </w:pPr>
      <w:r w:rsidRPr="009E7713">
        <w:rPr>
          <w:b/>
          <w:bCs/>
          <w:sz w:val="23"/>
          <w:szCs w:val="23"/>
          <w:lang w:eastAsia="it-IT"/>
        </w:rPr>
        <w:t>Obbligo d’informare e assistenza da altre autorità</w:t>
      </w:r>
    </w:p>
    <w:p w:rsidR="003D2B50" w:rsidRPr="009E7713" w:rsidRDefault="003D2B50" w:rsidP="003D2B50">
      <w:pPr>
        <w:tabs>
          <w:tab w:val="left" w:pos="1418"/>
        </w:tabs>
        <w:ind w:left="1418" w:hanging="1418"/>
        <w:rPr>
          <w:rFonts w:cs="Arial"/>
          <w:b/>
          <w:bCs/>
          <w:sz w:val="23"/>
          <w:szCs w:val="23"/>
        </w:rPr>
      </w:pPr>
      <w:r w:rsidRPr="009E7713">
        <w:rPr>
          <w:b/>
          <w:bCs/>
          <w:sz w:val="23"/>
          <w:szCs w:val="23"/>
          <w:lang w:eastAsia="it-IT"/>
        </w:rPr>
        <w:t>Art. 19</w:t>
      </w:r>
      <w:r w:rsidRPr="009E7713">
        <w:rPr>
          <w:b/>
          <w:bCs/>
          <w:sz w:val="23"/>
          <w:szCs w:val="23"/>
          <w:lang w:eastAsia="it-IT"/>
        </w:rPr>
        <w:tab/>
        <w:t>Proposta di modifica del cpv. 1, a</w:t>
      </w:r>
      <w:r w:rsidRPr="009E7713">
        <w:rPr>
          <w:rFonts w:cs="Arial"/>
          <w:b/>
          <w:bCs/>
          <w:sz w:val="23"/>
          <w:szCs w:val="23"/>
        </w:rPr>
        <w:t>llineamento dell’obbligo di informazione all’</w:t>
      </w:r>
      <w:r w:rsidR="009E7713">
        <w:rPr>
          <w:rFonts w:cs="Arial"/>
          <w:b/>
          <w:bCs/>
          <w:sz w:val="23"/>
          <w:szCs w:val="23"/>
        </w:rPr>
        <w:t>obbligo di rispetto dei criteri</w:t>
      </w:r>
    </w:p>
    <w:p w:rsidR="003D2B50" w:rsidRPr="00467BDE" w:rsidRDefault="003D2B50" w:rsidP="003D2B50">
      <w:pPr>
        <w:rPr>
          <w:rFonts w:cs="Arial"/>
          <w:bCs/>
          <w:sz w:val="12"/>
          <w:szCs w:val="12"/>
        </w:rPr>
      </w:pPr>
    </w:p>
    <w:p w:rsidR="003D2B50" w:rsidRDefault="003D2B50" w:rsidP="003D2B50">
      <w:pPr>
        <w:rPr>
          <w:rFonts w:cs="Arial"/>
          <w:bCs/>
          <w:szCs w:val="24"/>
        </w:rPr>
      </w:pPr>
      <w:r w:rsidRPr="004300AD">
        <w:rPr>
          <w:rFonts w:cs="Arial"/>
          <w:bCs/>
          <w:szCs w:val="24"/>
        </w:rPr>
        <w:t>Infine, la commissione ritiene di poter appoggiare anche l’ultima modifica proposta, che consiste n</w:t>
      </w:r>
      <w:r w:rsidRPr="004300AD">
        <w:t>e</w:t>
      </w:r>
      <w:r w:rsidRPr="004300AD">
        <w:rPr>
          <w:rFonts w:cs="Arial"/>
          <w:bCs/>
          <w:szCs w:val="24"/>
        </w:rPr>
        <w:t>ll’allineamento dell’obbligo di informazione all’obbligo di rispetto dei criteri. In pratica il periodo di fornire informazioni da parte delle aziende in merito al rispetto dei criteri di accesso verrà parificato al periodo di monitoraggio, al quale è sottoposta l’azienda (oggi varia da un minimo di due anni per le misure minori, fino a 15 anni per eventuali agevolazioni fiscali).</w:t>
      </w:r>
    </w:p>
    <w:p w:rsidR="00D05E3A" w:rsidRDefault="00D05E3A" w:rsidP="003D2B50">
      <w:pPr>
        <w:rPr>
          <w:rFonts w:cs="Arial"/>
          <w:bCs/>
          <w:szCs w:val="24"/>
        </w:rPr>
      </w:pPr>
    </w:p>
    <w:p w:rsidR="00D05E3A" w:rsidRDefault="00D05E3A" w:rsidP="003D2B50">
      <w:pPr>
        <w:rPr>
          <w:rFonts w:cs="Arial"/>
          <w:bCs/>
          <w:szCs w:val="24"/>
        </w:rPr>
      </w:pPr>
    </w:p>
    <w:p w:rsidR="00D05E3A" w:rsidRDefault="00D05E3A" w:rsidP="003D2B50">
      <w:pPr>
        <w:rPr>
          <w:rFonts w:cs="Arial"/>
          <w:bCs/>
          <w:szCs w:val="24"/>
        </w:rPr>
      </w:pPr>
    </w:p>
    <w:p w:rsidR="003D2B50" w:rsidRDefault="009E7713" w:rsidP="009E7713">
      <w:pPr>
        <w:pStyle w:val="Titolo1"/>
        <w:ind w:left="567" w:hanging="567"/>
      </w:pPr>
      <w:bookmarkStart w:id="61" w:name="_Toc32253665"/>
      <w:bookmarkStart w:id="62" w:name="_Toc37096449"/>
      <w:bookmarkStart w:id="63" w:name="_Toc39677877"/>
      <w:bookmarkEnd w:id="38"/>
      <w:r>
        <w:t>6.</w:t>
      </w:r>
      <w:r>
        <w:tab/>
      </w:r>
      <w:r w:rsidR="003D2B50" w:rsidRPr="003F7676">
        <w:t>Conclusioni</w:t>
      </w:r>
      <w:bookmarkEnd w:id="61"/>
      <w:bookmarkEnd w:id="62"/>
      <w:bookmarkEnd w:id="63"/>
    </w:p>
    <w:p w:rsidR="003D2B50" w:rsidRDefault="003D2B50" w:rsidP="003D2B50">
      <w:pPr>
        <w:rPr>
          <w:lang w:val="it-IT" w:eastAsia="it-IT"/>
        </w:rPr>
      </w:pPr>
      <w:r w:rsidRPr="004300AD">
        <w:rPr>
          <w:lang w:val="it-IT" w:eastAsia="it-IT"/>
        </w:rPr>
        <w:t xml:space="preserve">La </w:t>
      </w:r>
      <w:r>
        <w:rPr>
          <w:lang w:val="it-IT" w:eastAsia="it-IT"/>
        </w:rPr>
        <w:t>C</w:t>
      </w:r>
      <w:r w:rsidRPr="004300AD">
        <w:rPr>
          <w:lang w:val="it-IT" w:eastAsia="it-IT"/>
        </w:rPr>
        <w:t xml:space="preserve">ommissione dell’economia e del lavoro </w:t>
      </w:r>
      <w:r>
        <w:rPr>
          <w:lang w:val="it-IT" w:eastAsia="it-IT"/>
        </w:rPr>
        <w:t xml:space="preserve">valuta </w:t>
      </w:r>
      <w:r w:rsidRPr="004300AD">
        <w:rPr>
          <w:lang w:val="it-IT" w:eastAsia="it-IT"/>
        </w:rPr>
        <w:t xml:space="preserve">positivamente </w:t>
      </w:r>
      <w:r>
        <w:rPr>
          <w:lang w:val="it-IT" w:eastAsia="it-IT"/>
        </w:rPr>
        <w:t>i risultati ottenuti</w:t>
      </w:r>
      <w:r w:rsidRPr="004300AD">
        <w:rPr>
          <w:lang w:val="it-IT" w:eastAsia="it-IT"/>
        </w:rPr>
        <w:t xml:space="preserve">, che dimostrano come in Ticino sia possibile fare progetti innovativi e di ricerca applicata facendo capo a personale </w:t>
      </w:r>
      <w:r w:rsidRPr="00E70378">
        <w:rPr>
          <w:lang w:val="it-IT" w:eastAsia="it-IT"/>
        </w:rPr>
        <w:t>residente e adeguatamente retribuito.</w:t>
      </w:r>
      <w:r w:rsidRPr="004300AD">
        <w:rPr>
          <w:lang w:val="it-IT" w:eastAsia="it-IT"/>
        </w:rPr>
        <w:t xml:space="preserve"> Si </w:t>
      </w:r>
      <w:r>
        <w:rPr>
          <w:lang w:val="it-IT" w:eastAsia="it-IT"/>
        </w:rPr>
        <w:t xml:space="preserve">condivide </w:t>
      </w:r>
      <w:r w:rsidRPr="004300AD">
        <w:rPr>
          <w:lang w:val="it-IT" w:eastAsia="it-IT"/>
        </w:rPr>
        <w:t>la strategia di sviluppo economico adottata dal Consiglio di Stato, che spinge molto sulla collaborazione tra aziende e istituti di ricerca</w:t>
      </w:r>
      <w:r>
        <w:rPr>
          <w:lang w:val="it-IT" w:eastAsia="it-IT"/>
        </w:rPr>
        <w:t xml:space="preserve"> universitari, premessa per</w:t>
      </w:r>
      <w:r w:rsidRPr="004300AD">
        <w:rPr>
          <w:lang w:val="it-IT" w:eastAsia="it-IT"/>
        </w:rPr>
        <w:t xml:space="preserve"> creare posti di lavoro interessanti per i residenti e </w:t>
      </w:r>
      <w:r>
        <w:rPr>
          <w:lang w:val="it-IT" w:eastAsia="it-IT"/>
        </w:rPr>
        <w:t>per</w:t>
      </w:r>
      <w:r w:rsidRPr="004300AD">
        <w:rPr>
          <w:lang w:val="it-IT" w:eastAsia="it-IT"/>
        </w:rPr>
        <w:t xml:space="preserve"> portare in Ticino talenti, contribuendo ad uno sviluppo economico duraturo e sostenibile. In questo senso la commissione auspica una sempre maggiore convergenza tra la politica universitaria e quella dell’innovazione, in modo da concretizzare al più presto </w:t>
      </w:r>
      <w:r w:rsidRPr="004300AD">
        <w:rPr>
          <w:lang w:val="it-IT" w:eastAsia="it-IT"/>
        </w:rPr>
        <w:lastRenderedPageBreak/>
        <w:t xml:space="preserve">dei centri di competenza nell’ambito dello </w:t>
      </w:r>
      <w:proofErr w:type="spellStart"/>
      <w:r w:rsidRPr="004300AD">
        <w:rPr>
          <w:lang w:val="it-IT" w:eastAsia="it-IT"/>
        </w:rPr>
        <w:t>Switzerland</w:t>
      </w:r>
      <w:proofErr w:type="spellEnd"/>
      <w:r w:rsidRPr="004300AD">
        <w:rPr>
          <w:lang w:val="it-IT" w:eastAsia="it-IT"/>
        </w:rPr>
        <w:t xml:space="preserve"> </w:t>
      </w:r>
      <w:proofErr w:type="spellStart"/>
      <w:r w:rsidRPr="004300AD">
        <w:rPr>
          <w:lang w:val="it-IT" w:eastAsia="it-IT"/>
        </w:rPr>
        <w:t>Innovation</w:t>
      </w:r>
      <w:proofErr w:type="spellEnd"/>
      <w:r w:rsidRPr="004300AD">
        <w:rPr>
          <w:lang w:val="it-IT" w:eastAsia="it-IT"/>
        </w:rPr>
        <w:t xml:space="preserve">, in grado di mantenere competitive le nostre aziende e di attrarre ulteriori investimenti in ricerca e sviluppo. </w:t>
      </w:r>
    </w:p>
    <w:p w:rsidR="003D2B50" w:rsidRDefault="003D2B50" w:rsidP="003D2B50">
      <w:pPr>
        <w:rPr>
          <w:lang w:val="it-IT" w:eastAsia="it-IT"/>
        </w:rPr>
      </w:pPr>
    </w:p>
    <w:p w:rsidR="003D2B50" w:rsidRPr="004300AD" w:rsidRDefault="003D2B50" w:rsidP="003D2B50">
      <w:r w:rsidRPr="004300AD">
        <w:t xml:space="preserve">La </w:t>
      </w:r>
      <w:r>
        <w:t>C</w:t>
      </w:r>
      <w:r w:rsidRPr="004300AD">
        <w:t xml:space="preserve">ommissione </w:t>
      </w:r>
      <w:r>
        <w:t>concorda</w:t>
      </w:r>
      <w:r w:rsidRPr="004300AD">
        <w:t xml:space="preserve"> </w:t>
      </w:r>
      <w:r>
        <w:t>con</w:t>
      </w:r>
      <w:r w:rsidRPr="004300AD">
        <w:t xml:space="preserve"> il principio secondo il quale l’innovazione riveste un’importanza determinante. Un territorio che sa posizionarsi nella distribuzione internazionale del sapere e delle competenze investendo in formazione, ricerca e innovazione, può costruirsi migliori condizioni di vita presenti e maggiori opportunità di sviluppo future.</w:t>
      </w:r>
    </w:p>
    <w:p w:rsidR="003D2B50" w:rsidRDefault="003D2B50" w:rsidP="003D2B50">
      <w:pPr>
        <w:rPr>
          <w:lang w:eastAsia="it-IT"/>
        </w:rPr>
      </w:pPr>
    </w:p>
    <w:p w:rsidR="003D2B50" w:rsidRDefault="003D2B50" w:rsidP="003D2B50">
      <w:pPr>
        <w:rPr>
          <w:lang w:val="it-IT"/>
        </w:rPr>
      </w:pPr>
      <w:r>
        <w:rPr>
          <w:lang w:val="it-IT"/>
        </w:rPr>
        <w:t>La Commissione esprime soddisfazione per le risposte ottenute nell’ambito dell’analisi commissionale (v. capitolo 5.).</w:t>
      </w:r>
    </w:p>
    <w:p w:rsidR="003D2B50" w:rsidRDefault="003D2B50" w:rsidP="003D2B50">
      <w:pPr>
        <w:rPr>
          <w:lang w:val="it-IT"/>
        </w:rPr>
      </w:pPr>
    </w:p>
    <w:p w:rsidR="003D2B50" w:rsidRDefault="003D2B50" w:rsidP="003D2B50">
      <w:pPr>
        <w:rPr>
          <w:lang w:val="it-IT"/>
        </w:rPr>
      </w:pPr>
      <w:r>
        <w:rPr>
          <w:lang w:val="it-IT"/>
        </w:rPr>
        <w:t xml:space="preserve">La Commissione è cosciente della complessità del tema innovazione e della costante evoluzione dello stesso. Prende atto con piacere che la Legge, di relativa recente introduzione, è già stata parzialmente rivista alfine di migliorarla e adattarla ad una realtà in costante mutamento. Si invita il Consiglio di Stato a continuare sulla strada intrapresa, procedendo, qualora si rendesse necessario ad ulteriori “affinamenti”, soprattutto per quel che concerne i principi dello sviluppo sostenibile, dell’uso parsimonioso del suolo e della responsabilità sociale delle imprese (art. 2 </w:t>
      </w:r>
      <w:proofErr w:type="spellStart"/>
      <w:r>
        <w:rPr>
          <w:lang w:val="it-IT"/>
        </w:rPr>
        <w:t>LInn</w:t>
      </w:r>
      <w:proofErr w:type="spellEnd"/>
      <w:r>
        <w:rPr>
          <w:lang w:val="it-IT"/>
        </w:rPr>
        <w:t>), senza dimenticare il “generare importanti ricadute economiche”, menzionato nell’art. 1 della Legge.</w:t>
      </w:r>
    </w:p>
    <w:p w:rsidR="003D2B50" w:rsidRDefault="003D2B50" w:rsidP="003D2B50">
      <w:pPr>
        <w:rPr>
          <w:lang w:val="it-IT"/>
        </w:rPr>
      </w:pPr>
    </w:p>
    <w:p w:rsidR="003D2B50" w:rsidRDefault="003D2B50" w:rsidP="003D2B50">
      <w:pPr>
        <w:rPr>
          <w:lang w:val="it-IT"/>
        </w:rPr>
      </w:pPr>
      <w:r>
        <w:rPr>
          <w:lang w:val="it-IT"/>
        </w:rPr>
        <w:t xml:space="preserve">Questi principi contengono infatti una componente soggettiva e, in futuro, sarebbero da introdurre gradualmente ulteriori criteri che ne rafforzino l’oggettività. La Commissione è cosciente che il compito non è facile in quanto bisognerà tener conto anche dell’esigenza di mantenere un sistema </w:t>
      </w:r>
      <w:r w:rsidRPr="00D1125C">
        <w:rPr>
          <w:lang w:val="it-IT"/>
        </w:rPr>
        <w:t>snello</w:t>
      </w:r>
      <w:r>
        <w:rPr>
          <w:lang w:val="it-IT"/>
        </w:rPr>
        <w:t xml:space="preserve"> ed</w:t>
      </w:r>
      <w:r w:rsidRPr="00D1125C">
        <w:rPr>
          <w:lang w:val="it-IT"/>
        </w:rPr>
        <w:t xml:space="preserve"> efficace senza costi supplementari e/o aggravi spropositati in oneri e lavoro amministrativo, sia per lo Stato, sia per le aziende. </w:t>
      </w:r>
    </w:p>
    <w:p w:rsidR="00D05E3A" w:rsidRDefault="00D05E3A" w:rsidP="003D2B50">
      <w:pPr>
        <w:rPr>
          <w:lang w:val="it-IT"/>
        </w:rPr>
      </w:pPr>
    </w:p>
    <w:p w:rsidR="00BF0733" w:rsidRDefault="00BF0733" w:rsidP="00BF0733">
      <w:pPr>
        <w:rPr>
          <w:rFonts w:cs="Arial"/>
        </w:rPr>
      </w:pPr>
    </w:p>
    <w:p w:rsidR="00BF0733" w:rsidRPr="000B2940" w:rsidRDefault="00BF0733" w:rsidP="00BF0733">
      <w:pPr>
        <w:jc w:val="center"/>
        <w:rPr>
          <w:rFonts w:cs="Arial"/>
          <w:sz w:val="28"/>
          <w:szCs w:val="28"/>
        </w:rPr>
      </w:pP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p>
    <w:p w:rsidR="00BF0733" w:rsidRDefault="00BF0733" w:rsidP="00BF0733">
      <w:pPr>
        <w:rPr>
          <w:rFonts w:cs="Arial"/>
        </w:rPr>
      </w:pPr>
    </w:p>
    <w:p w:rsidR="009E7713" w:rsidRDefault="009E7713" w:rsidP="003D2B50">
      <w:pPr>
        <w:rPr>
          <w:lang w:val="it-IT"/>
        </w:rPr>
      </w:pPr>
    </w:p>
    <w:p w:rsidR="003D2B50" w:rsidRPr="00B5082E" w:rsidRDefault="003D2B50" w:rsidP="003D2B50">
      <w:pPr>
        <w:tabs>
          <w:tab w:val="left" w:pos="426"/>
        </w:tabs>
        <w:rPr>
          <w:rFonts w:cs="Arial"/>
          <w:color w:val="000000"/>
          <w:lang w:val="it-IT"/>
        </w:rPr>
      </w:pPr>
      <w:r w:rsidRPr="00B5082E">
        <w:rPr>
          <w:rFonts w:cs="Arial"/>
          <w:color w:val="000000"/>
          <w:lang w:val="it-IT"/>
        </w:rPr>
        <w:t xml:space="preserve">Fatte queste premesse, la </w:t>
      </w:r>
      <w:r w:rsidR="00BF0733">
        <w:rPr>
          <w:rFonts w:cs="Arial"/>
          <w:color w:val="000000"/>
          <w:lang w:val="it-IT"/>
        </w:rPr>
        <w:t xml:space="preserve">maggioranza della </w:t>
      </w:r>
      <w:r w:rsidRPr="00B5082E">
        <w:rPr>
          <w:rFonts w:cs="Arial"/>
          <w:color w:val="000000"/>
          <w:lang w:val="it-IT"/>
        </w:rPr>
        <w:t>Commissione economia e lavoro invita il Gran Consiglio ad approvare il messaggio</w:t>
      </w:r>
      <w:r>
        <w:rPr>
          <w:rFonts w:cs="Arial"/>
          <w:color w:val="000000"/>
          <w:lang w:val="it-IT"/>
        </w:rPr>
        <w:t xml:space="preserve"> in oggetto</w:t>
      </w:r>
      <w:r w:rsidR="00646F6C">
        <w:rPr>
          <w:rFonts w:cs="Arial"/>
          <w:color w:val="000000"/>
          <w:lang w:val="it-IT"/>
        </w:rPr>
        <w:t xml:space="preserve"> come pure</w:t>
      </w:r>
      <w:r w:rsidRPr="00B5082E">
        <w:rPr>
          <w:rFonts w:cs="Arial"/>
          <w:color w:val="000000"/>
          <w:lang w:val="it-IT"/>
        </w:rPr>
        <w:t xml:space="preserve"> il decreto legislativo e l</w:t>
      </w:r>
      <w:r w:rsidR="00BF0733">
        <w:rPr>
          <w:rFonts w:cs="Arial"/>
          <w:color w:val="000000"/>
          <w:lang w:val="it-IT"/>
        </w:rPr>
        <w:t>e modifiche di legge annessi allo stesso</w:t>
      </w:r>
      <w:r w:rsidRPr="00B5082E">
        <w:rPr>
          <w:rFonts w:cs="Arial"/>
          <w:color w:val="000000"/>
          <w:lang w:val="it-IT"/>
        </w:rPr>
        <w:t>.</w:t>
      </w:r>
    </w:p>
    <w:p w:rsidR="003D2B50" w:rsidRPr="00B5082E" w:rsidRDefault="003D2B50" w:rsidP="003D2B50">
      <w:pPr>
        <w:tabs>
          <w:tab w:val="left" w:pos="426"/>
        </w:tabs>
        <w:rPr>
          <w:rFonts w:cs="Arial"/>
          <w:color w:val="000000"/>
          <w:lang w:val="it-IT"/>
        </w:rPr>
      </w:pPr>
    </w:p>
    <w:p w:rsidR="003D2B50" w:rsidRPr="00B5082E" w:rsidRDefault="003D2B50" w:rsidP="003D2B50">
      <w:pPr>
        <w:tabs>
          <w:tab w:val="left" w:pos="426"/>
        </w:tabs>
        <w:rPr>
          <w:rFonts w:cs="Arial"/>
          <w:color w:val="000000"/>
          <w:lang w:val="it-IT"/>
        </w:rPr>
      </w:pPr>
    </w:p>
    <w:p w:rsidR="003D2B50" w:rsidRPr="00B5082E" w:rsidRDefault="003D2B50" w:rsidP="003D2B50">
      <w:pPr>
        <w:tabs>
          <w:tab w:val="left" w:pos="426"/>
        </w:tabs>
        <w:rPr>
          <w:rFonts w:cs="Arial"/>
          <w:color w:val="000000"/>
          <w:lang w:val="it-IT"/>
        </w:rPr>
      </w:pPr>
    </w:p>
    <w:p w:rsidR="003D2B50" w:rsidRDefault="003D2B50" w:rsidP="003D2B50">
      <w:pPr>
        <w:spacing w:after="120"/>
        <w:rPr>
          <w:rFonts w:cs="Arial"/>
          <w:szCs w:val="24"/>
        </w:rPr>
      </w:pPr>
      <w:r w:rsidRPr="003F7676">
        <w:rPr>
          <w:rFonts w:cs="Arial"/>
          <w:szCs w:val="24"/>
        </w:rPr>
        <w:t xml:space="preserve">Per la </w:t>
      </w:r>
      <w:r w:rsidR="00BF0733">
        <w:rPr>
          <w:rFonts w:cs="Arial"/>
          <w:szCs w:val="24"/>
        </w:rPr>
        <w:t xml:space="preserve">maggioranza della </w:t>
      </w:r>
      <w:r w:rsidRPr="003F7676">
        <w:rPr>
          <w:rFonts w:cs="Arial"/>
          <w:szCs w:val="24"/>
        </w:rPr>
        <w:t>Commissione economia e lavoro:</w:t>
      </w:r>
    </w:p>
    <w:p w:rsidR="003D2B50" w:rsidRDefault="003D2B50" w:rsidP="003D2B50">
      <w:pPr>
        <w:rPr>
          <w:rFonts w:cs="Arial"/>
          <w:szCs w:val="24"/>
        </w:rPr>
      </w:pPr>
      <w:r w:rsidRPr="003F7676">
        <w:rPr>
          <w:rFonts w:cs="Arial"/>
          <w:szCs w:val="24"/>
        </w:rPr>
        <w:t>Roberta Passardi e Omar Balli, relatori</w:t>
      </w:r>
    </w:p>
    <w:p w:rsidR="00467BDE" w:rsidRDefault="003D2B50" w:rsidP="003D2B50">
      <w:pPr>
        <w:rPr>
          <w:rFonts w:cs="Arial"/>
        </w:rPr>
      </w:pPr>
      <w:r w:rsidRPr="003F7676">
        <w:rPr>
          <w:rFonts w:cs="Arial"/>
        </w:rPr>
        <w:t>Bignasca</w:t>
      </w:r>
      <w:r>
        <w:rPr>
          <w:rFonts w:cs="Arial"/>
        </w:rPr>
        <w:t xml:space="preserve"> </w:t>
      </w:r>
      <w:r w:rsidR="00D05E3A">
        <w:rPr>
          <w:rFonts w:cs="Arial"/>
        </w:rPr>
        <w:t>(</w:t>
      </w:r>
      <w:r>
        <w:rPr>
          <w:rFonts w:cs="Arial"/>
        </w:rPr>
        <w:t>con riserva</w:t>
      </w:r>
      <w:r w:rsidR="00D05E3A">
        <w:rPr>
          <w:rFonts w:cs="Arial"/>
        </w:rPr>
        <w:t>)</w:t>
      </w:r>
      <w:r w:rsidRPr="003F7676">
        <w:rPr>
          <w:rFonts w:cs="Arial"/>
        </w:rPr>
        <w:t xml:space="preserve"> - Censi</w:t>
      </w:r>
      <w:r w:rsidR="00D05E3A">
        <w:rPr>
          <w:rFonts w:cs="Arial"/>
        </w:rPr>
        <w:t xml:space="preserve"> </w:t>
      </w:r>
      <w:r w:rsidRPr="003F7676">
        <w:rPr>
          <w:rFonts w:cs="Arial"/>
        </w:rPr>
        <w:t xml:space="preserve">- Dadò </w:t>
      </w:r>
      <w:r w:rsidR="00D05E3A">
        <w:rPr>
          <w:rFonts w:cs="Arial"/>
        </w:rPr>
        <w:t>(con riserva)</w:t>
      </w:r>
      <w:r w:rsidR="00D05E3A" w:rsidRPr="003F7676">
        <w:rPr>
          <w:rFonts w:cs="Arial"/>
        </w:rPr>
        <w:t xml:space="preserve"> </w:t>
      </w:r>
      <w:r>
        <w:rPr>
          <w:rFonts w:cs="Arial"/>
        </w:rPr>
        <w:t>-</w:t>
      </w:r>
      <w:r w:rsidRPr="003F7676">
        <w:rPr>
          <w:rFonts w:cs="Arial"/>
        </w:rPr>
        <w:t xml:space="preserve"> </w:t>
      </w:r>
    </w:p>
    <w:p w:rsidR="00467BDE" w:rsidRDefault="003D2B50" w:rsidP="003D2B50">
      <w:pPr>
        <w:rPr>
          <w:rFonts w:cs="Arial"/>
        </w:rPr>
      </w:pPr>
      <w:r>
        <w:rPr>
          <w:rFonts w:cs="Arial"/>
        </w:rPr>
        <w:t>Gianella A</w:t>
      </w:r>
      <w:r w:rsidR="00467BDE">
        <w:rPr>
          <w:rFonts w:cs="Arial"/>
        </w:rPr>
        <w:t>lessandra</w:t>
      </w:r>
      <w:r>
        <w:rPr>
          <w:rFonts w:cs="Arial"/>
        </w:rPr>
        <w:t xml:space="preserve"> - </w:t>
      </w:r>
      <w:r w:rsidRPr="003F7676">
        <w:rPr>
          <w:rFonts w:cs="Arial"/>
        </w:rPr>
        <w:t>Jelmini</w:t>
      </w:r>
      <w:r>
        <w:rPr>
          <w:rFonts w:cs="Arial"/>
        </w:rPr>
        <w:t xml:space="preserve"> </w:t>
      </w:r>
      <w:r w:rsidR="00D05E3A">
        <w:rPr>
          <w:rFonts w:cs="Arial"/>
        </w:rPr>
        <w:t>(con riserva)</w:t>
      </w:r>
      <w:r w:rsidR="00D05E3A" w:rsidRPr="003F7676">
        <w:rPr>
          <w:rFonts w:cs="Arial"/>
        </w:rPr>
        <w:t xml:space="preserve"> </w:t>
      </w:r>
      <w:r>
        <w:rPr>
          <w:rFonts w:cs="Arial"/>
        </w:rPr>
        <w:t xml:space="preserve">- Maderni - </w:t>
      </w:r>
    </w:p>
    <w:p w:rsidR="00467BDE" w:rsidRDefault="003D2B50" w:rsidP="003D2B50">
      <w:pPr>
        <w:rPr>
          <w:rFonts w:cs="Arial"/>
          <w:szCs w:val="24"/>
        </w:rPr>
      </w:pPr>
      <w:r w:rsidRPr="00C26E4A">
        <w:rPr>
          <w:rFonts w:cs="Arial"/>
        </w:rPr>
        <w:t>Minotti</w:t>
      </w:r>
      <w:r>
        <w:rPr>
          <w:rFonts w:cs="Arial"/>
        </w:rPr>
        <w:t xml:space="preserve"> </w:t>
      </w:r>
      <w:r w:rsidR="00D05E3A">
        <w:rPr>
          <w:rFonts w:cs="Arial"/>
        </w:rPr>
        <w:t>(con riserva)</w:t>
      </w:r>
      <w:r w:rsidR="00D05E3A" w:rsidRPr="003F7676">
        <w:rPr>
          <w:rFonts w:cs="Arial"/>
        </w:rPr>
        <w:t xml:space="preserve"> </w:t>
      </w:r>
      <w:r>
        <w:rPr>
          <w:rFonts w:cs="Arial"/>
        </w:rPr>
        <w:t>-</w:t>
      </w:r>
      <w:r w:rsidRPr="003F7676">
        <w:rPr>
          <w:rFonts w:cs="Arial"/>
        </w:rPr>
        <w:t xml:space="preserve"> </w:t>
      </w:r>
      <w:r w:rsidRPr="003F7676">
        <w:rPr>
          <w:rFonts w:cs="Arial"/>
          <w:szCs w:val="24"/>
        </w:rPr>
        <w:t>Passalia</w:t>
      </w:r>
      <w:r>
        <w:rPr>
          <w:rFonts w:cs="Arial"/>
          <w:szCs w:val="24"/>
        </w:rPr>
        <w:t xml:space="preserve"> </w:t>
      </w:r>
      <w:r w:rsidR="00D05E3A">
        <w:rPr>
          <w:rFonts w:cs="Arial"/>
        </w:rPr>
        <w:t>(con riserva)</w:t>
      </w:r>
      <w:r w:rsidR="00D05E3A" w:rsidRPr="003F7676">
        <w:rPr>
          <w:rFonts w:cs="Arial"/>
        </w:rPr>
        <w:t xml:space="preserve"> </w:t>
      </w:r>
      <w:r>
        <w:rPr>
          <w:rFonts w:cs="Arial"/>
          <w:szCs w:val="24"/>
        </w:rPr>
        <w:t xml:space="preserve">- </w:t>
      </w:r>
    </w:p>
    <w:p w:rsidR="003D2B50" w:rsidRPr="003F7676" w:rsidRDefault="003D2B50" w:rsidP="003D2B50">
      <w:pPr>
        <w:rPr>
          <w:rFonts w:cs="Arial"/>
          <w:szCs w:val="24"/>
        </w:rPr>
      </w:pPr>
      <w:r w:rsidRPr="003F7676">
        <w:rPr>
          <w:rFonts w:cs="Arial"/>
        </w:rPr>
        <w:t xml:space="preserve">Pellegrini </w:t>
      </w:r>
      <w:r w:rsidR="00D05E3A">
        <w:rPr>
          <w:rFonts w:cs="Arial"/>
        </w:rPr>
        <w:t>(con riserva)</w:t>
      </w:r>
      <w:r w:rsidR="00D05E3A" w:rsidRPr="003F7676">
        <w:rPr>
          <w:rFonts w:cs="Arial"/>
        </w:rPr>
        <w:t xml:space="preserve"> </w:t>
      </w:r>
      <w:r w:rsidRPr="003F7676">
        <w:rPr>
          <w:rFonts w:cs="Arial"/>
        </w:rPr>
        <w:t xml:space="preserve">- Pini </w:t>
      </w:r>
      <w:r>
        <w:rPr>
          <w:rFonts w:cs="Arial"/>
        </w:rPr>
        <w:t xml:space="preserve">- </w:t>
      </w:r>
      <w:r w:rsidRPr="003F7676">
        <w:rPr>
          <w:rFonts w:cs="Arial"/>
        </w:rPr>
        <w:t>Speziali</w:t>
      </w:r>
      <w:r>
        <w:rPr>
          <w:rFonts w:cs="Arial"/>
        </w:rPr>
        <w:t xml:space="preserve"> </w:t>
      </w:r>
    </w:p>
    <w:p w:rsidR="003D2B50" w:rsidRPr="00344CBF" w:rsidRDefault="003D2B50" w:rsidP="003D2B50">
      <w:pPr>
        <w:rPr>
          <w:rFonts w:cs="Arial"/>
          <w:iCs/>
          <w:szCs w:val="24"/>
          <w:highlight w:val="yellow"/>
        </w:rPr>
      </w:pPr>
    </w:p>
    <w:p w:rsidR="003D2B50" w:rsidRPr="00344CBF" w:rsidRDefault="003D2B50" w:rsidP="003D2B50">
      <w:pPr>
        <w:tabs>
          <w:tab w:val="left" w:pos="426"/>
        </w:tabs>
        <w:rPr>
          <w:rFonts w:cs="Arial"/>
          <w:color w:val="000000"/>
          <w:lang w:val="it-IT"/>
        </w:rPr>
      </w:pPr>
    </w:p>
    <w:sectPr w:rsidR="003D2B50" w:rsidRPr="00344CBF" w:rsidSect="00F242E5">
      <w:footerReference w:type="default" r:id="rId10"/>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F24" w:rsidRDefault="00203F24" w:rsidP="008E77C6">
      <w:r>
        <w:separator/>
      </w:r>
    </w:p>
  </w:endnote>
  <w:endnote w:type="continuationSeparator" w:id="0">
    <w:p w:rsidR="00203F24" w:rsidRDefault="00203F24"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4D"/>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Sans-Light">
    <w:altName w:val="Cambria Math"/>
    <w:charset w:val="00"/>
    <w:family w:val="auto"/>
    <w:pitch w:val="variable"/>
    <w:sig w:usb0="00000003" w:usb1="00000000" w:usb2="00000000" w:usb3="00000000" w:csb0="00000001" w:csb1="00000000"/>
  </w:font>
  <w:font w:name="Gill Sans">
    <w:panose1 w:val="020B0602020204020204"/>
    <w:charset w:val="00"/>
    <w:family w:val="swiss"/>
    <w:pitch w:val="variable"/>
    <w:sig w:usb0="00000007" w:usb1="00000000" w:usb2="00000000" w:usb3="00000000" w:csb0="00000093" w:csb1="00000000"/>
  </w:font>
  <w:font w:name="Frutiger 45 Light">
    <w:charset w:val="00"/>
    <w:family w:val="auto"/>
    <w:pitch w:val="variable"/>
    <w:sig w:usb0="00000003" w:usb1="00000000" w:usb2="00000000" w:usb3="00000000" w:csb0="00000001" w:csb1="00000000"/>
  </w:font>
  <w:font w:name="Museo Sans">
    <w:altName w:val="Museo Sans"/>
    <w:panose1 w:val="00000000000000000000"/>
    <w:charset w:val="00"/>
    <w:family w:val="swiss"/>
    <w:notTrueType/>
    <w:pitch w:val="default"/>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Implenia Frutiger">
    <w:altName w:val="Franklin Gothic Medium Cond"/>
    <w:charset w:val="00"/>
    <w:family w:val="swiss"/>
    <w:pitch w:val="variable"/>
    <w:sig w:usb0="00000003" w:usb1="4000204A"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203F24" w:rsidRPr="008E77C6" w:rsidRDefault="00203F24">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1C138E" w:rsidRPr="001C138E">
          <w:rPr>
            <w:noProof/>
            <w:sz w:val="20"/>
            <w:szCs w:val="20"/>
            <w:lang w:val="it-IT"/>
          </w:rPr>
          <w:t>20</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F24" w:rsidRDefault="00203F24" w:rsidP="008E77C6">
      <w:r>
        <w:separator/>
      </w:r>
    </w:p>
  </w:footnote>
  <w:footnote w:type="continuationSeparator" w:id="0">
    <w:p w:rsidR="00203F24" w:rsidRDefault="00203F24" w:rsidP="008E77C6">
      <w:r>
        <w:continuationSeparator/>
      </w:r>
    </w:p>
  </w:footnote>
  <w:footnote w:id="1">
    <w:p w:rsidR="00203F24" w:rsidRPr="00781369" w:rsidRDefault="00203F24" w:rsidP="003D2B50">
      <w:pPr>
        <w:pStyle w:val="Testonotaapidipagina"/>
        <w:rPr>
          <w:rFonts w:cs="Arial"/>
          <w:sz w:val="18"/>
          <w:szCs w:val="18"/>
        </w:rPr>
      </w:pPr>
      <w:r w:rsidRPr="00781369">
        <w:rPr>
          <w:rStyle w:val="Rimandonotaapidipagina"/>
          <w:rFonts w:cs="Arial"/>
          <w:sz w:val="18"/>
          <w:szCs w:val="18"/>
        </w:rPr>
        <w:footnoteRef/>
      </w:r>
      <w:r w:rsidRPr="00781369">
        <w:rPr>
          <w:rFonts w:cs="Arial"/>
          <w:sz w:val="18"/>
          <w:szCs w:val="18"/>
        </w:rPr>
        <w:t xml:space="preserve"> </w:t>
      </w:r>
      <w:r>
        <w:rPr>
          <w:rFonts w:cs="Arial"/>
          <w:sz w:val="18"/>
          <w:szCs w:val="18"/>
        </w:rPr>
        <w:t xml:space="preserve">DFE (2019) Programma d’attuazione della politica economica regionale 2020-2023 del Canton Ticino. Bellinzona 3 luglio </w:t>
      </w:r>
      <w:proofErr w:type="gramStart"/>
      <w:r>
        <w:rPr>
          <w:rFonts w:cs="Arial"/>
          <w:sz w:val="18"/>
          <w:szCs w:val="18"/>
        </w:rPr>
        <w:t>2029.</w:t>
      </w:r>
      <w:r w:rsidRPr="00781369">
        <w:rPr>
          <w:rFonts w:cs="Arial"/>
          <w:sz w:val="18"/>
          <w:szCs w:val="18"/>
        </w:rPr>
        <w:t>.</w:t>
      </w:r>
      <w:proofErr w:type="gramEnd"/>
    </w:p>
  </w:footnote>
  <w:footnote w:id="2">
    <w:p w:rsidR="00203F24" w:rsidRPr="00781369" w:rsidRDefault="00203F24" w:rsidP="003D2B50">
      <w:pPr>
        <w:pStyle w:val="Testonotaapidipagina"/>
        <w:rPr>
          <w:rFonts w:cs="Arial"/>
          <w:sz w:val="18"/>
          <w:szCs w:val="18"/>
        </w:rPr>
      </w:pPr>
      <w:r w:rsidRPr="00781369">
        <w:rPr>
          <w:rStyle w:val="Rimandonotaapidipagina"/>
          <w:rFonts w:cs="Arial"/>
          <w:sz w:val="18"/>
          <w:szCs w:val="18"/>
        </w:rPr>
        <w:footnoteRef/>
      </w:r>
      <w:r w:rsidRPr="00781369">
        <w:rPr>
          <w:rFonts w:cs="Arial"/>
          <w:sz w:val="18"/>
          <w:szCs w:val="18"/>
        </w:rPr>
        <w:t xml:space="preserve"> </w:t>
      </w:r>
      <w:proofErr w:type="spellStart"/>
      <w:r w:rsidRPr="00781369">
        <w:rPr>
          <w:rFonts w:cs="Arial"/>
          <w:sz w:val="18"/>
          <w:szCs w:val="18"/>
        </w:rPr>
        <w:t>European</w:t>
      </w:r>
      <w:proofErr w:type="spellEnd"/>
      <w:r w:rsidRPr="00781369">
        <w:rPr>
          <w:rFonts w:cs="Arial"/>
          <w:sz w:val="18"/>
          <w:szCs w:val="18"/>
        </w:rPr>
        <w:t xml:space="preserve"> </w:t>
      </w:r>
      <w:proofErr w:type="spellStart"/>
      <w:r w:rsidRPr="00781369">
        <w:rPr>
          <w:rFonts w:cs="Arial"/>
          <w:sz w:val="18"/>
          <w:szCs w:val="18"/>
        </w:rPr>
        <w:t>Commission</w:t>
      </w:r>
      <w:proofErr w:type="spellEnd"/>
      <w:r w:rsidRPr="00781369">
        <w:rPr>
          <w:rFonts w:cs="Arial"/>
          <w:sz w:val="18"/>
          <w:szCs w:val="18"/>
        </w:rPr>
        <w:t xml:space="preserve"> (2019), </w:t>
      </w:r>
      <w:proofErr w:type="spellStart"/>
      <w:r w:rsidRPr="00781369">
        <w:rPr>
          <w:rFonts w:cs="Arial"/>
          <w:sz w:val="18"/>
          <w:szCs w:val="18"/>
        </w:rPr>
        <w:t>Regional</w:t>
      </w:r>
      <w:proofErr w:type="spellEnd"/>
      <w:r w:rsidRPr="00781369">
        <w:rPr>
          <w:rFonts w:cs="Arial"/>
          <w:sz w:val="18"/>
          <w:szCs w:val="18"/>
        </w:rPr>
        <w:t xml:space="preserve"> </w:t>
      </w:r>
      <w:proofErr w:type="spellStart"/>
      <w:r w:rsidRPr="00781369">
        <w:rPr>
          <w:rFonts w:cs="Arial"/>
          <w:sz w:val="18"/>
          <w:szCs w:val="18"/>
        </w:rPr>
        <w:t>Innovation</w:t>
      </w:r>
      <w:proofErr w:type="spellEnd"/>
      <w:r w:rsidRPr="00781369">
        <w:rPr>
          <w:rFonts w:cs="Arial"/>
          <w:sz w:val="18"/>
          <w:szCs w:val="18"/>
        </w:rPr>
        <w:t xml:space="preserve"> </w:t>
      </w:r>
      <w:proofErr w:type="spellStart"/>
      <w:r w:rsidRPr="00781369">
        <w:rPr>
          <w:rFonts w:cs="Arial"/>
          <w:sz w:val="18"/>
          <w:szCs w:val="18"/>
        </w:rPr>
        <w:t>Scoreboard</w:t>
      </w:r>
      <w:proofErr w:type="spellEnd"/>
      <w:r w:rsidRPr="00781369">
        <w:rPr>
          <w:rFonts w:cs="Arial"/>
          <w:sz w:val="18"/>
          <w:szCs w:val="18"/>
        </w:rPr>
        <w:t xml:space="preserve"> 2019. Lussemburgo: giugno 2019.</w:t>
      </w:r>
    </w:p>
  </w:footnote>
  <w:footnote w:id="3">
    <w:p w:rsidR="00203F24" w:rsidRPr="00CC0245" w:rsidRDefault="00203F24" w:rsidP="003D2B50">
      <w:pPr>
        <w:pStyle w:val="Testonotaapidipagina"/>
        <w:rPr>
          <w:lang w:val="it-CH"/>
        </w:rPr>
      </w:pPr>
      <w:r w:rsidRPr="00273B64">
        <w:rPr>
          <w:rStyle w:val="Rimandonotaapidipagina"/>
        </w:rPr>
        <w:footnoteRef/>
      </w:r>
      <w:r w:rsidRPr="00273B64">
        <w:t xml:space="preserve"> </w:t>
      </w:r>
      <w:proofErr w:type="gramStart"/>
      <w:r w:rsidRPr="00273B64">
        <w:rPr>
          <w:lang w:val="it-CH"/>
        </w:rPr>
        <w:t>B,S</w:t>
      </w:r>
      <w:proofErr w:type="gramEnd"/>
      <w:r w:rsidRPr="00273B64">
        <w:rPr>
          <w:lang w:val="it-CH"/>
        </w:rPr>
        <w:t>,</w:t>
      </w:r>
      <w:r>
        <w:rPr>
          <w:lang w:val="it-CH"/>
        </w:rPr>
        <w:t xml:space="preserve">S. </w:t>
      </w:r>
      <w:proofErr w:type="spellStart"/>
      <w:r>
        <w:rPr>
          <w:lang w:val="it-CH"/>
        </w:rPr>
        <w:t>Volkswirtschafliche</w:t>
      </w:r>
      <w:proofErr w:type="spellEnd"/>
      <w:r>
        <w:rPr>
          <w:lang w:val="it-CH"/>
        </w:rPr>
        <w:t xml:space="preserve"> </w:t>
      </w:r>
      <w:proofErr w:type="spellStart"/>
      <w:r>
        <w:rPr>
          <w:lang w:val="it-CH"/>
        </w:rPr>
        <w:t>Beratung</w:t>
      </w:r>
      <w:proofErr w:type="spellEnd"/>
      <w:r>
        <w:rPr>
          <w:lang w:val="it-CH"/>
        </w:rPr>
        <w:t xml:space="preserve"> (2018). </w:t>
      </w:r>
      <w:proofErr w:type="spellStart"/>
      <w:r w:rsidRPr="008C403A">
        <w:rPr>
          <w:lang w:val="fr-CH"/>
        </w:rPr>
        <w:t>Standortbestimmung</w:t>
      </w:r>
      <w:proofErr w:type="spellEnd"/>
      <w:r w:rsidRPr="008C403A">
        <w:rPr>
          <w:lang w:val="fr-CH"/>
        </w:rPr>
        <w:t xml:space="preserve"> </w:t>
      </w:r>
      <w:proofErr w:type="spellStart"/>
      <w:r w:rsidRPr="008C403A">
        <w:rPr>
          <w:lang w:val="fr-CH"/>
        </w:rPr>
        <w:t>und</w:t>
      </w:r>
      <w:proofErr w:type="spellEnd"/>
      <w:r w:rsidRPr="008C403A">
        <w:rPr>
          <w:lang w:val="fr-CH"/>
        </w:rPr>
        <w:t xml:space="preserve"> </w:t>
      </w:r>
      <w:proofErr w:type="spellStart"/>
      <w:r w:rsidRPr="008C403A">
        <w:rPr>
          <w:lang w:val="fr-CH"/>
        </w:rPr>
        <w:t>Überprüfung</w:t>
      </w:r>
      <w:proofErr w:type="spellEnd"/>
      <w:r w:rsidRPr="008C403A">
        <w:rPr>
          <w:lang w:val="fr-CH"/>
        </w:rPr>
        <w:t xml:space="preserve"> des </w:t>
      </w:r>
      <w:proofErr w:type="spellStart"/>
      <w:r w:rsidRPr="008C403A">
        <w:rPr>
          <w:lang w:val="fr-CH"/>
        </w:rPr>
        <w:t>Konzepts</w:t>
      </w:r>
      <w:proofErr w:type="spellEnd"/>
      <w:r w:rsidRPr="008C403A">
        <w:rPr>
          <w:lang w:val="fr-CH"/>
        </w:rPr>
        <w:t xml:space="preserve"> der RIS 2017. </w:t>
      </w:r>
      <w:proofErr w:type="spellStart"/>
      <w:r>
        <w:rPr>
          <w:lang w:val="it-CH"/>
        </w:rPr>
        <w:t>Bericht</w:t>
      </w:r>
      <w:proofErr w:type="spellEnd"/>
      <w:r>
        <w:rPr>
          <w:lang w:val="it-CH"/>
        </w:rPr>
        <w:t xml:space="preserve"> </w:t>
      </w:r>
      <w:proofErr w:type="spellStart"/>
      <w:r>
        <w:rPr>
          <w:lang w:val="it-CH"/>
        </w:rPr>
        <w:t>zuhanden</w:t>
      </w:r>
      <w:proofErr w:type="spellEnd"/>
      <w:r>
        <w:rPr>
          <w:lang w:val="it-CH"/>
        </w:rPr>
        <w:t xml:space="preserve"> </w:t>
      </w:r>
      <w:proofErr w:type="spellStart"/>
      <w:r>
        <w:rPr>
          <w:lang w:val="it-CH"/>
        </w:rPr>
        <w:t>des</w:t>
      </w:r>
      <w:proofErr w:type="spellEnd"/>
      <w:r>
        <w:rPr>
          <w:lang w:val="it-CH"/>
        </w:rPr>
        <w:t xml:space="preserve"> SECO, pag. 20.</w:t>
      </w:r>
    </w:p>
  </w:footnote>
  <w:footnote w:id="4">
    <w:p w:rsidR="00203F24" w:rsidRPr="00101F4C" w:rsidRDefault="00203F24" w:rsidP="003D2B50">
      <w:pPr>
        <w:pStyle w:val="Testonotaapidipagina"/>
        <w:rPr>
          <w:rFonts w:cs="Arial"/>
          <w:sz w:val="18"/>
          <w:szCs w:val="18"/>
          <w:lang w:val="it-CH"/>
        </w:rPr>
      </w:pPr>
      <w:bookmarkStart w:id="26" w:name="_Hlk33620760"/>
      <w:r w:rsidRPr="00101F4C">
        <w:rPr>
          <w:rStyle w:val="Rimandonotaapidipagina"/>
          <w:rFonts w:cs="Arial"/>
          <w:sz w:val="18"/>
          <w:szCs w:val="18"/>
        </w:rPr>
        <w:footnoteRef/>
      </w:r>
      <w:r w:rsidRPr="00101F4C">
        <w:rPr>
          <w:rStyle w:val="Rimandonotaapidipagina"/>
          <w:rFonts w:cs="Arial"/>
          <w:sz w:val="18"/>
          <w:szCs w:val="18"/>
        </w:rPr>
        <w:t xml:space="preserve"> </w:t>
      </w:r>
      <w:proofErr w:type="spellStart"/>
      <w:r w:rsidRPr="00101F4C">
        <w:rPr>
          <w:rStyle w:val="Rimandonotaapidipagina"/>
        </w:rPr>
        <w:t>Horizon</w:t>
      </w:r>
      <w:proofErr w:type="spellEnd"/>
      <w:r w:rsidRPr="00101F4C">
        <w:rPr>
          <w:rStyle w:val="Rimandonotaapidipagina"/>
        </w:rPr>
        <w:t xml:space="preserve"> 2020 › Programma Quadro europeo per la Ricerca e l’Innovazione (2014 – 2020)</w:t>
      </w:r>
    </w:p>
    <w:bookmarkEnd w:id="26"/>
  </w:footnote>
  <w:footnote w:id="5">
    <w:p w:rsidR="00203F24" w:rsidRPr="00781369" w:rsidRDefault="00203F24" w:rsidP="003D2B50">
      <w:pPr>
        <w:pStyle w:val="Testonotaapidipagina"/>
        <w:rPr>
          <w:rFonts w:cs="Arial"/>
          <w:sz w:val="18"/>
          <w:szCs w:val="18"/>
        </w:rPr>
      </w:pPr>
      <w:r w:rsidRPr="00781369">
        <w:rPr>
          <w:rStyle w:val="Rimandonotaapidipagina"/>
          <w:rFonts w:cs="Arial"/>
          <w:sz w:val="18"/>
          <w:szCs w:val="18"/>
        </w:rPr>
        <w:footnoteRef/>
      </w:r>
      <w:r w:rsidRPr="00781369">
        <w:rPr>
          <w:rFonts w:cs="Arial"/>
          <w:sz w:val="18"/>
          <w:szCs w:val="18"/>
        </w:rPr>
        <w:t xml:space="preserve"> Nel Regolamento, il Consiglio di Stato specifica che il programma deve essere elaborato coordinandosi con le associazioni economiche e gli istituti universitari, e che sia presentato al Gran Consiglio in occasione del rinnovo del credito quadro</w:t>
      </w:r>
    </w:p>
  </w:footnote>
  <w:footnote w:id="6">
    <w:p w:rsidR="00203F24" w:rsidRPr="00781369" w:rsidRDefault="00203F24" w:rsidP="003D2B50">
      <w:pPr>
        <w:pStyle w:val="Testonotaapidipagina"/>
        <w:rPr>
          <w:sz w:val="18"/>
          <w:szCs w:val="18"/>
        </w:rPr>
      </w:pPr>
      <w:r w:rsidRPr="00781369">
        <w:rPr>
          <w:rStyle w:val="Rimandonotaapidipagina"/>
          <w:rFonts w:cs="Arial"/>
          <w:sz w:val="18"/>
          <w:szCs w:val="18"/>
        </w:rPr>
        <w:footnoteRef/>
      </w:r>
      <w:r w:rsidRPr="00781369">
        <w:rPr>
          <w:rFonts w:cs="Arial"/>
          <w:sz w:val="18"/>
          <w:szCs w:val="18"/>
        </w:rPr>
        <w:t xml:space="preserve"> BAK Basel </w:t>
      </w:r>
      <w:proofErr w:type="spellStart"/>
      <w:r w:rsidRPr="00781369">
        <w:rPr>
          <w:rFonts w:cs="Arial"/>
          <w:sz w:val="18"/>
          <w:szCs w:val="18"/>
        </w:rPr>
        <w:t>Economics</w:t>
      </w:r>
      <w:proofErr w:type="spellEnd"/>
      <w:r w:rsidRPr="00781369">
        <w:rPr>
          <w:rFonts w:cs="Arial"/>
          <w:sz w:val="18"/>
          <w:szCs w:val="18"/>
        </w:rPr>
        <w:t xml:space="preserve"> (2019) Lo sviluppo economico del Canton Ticino nel confronto (inter)nazionale. Basilea: marzo 2019</w:t>
      </w:r>
      <w:r w:rsidRPr="00781369">
        <w:rPr>
          <w:rFonts w:cs="Arial"/>
          <w:i/>
          <w:sz w:val="18"/>
          <w:szCs w:val="18"/>
        </w:rPr>
        <w:t>.</w:t>
      </w:r>
    </w:p>
  </w:footnote>
  <w:footnote w:id="7">
    <w:p w:rsidR="00203F24" w:rsidRPr="00391D85" w:rsidRDefault="00203F24" w:rsidP="003D2B50">
      <w:pPr>
        <w:pStyle w:val="Testonotaapidipagina"/>
        <w:rPr>
          <w:lang w:val="it-CH"/>
        </w:rPr>
      </w:pPr>
      <w:r>
        <w:rPr>
          <w:rStyle w:val="Rimandonotaapidipagina"/>
        </w:rPr>
        <w:footnoteRef/>
      </w:r>
      <w:r>
        <w:t xml:space="preserve"> Stima sulla base dello studio BAK Basel, dati aggiornati al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2C733B1"/>
    <w:multiLevelType w:val="hybridMultilevel"/>
    <w:tmpl w:val="4A24B6A6"/>
    <w:lvl w:ilvl="0" w:tplc="73065178">
      <w:start w:val="1"/>
      <w:numFmt w:val="upperLetter"/>
      <w:lvlText w:val="%1)"/>
      <w:lvlJc w:val="left"/>
      <w:pPr>
        <w:ind w:left="720" w:hanging="72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 w15:restartNumberingAfterBreak="0">
    <w:nsid w:val="06966772"/>
    <w:multiLevelType w:val="hybridMultilevel"/>
    <w:tmpl w:val="D7AC63A4"/>
    <w:lvl w:ilvl="0" w:tplc="08100017">
      <w:start w:val="3"/>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15:restartNumberingAfterBreak="0">
    <w:nsid w:val="085B3999"/>
    <w:multiLevelType w:val="multilevel"/>
    <w:tmpl w:val="FA5413FA"/>
    <w:lvl w:ilvl="0">
      <w:start w:val="3"/>
      <w:numFmt w:val="decimal"/>
      <w:lvlText w:val="%1"/>
      <w:lvlJc w:val="left"/>
      <w:pPr>
        <w:ind w:left="360" w:hanging="360"/>
      </w:pPr>
      <w:rPr>
        <w:rFonts w:hint="default"/>
      </w:rPr>
    </w:lvl>
    <w:lvl w:ilvl="1">
      <w:start w:val="1"/>
      <w:numFmt w:val="decimal"/>
      <w:lvlText w:val="%1.%2"/>
      <w:lvlJc w:val="left"/>
      <w:pPr>
        <w:ind w:left="844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5" w15:restartNumberingAfterBreak="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pStyle w:val="Stile2"/>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pStyle w:val="RAPPORTO"/>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6"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0DA93D73"/>
    <w:multiLevelType w:val="multilevel"/>
    <w:tmpl w:val="6128AC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9" w15:restartNumberingAfterBreak="0">
    <w:nsid w:val="10DD31AF"/>
    <w:multiLevelType w:val="hybridMultilevel"/>
    <w:tmpl w:val="9A1A3BD6"/>
    <w:lvl w:ilvl="0" w:tplc="1AFA52BA">
      <w:start w:val="1"/>
      <w:numFmt w:val="lowerLetter"/>
      <w:lvlText w:val="%1)"/>
      <w:lvlJc w:val="left"/>
      <w:pPr>
        <w:ind w:left="720" w:hanging="360"/>
      </w:pPr>
      <w:rPr>
        <w:rFonts w:hint="default"/>
        <w:sz w:val="24"/>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13EA2305"/>
    <w:multiLevelType w:val="hybridMultilevel"/>
    <w:tmpl w:val="3EA48F4E"/>
    <w:lvl w:ilvl="0" w:tplc="08100001">
      <w:start w:val="1"/>
      <w:numFmt w:val="bullet"/>
      <w:lvlText w:val=""/>
      <w:lvlJc w:val="left"/>
      <w:pPr>
        <w:ind w:left="1440" w:hanging="360"/>
      </w:pPr>
      <w:rPr>
        <w:rFonts w:ascii="Symbol" w:hAnsi="Symbo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15:restartNumberingAfterBreak="0">
    <w:nsid w:val="17583865"/>
    <w:multiLevelType w:val="hybridMultilevel"/>
    <w:tmpl w:val="8FC61B92"/>
    <w:lvl w:ilvl="0" w:tplc="9EE669FC">
      <w:start w:val="1"/>
      <w:numFmt w:val="bullet"/>
      <w:lvlText w:val="-"/>
      <w:lvlJc w:val="left"/>
      <w:pPr>
        <w:ind w:left="720" w:hanging="360"/>
      </w:pPr>
      <w:rPr>
        <w:rFonts w:ascii="Arial" w:hAnsi="Arial" w:cs="Times New Roman"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12" w15:restartNumberingAfterBreak="0">
    <w:nsid w:val="18F76079"/>
    <w:multiLevelType w:val="hybridMultilevel"/>
    <w:tmpl w:val="4B542654"/>
    <w:lvl w:ilvl="0" w:tplc="08100001">
      <w:start w:val="1"/>
      <w:numFmt w:val="bullet"/>
      <w:lvlText w:val=""/>
      <w:lvlJc w:val="left"/>
      <w:pPr>
        <w:ind w:left="720" w:hanging="360"/>
      </w:pPr>
      <w:rPr>
        <w:rFonts w:ascii="Symbol" w:hAnsi="Symbol" w:hint="default"/>
      </w:rPr>
    </w:lvl>
    <w:lvl w:ilvl="1" w:tplc="C8FC0BF6">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14" w15:restartNumberingAfterBreak="0">
    <w:nsid w:val="23A65AD7"/>
    <w:multiLevelType w:val="hybridMultilevel"/>
    <w:tmpl w:val="D33882EA"/>
    <w:lvl w:ilvl="0" w:tplc="34B21A1A">
      <w:start w:val="4"/>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27EE0595"/>
    <w:multiLevelType w:val="hybridMultilevel"/>
    <w:tmpl w:val="9434010A"/>
    <w:lvl w:ilvl="0" w:tplc="52784268">
      <w:start w:val="1"/>
      <w:numFmt w:val="decimal"/>
      <w:lvlText w:val="%1."/>
      <w:lvlJc w:val="left"/>
      <w:pPr>
        <w:ind w:left="2137" w:hanging="435"/>
      </w:pPr>
      <w:rPr>
        <w:rFonts w:hint="default"/>
      </w:r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8" w15:restartNumberingAfterBreak="0">
    <w:nsid w:val="2C382ABC"/>
    <w:multiLevelType w:val="hybridMultilevel"/>
    <w:tmpl w:val="48A2D9AC"/>
    <w:lvl w:ilvl="0" w:tplc="0810000F">
      <w:start w:val="1"/>
      <w:numFmt w:val="decimal"/>
      <w:lvlText w:val="%1."/>
      <w:lvlJc w:val="left"/>
      <w:pPr>
        <w:ind w:left="720" w:hanging="360"/>
      </w:pPr>
      <w:rPr>
        <w:rFont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2FC731D7"/>
    <w:multiLevelType w:val="hybridMultilevel"/>
    <w:tmpl w:val="904C1528"/>
    <w:lvl w:ilvl="0" w:tplc="9D787ABA">
      <w:start w:val="20"/>
      <w:numFmt w:val="bullet"/>
      <w:lvlText w:val="-"/>
      <w:lvlJc w:val="left"/>
      <w:pPr>
        <w:ind w:left="720" w:hanging="360"/>
      </w:pPr>
      <w:rPr>
        <w:rFonts w:ascii="Calibri" w:eastAsia="Calibri" w:hAnsi="Calibri"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15:restartNumberingAfterBreak="0">
    <w:nsid w:val="33EE61CE"/>
    <w:multiLevelType w:val="hybridMultilevel"/>
    <w:tmpl w:val="E402E234"/>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1"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22" w15:restartNumberingAfterBreak="0">
    <w:nsid w:val="3EFD3C4C"/>
    <w:multiLevelType w:val="hybridMultilevel"/>
    <w:tmpl w:val="C3764016"/>
    <w:lvl w:ilvl="0" w:tplc="ED404CC8">
      <w:start w:val="1"/>
      <w:numFmt w:val="decimal"/>
      <w:lvlText w:val="%1)"/>
      <w:lvlJc w:val="left"/>
      <w:pPr>
        <w:ind w:left="360" w:hanging="360"/>
      </w:pPr>
      <w:rPr>
        <w:rFonts w:hint="default"/>
        <w:b w:val="0"/>
        <w:bCs/>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3" w15:restartNumberingAfterBreak="0">
    <w:nsid w:val="41DA03B0"/>
    <w:multiLevelType w:val="hybridMultilevel"/>
    <w:tmpl w:val="3AB21BBA"/>
    <w:lvl w:ilvl="0" w:tplc="F372EFD4">
      <w:numFmt w:val="bullet"/>
      <w:lvlText w:val="-"/>
      <w:lvlJc w:val="left"/>
      <w:pPr>
        <w:ind w:left="720" w:hanging="360"/>
      </w:pPr>
      <w:rPr>
        <w:rFonts w:ascii="Calibri" w:eastAsia="Calibri" w:hAnsi="Calibri" w:cs="Times New Roman"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24"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25"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26" w15:restartNumberingAfterBreak="0">
    <w:nsid w:val="44BF193D"/>
    <w:multiLevelType w:val="multilevel"/>
    <w:tmpl w:val="DA4892F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28"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9"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30"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31" w15:restartNumberingAfterBreak="0">
    <w:nsid w:val="4D061C21"/>
    <w:multiLevelType w:val="hybridMultilevel"/>
    <w:tmpl w:val="99584B04"/>
    <w:lvl w:ilvl="0" w:tplc="C8FC0BF6">
      <w:numFmt w:val="bullet"/>
      <w:lvlText w:val="•"/>
      <w:lvlJc w:val="left"/>
      <w:pPr>
        <w:ind w:left="720" w:hanging="360"/>
      </w:pPr>
      <w:rPr>
        <w:rFonts w:ascii="Arial" w:eastAsia="Times New Roman" w:hAnsi="Arial" w:cs="Arial" w:hint="default"/>
      </w:rPr>
    </w:lvl>
    <w:lvl w:ilvl="1" w:tplc="C8FC0BF6">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2" w15:restartNumberingAfterBreak="0">
    <w:nsid w:val="4E8C189F"/>
    <w:multiLevelType w:val="multilevel"/>
    <w:tmpl w:val="8E140F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B6A2E82"/>
    <w:multiLevelType w:val="hybridMultilevel"/>
    <w:tmpl w:val="8F788868"/>
    <w:lvl w:ilvl="0" w:tplc="95CC3860">
      <w:start w:val="1"/>
      <w:numFmt w:val="decimal"/>
      <w:lvlText w:val="%1)"/>
      <w:lvlJc w:val="left"/>
      <w:pPr>
        <w:ind w:left="360" w:hanging="360"/>
      </w:pPr>
      <w:rPr>
        <w:rFonts w:hint="default"/>
        <w:b/>
        <w:bCs/>
      </w:rPr>
    </w:lvl>
    <w:lvl w:ilvl="1" w:tplc="08100019" w:tentative="1">
      <w:start w:val="1"/>
      <w:numFmt w:val="lowerLetter"/>
      <w:lvlText w:val="%2."/>
      <w:lvlJc w:val="left"/>
      <w:pPr>
        <w:ind w:left="1299" w:hanging="360"/>
      </w:pPr>
    </w:lvl>
    <w:lvl w:ilvl="2" w:tplc="0810001B" w:tentative="1">
      <w:start w:val="1"/>
      <w:numFmt w:val="lowerRoman"/>
      <w:lvlText w:val="%3."/>
      <w:lvlJc w:val="right"/>
      <w:pPr>
        <w:ind w:left="2019" w:hanging="180"/>
      </w:pPr>
    </w:lvl>
    <w:lvl w:ilvl="3" w:tplc="0810000F" w:tentative="1">
      <w:start w:val="1"/>
      <w:numFmt w:val="decimal"/>
      <w:lvlText w:val="%4."/>
      <w:lvlJc w:val="left"/>
      <w:pPr>
        <w:ind w:left="2739" w:hanging="360"/>
      </w:pPr>
    </w:lvl>
    <w:lvl w:ilvl="4" w:tplc="08100019" w:tentative="1">
      <w:start w:val="1"/>
      <w:numFmt w:val="lowerLetter"/>
      <w:lvlText w:val="%5."/>
      <w:lvlJc w:val="left"/>
      <w:pPr>
        <w:ind w:left="3459" w:hanging="360"/>
      </w:pPr>
    </w:lvl>
    <w:lvl w:ilvl="5" w:tplc="0810001B" w:tentative="1">
      <w:start w:val="1"/>
      <w:numFmt w:val="lowerRoman"/>
      <w:lvlText w:val="%6."/>
      <w:lvlJc w:val="right"/>
      <w:pPr>
        <w:ind w:left="4179" w:hanging="180"/>
      </w:pPr>
    </w:lvl>
    <w:lvl w:ilvl="6" w:tplc="0810000F" w:tentative="1">
      <w:start w:val="1"/>
      <w:numFmt w:val="decimal"/>
      <w:lvlText w:val="%7."/>
      <w:lvlJc w:val="left"/>
      <w:pPr>
        <w:ind w:left="4899" w:hanging="360"/>
      </w:pPr>
    </w:lvl>
    <w:lvl w:ilvl="7" w:tplc="08100019" w:tentative="1">
      <w:start w:val="1"/>
      <w:numFmt w:val="lowerLetter"/>
      <w:lvlText w:val="%8."/>
      <w:lvlJc w:val="left"/>
      <w:pPr>
        <w:ind w:left="5619" w:hanging="360"/>
      </w:pPr>
    </w:lvl>
    <w:lvl w:ilvl="8" w:tplc="0810001B" w:tentative="1">
      <w:start w:val="1"/>
      <w:numFmt w:val="lowerRoman"/>
      <w:lvlText w:val="%9."/>
      <w:lvlJc w:val="right"/>
      <w:pPr>
        <w:ind w:left="6339" w:hanging="180"/>
      </w:pPr>
    </w:lvl>
  </w:abstractNum>
  <w:abstractNum w:abstractNumId="34"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35" w15:restartNumberingAfterBreak="0">
    <w:nsid w:val="655A0275"/>
    <w:multiLevelType w:val="hybridMultilevel"/>
    <w:tmpl w:val="B2981F8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6"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1CE442C"/>
    <w:multiLevelType w:val="hybridMultilevel"/>
    <w:tmpl w:val="1534E4E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8" w15:restartNumberingAfterBreak="0">
    <w:nsid w:val="742048AA"/>
    <w:multiLevelType w:val="multilevel"/>
    <w:tmpl w:val="C8C85DF8"/>
    <w:lvl w:ilvl="0">
      <w:start w:val="4"/>
      <w:numFmt w:val="decimal"/>
      <w:lvlText w:val="%1"/>
      <w:lvlJc w:val="left"/>
      <w:pPr>
        <w:ind w:left="360" w:hanging="360"/>
      </w:pPr>
      <w:rPr>
        <w:rFonts w:hint="default"/>
      </w:rPr>
    </w:lvl>
    <w:lvl w:ilvl="1">
      <w:start w:val="1"/>
      <w:numFmt w:val="decimal"/>
      <w:lvlText w:val="%1.%2"/>
      <w:lvlJc w:val="left"/>
      <w:pPr>
        <w:ind w:left="390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0" w15:restartNumberingAfterBreak="0">
    <w:nsid w:val="7C4007D4"/>
    <w:multiLevelType w:val="hybridMultilevel"/>
    <w:tmpl w:val="EF2035D4"/>
    <w:lvl w:ilvl="0" w:tplc="13560DBA">
      <w:start w:val="1"/>
      <w:numFmt w:val="bullet"/>
      <w:lvlText w:val="–"/>
      <w:lvlJc w:val="left"/>
      <w:pPr>
        <w:ind w:left="720" w:hanging="360"/>
      </w:pPr>
      <w:rPr>
        <w:rFonts w:ascii="Arial" w:hAnsi="Aria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36"/>
  </w:num>
  <w:num w:numId="2">
    <w:abstractNumId w:val="36"/>
  </w:num>
  <w:num w:numId="3">
    <w:abstractNumId w:val="39"/>
  </w:num>
  <w:num w:numId="4">
    <w:abstractNumId w:val="5"/>
  </w:num>
  <w:num w:numId="5">
    <w:abstractNumId w:val="17"/>
  </w:num>
  <w:num w:numId="6">
    <w:abstractNumId w:val="16"/>
  </w:num>
  <w:num w:numId="7">
    <w:abstractNumId w:val="6"/>
  </w:num>
  <w:num w:numId="8">
    <w:abstractNumId w:val="28"/>
  </w:num>
  <w:num w:numId="9">
    <w:abstractNumId w:val="13"/>
  </w:num>
  <w:num w:numId="10">
    <w:abstractNumId w:val="24"/>
  </w:num>
  <w:num w:numId="11">
    <w:abstractNumId w:val="25"/>
  </w:num>
  <w:num w:numId="12">
    <w:abstractNumId w:val="29"/>
  </w:num>
  <w:num w:numId="13">
    <w:abstractNumId w:val="8"/>
  </w:num>
  <w:num w:numId="14">
    <w:abstractNumId w:val="27"/>
  </w:num>
  <w:num w:numId="15">
    <w:abstractNumId w:val="34"/>
  </w:num>
  <w:num w:numId="16">
    <w:abstractNumId w:val="0"/>
  </w:num>
  <w:num w:numId="17">
    <w:abstractNumId w:val="30"/>
  </w:num>
  <w:num w:numId="18">
    <w:abstractNumId w:val="4"/>
  </w:num>
  <w:num w:numId="19">
    <w:abstractNumId w:val="21"/>
  </w:num>
  <w:num w:numId="20">
    <w:abstractNumId w:val="15"/>
  </w:num>
  <w:num w:numId="21">
    <w:abstractNumId w:val="20"/>
  </w:num>
  <w:num w:numId="22">
    <w:abstractNumId w:val="9"/>
  </w:num>
  <w:num w:numId="23">
    <w:abstractNumId w:val="3"/>
  </w:num>
  <w:num w:numId="24">
    <w:abstractNumId w:val="38"/>
  </w:num>
  <w:num w:numId="25">
    <w:abstractNumId w:val="7"/>
  </w:num>
  <w:num w:numId="26">
    <w:abstractNumId w:val="11"/>
  </w:num>
  <w:num w:numId="27">
    <w:abstractNumId w:val="12"/>
  </w:num>
  <w:num w:numId="28">
    <w:abstractNumId w:val="37"/>
  </w:num>
  <w:num w:numId="29">
    <w:abstractNumId w:val="20"/>
  </w:num>
  <w:num w:numId="30">
    <w:abstractNumId w:val="2"/>
  </w:num>
  <w:num w:numId="31">
    <w:abstractNumId w:val="23"/>
  </w:num>
  <w:num w:numId="32">
    <w:abstractNumId w:val="19"/>
  </w:num>
  <w:num w:numId="33">
    <w:abstractNumId w:val="33"/>
  </w:num>
  <w:num w:numId="34">
    <w:abstractNumId w:val="1"/>
  </w:num>
  <w:num w:numId="35">
    <w:abstractNumId w:val="22"/>
  </w:num>
  <w:num w:numId="36">
    <w:abstractNumId w:val="14"/>
  </w:num>
  <w:num w:numId="37">
    <w:abstractNumId w:val="26"/>
  </w:num>
  <w:num w:numId="38">
    <w:abstractNumId w:val="32"/>
  </w:num>
  <w:num w:numId="39">
    <w:abstractNumId w:val="35"/>
  </w:num>
  <w:num w:numId="40">
    <w:abstractNumId w:val="18"/>
  </w:num>
  <w:num w:numId="41">
    <w:abstractNumId w:val="10"/>
  </w:num>
  <w:num w:numId="42">
    <w:abstractNumId w:val="40"/>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0B2940"/>
    <w:rsid w:val="00146B44"/>
    <w:rsid w:val="001C138E"/>
    <w:rsid w:val="00203F24"/>
    <w:rsid w:val="002B5656"/>
    <w:rsid w:val="002E5E40"/>
    <w:rsid w:val="003B7935"/>
    <w:rsid w:val="003D2B50"/>
    <w:rsid w:val="00467BDE"/>
    <w:rsid w:val="0052425A"/>
    <w:rsid w:val="0057039F"/>
    <w:rsid w:val="00586A8D"/>
    <w:rsid w:val="005F4380"/>
    <w:rsid w:val="00620DBC"/>
    <w:rsid w:val="00646F6C"/>
    <w:rsid w:val="006D7A3B"/>
    <w:rsid w:val="007B5462"/>
    <w:rsid w:val="008034BD"/>
    <w:rsid w:val="00876352"/>
    <w:rsid w:val="008B4137"/>
    <w:rsid w:val="008C767A"/>
    <w:rsid w:val="008E77C6"/>
    <w:rsid w:val="009770BB"/>
    <w:rsid w:val="009E008D"/>
    <w:rsid w:val="009E7713"/>
    <w:rsid w:val="00A5465F"/>
    <w:rsid w:val="00A77678"/>
    <w:rsid w:val="00B80385"/>
    <w:rsid w:val="00BC4C95"/>
    <w:rsid w:val="00BD5944"/>
    <w:rsid w:val="00BF0733"/>
    <w:rsid w:val="00CB127C"/>
    <w:rsid w:val="00CF6858"/>
    <w:rsid w:val="00D05E3A"/>
    <w:rsid w:val="00D377B5"/>
    <w:rsid w:val="00D37821"/>
    <w:rsid w:val="00D93B31"/>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4332"/>
  <w15:docId w15:val="{B08877E7-D7B6-4661-9251-734FF46A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aliases w:val="H Titolo 1"/>
    <w:basedOn w:val="Normale"/>
    <w:next w:val="Normale"/>
    <w:link w:val="Titolo1Carattere"/>
    <w:autoRedefine/>
    <w:qFormat/>
    <w:rsid w:val="002B5656"/>
    <w:pPr>
      <w:keepNext/>
      <w:tabs>
        <w:tab w:val="left" w:pos="567"/>
      </w:tabs>
      <w:spacing w:after="120"/>
      <w:ind w:left="431" w:hanging="431"/>
      <w:outlineLvl w:val="0"/>
    </w:pPr>
    <w:rPr>
      <w:b/>
      <w:caps/>
      <w:szCs w:val="24"/>
      <w:lang w:val="it-IT" w:eastAsia="it-IT"/>
    </w:rPr>
  </w:style>
  <w:style w:type="paragraph" w:styleId="Titolo2">
    <w:name w:val="heading 2"/>
    <w:basedOn w:val="Normale"/>
    <w:next w:val="Normale"/>
    <w:link w:val="Titolo2Carattere"/>
    <w:autoRedefine/>
    <w:qFormat/>
    <w:rsid w:val="002B5656"/>
    <w:pPr>
      <w:keepNext/>
      <w:widowControl w:val="0"/>
      <w:tabs>
        <w:tab w:val="left" w:pos="567"/>
      </w:tabs>
      <w:adjustRightInd w:val="0"/>
      <w:spacing w:after="120"/>
      <w:ind w:left="567" w:hanging="567"/>
      <w:textAlignment w:val="baseline"/>
      <w:outlineLvl w:val="1"/>
    </w:pPr>
    <w:rPr>
      <w:b/>
      <w:iCs/>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aliases w:val="H Titolo 4"/>
    <w:basedOn w:val="Normale"/>
    <w:next w:val="Normale"/>
    <w:link w:val="Titolo4Carattere"/>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paragraph" w:styleId="Titolo6">
    <w:name w:val="heading 6"/>
    <w:basedOn w:val="Normale"/>
    <w:next w:val="Normale"/>
    <w:link w:val="Titolo6Carattere"/>
    <w:qFormat/>
    <w:rsid w:val="003D2B50"/>
    <w:pPr>
      <w:keepNext/>
      <w:tabs>
        <w:tab w:val="num" w:pos="3960"/>
      </w:tabs>
      <w:ind w:left="1152" w:hanging="1152"/>
      <w:jc w:val="left"/>
      <w:outlineLvl w:val="5"/>
    </w:pPr>
    <w:rPr>
      <w:rFonts w:eastAsia="Times New Roman" w:cs="Times New Roman"/>
      <w:b/>
      <w:sz w:val="20"/>
      <w:szCs w:val="20"/>
      <w:lang w:val="it-IT" w:eastAsia="it-IT"/>
    </w:rPr>
  </w:style>
  <w:style w:type="paragraph" w:styleId="Titolo7">
    <w:name w:val="heading 7"/>
    <w:basedOn w:val="Normale"/>
    <w:next w:val="Normale"/>
    <w:link w:val="Titolo7Carattere"/>
    <w:qFormat/>
    <w:rsid w:val="003D2B50"/>
    <w:pPr>
      <w:tabs>
        <w:tab w:val="num" w:pos="4680"/>
      </w:tabs>
      <w:spacing w:before="240" w:after="60"/>
      <w:ind w:left="1296" w:hanging="1296"/>
      <w:jc w:val="left"/>
      <w:outlineLvl w:val="6"/>
    </w:pPr>
    <w:rPr>
      <w:rFonts w:ascii="Times New Roman" w:eastAsia="Times New Roman" w:hAnsi="Times New Roman" w:cs="Times New Roman"/>
      <w:szCs w:val="24"/>
      <w:lang w:val="it-IT" w:eastAsia="it-IT"/>
    </w:rPr>
  </w:style>
  <w:style w:type="paragraph" w:styleId="Titolo8">
    <w:name w:val="heading 8"/>
    <w:basedOn w:val="Normale"/>
    <w:next w:val="Normale"/>
    <w:link w:val="Titolo8Carattere"/>
    <w:qFormat/>
    <w:rsid w:val="003D2B50"/>
    <w:pPr>
      <w:tabs>
        <w:tab w:val="num" w:pos="5400"/>
      </w:tabs>
      <w:spacing w:before="240" w:after="60"/>
      <w:ind w:left="1440" w:hanging="1440"/>
      <w:jc w:val="left"/>
      <w:outlineLvl w:val="7"/>
    </w:pPr>
    <w:rPr>
      <w:rFonts w:ascii="Times New Roman" w:eastAsia="Times New Roman" w:hAnsi="Times New Roman" w:cs="Times New Roman"/>
      <w:i/>
      <w:iCs/>
      <w:szCs w:val="24"/>
      <w:lang w:val="it-IT" w:eastAsia="it-IT"/>
    </w:rPr>
  </w:style>
  <w:style w:type="paragraph" w:styleId="Titolo9">
    <w:name w:val="heading 9"/>
    <w:basedOn w:val="Normale"/>
    <w:next w:val="Normale"/>
    <w:link w:val="Titolo9Carattere"/>
    <w:qFormat/>
    <w:rsid w:val="003D2B50"/>
    <w:pPr>
      <w:tabs>
        <w:tab w:val="num" w:pos="6120"/>
      </w:tabs>
      <w:spacing w:before="240" w:after="60"/>
      <w:ind w:left="1584" w:hanging="1584"/>
      <w:jc w:val="left"/>
      <w:outlineLvl w:val="8"/>
    </w:pPr>
    <w:rPr>
      <w:rFonts w:eastAsia="Times New Roman" w:cs="Arial"/>
      <w:sz w:val="22"/>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qFormat/>
    <w:rsid w:val="0052425A"/>
    <w:pPr>
      <w:spacing w:before="240"/>
    </w:pPr>
    <w:rPr>
      <w:rFonts w:eastAsia="Calibri" w:cs="Times New Roman"/>
      <w:caps/>
      <w:szCs w:val="24"/>
      <w:lang w:val="it-IT"/>
    </w:rPr>
  </w:style>
  <w:style w:type="character" w:customStyle="1" w:styleId="Titolo1Carattere">
    <w:name w:val="Titolo 1 Carattere"/>
    <w:aliases w:val="H Titolo 1 Carattere"/>
    <w:basedOn w:val="Carpredefinitoparagrafo"/>
    <w:link w:val="Titolo1"/>
    <w:rsid w:val="002B5656"/>
    <w:rPr>
      <w:rFonts w:ascii="Arial" w:hAnsi="Arial"/>
      <w:b/>
      <w:caps/>
      <w:sz w:val="24"/>
      <w:szCs w:val="24"/>
      <w:lang w:val="it-IT" w:eastAsia="it-IT"/>
    </w:rPr>
  </w:style>
  <w:style w:type="character" w:customStyle="1" w:styleId="Titolo2Carattere">
    <w:name w:val="Titolo 2 Carattere"/>
    <w:basedOn w:val="Carpredefinitoparagrafo"/>
    <w:link w:val="Titolo2"/>
    <w:rsid w:val="002B5656"/>
    <w:rPr>
      <w:rFonts w:ascii="Arial" w:hAnsi="Arial"/>
      <w:b/>
      <w:iCs/>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qFormat/>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qFormat/>
    <w:rsid w:val="00B80385"/>
    <w:pPr>
      <w:tabs>
        <w:tab w:val="left" w:pos="709"/>
        <w:tab w:val="right" w:leader="dot" w:pos="9628"/>
      </w:tabs>
      <w:spacing w:before="100"/>
      <w:ind w:left="709" w:hanging="709"/>
      <w:jc w:val="left"/>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aliases w:val="H Titolo 4 Carattere"/>
    <w:basedOn w:val="Carpredefinitoparagrafo"/>
    <w:link w:val="Titolo4"/>
    <w:rsid w:val="00076E70"/>
    <w:rPr>
      <w:rFonts w:ascii="Arial" w:eastAsiaTheme="majorEastAsia" w:hAnsi="Arial" w:cstheme="majorBidi"/>
      <w:b/>
      <w:bCs/>
      <w:iCs/>
    </w:rPr>
  </w:style>
  <w:style w:type="character" w:customStyle="1" w:styleId="Titolo5Carattere">
    <w:name w:val="Titolo 5 Carattere"/>
    <w:basedOn w:val="Carpredefinitoparagrafo"/>
    <w:link w:val="Titolo5"/>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nhideWhenUsed/>
    <w:rsid w:val="008E77C6"/>
    <w:pPr>
      <w:tabs>
        <w:tab w:val="center" w:pos="4819"/>
        <w:tab w:val="right" w:pos="9638"/>
      </w:tabs>
    </w:pPr>
  </w:style>
  <w:style w:type="character" w:customStyle="1" w:styleId="PidipaginaCarattere">
    <w:name w:val="Piè di pagina Carattere"/>
    <w:basedOn w:val="Carpredefinitoparagrafo"/>
    <w:link w:val="Pidipagina"/>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CB127C"/>
    <w:rPr>
      <w:rFonts w:ascii="Arial" w:eastAsia="Times New Roman" w:hAnsi="Arial" w:cs="Times New Roman"/>
      <w:sz w:val="20"/>
      <w:szCs w:val="20"/>
      <w:lang w:val="it-IT" w:eastAsia="it-IT"/>
    </w:rPr>
  </w:style>
  <w:style w:type="character" w:styleId="Rimandonotaapidipagina">
    <w:name w:val="footnote reference"/>
    <w:aliases w:val="Footnote symbol"/>
    <w:basedOn w:val="Carpredefinitoparagrafo"/>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5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B127C"/>
    <w:rPr>
      <w:color w:val="0000FF"/>
      <w:u w:val="single"/>
    </w:rPr>
  </w:style>
  <w:style w:type="character" w:customStyle="1" w:styleId="Titolo6Carattere">
    <w:name w:val="Titolo 6 Carattere"/>
    <w:basedOn w:val="Carpredefinitoparagrafo"/>
    <w:link w:val="Titolo6"/>
    <w:rsid w:val="003D2B50"/>
    <w:rPr>
      <w:rFonts w:ascii="Arial" w:eastAsia="Times New Roman" w:hAnsi="Arial" w:cs="Times New Roman"/>
      <w:b/>
      <w:sz w:val="20"/>
      <w:szCs w:val="20"/>
      <w:lang w:val="it-IT" w:eastAsia="it-IT"/>
    </w:rPr>
  </w:style>
  <w:style w:type="character" w:customStyle="1" w:styleId="Titolo7Carattere">
    <w:name w:val="Titolo 7 Carattere"/>
    <w:basedOn w:val="Carpredefinitoparagrafo"/>
    <w:link w:val="Titolo7"/>
    <w:rsid w:val="003D2B50"/>
    <w:rPr>
      <w:rFonts w:ascii="Times New Roman" w:eastAsia="Times New Roman" w:hAnsi="Times New Roman" w:cs="Times New Roman"/>
      <w:sz w:val="24"/>
      <w:szCs w:val="24"/>
      <w:lang w:val="it-IT" w:eastAsia="it-IT"/>
    </w:rPr>
  </w:style>
  <w:style w:type="character" w:customStyle="1" w:styleId="Titolo8Carattere">
    <w:name w:val="Titolo 8 Carattere"/>
    <w:basedOn w:val="Carpredefinitoparagrafo"/>
    <w:link w:val="Titolo8"/>
    <w:rsid w:val="003D2B50"/>
    <w:rPr>
      <w:rFonts w:ascii="Times New Roman" w:eastAsia="Times New Roman" w:hAnsi="Times New Roman" w:cs="Times New Roman"/>
      <w:i/>
      <w:iCs/>
      <w:sz w:val="24"/>
      <w:szCs w:val="24"/>
      <w:lang w:val="it-IT" w:eastAsia="it-IT"/>
    </w:rPr>
  </w:style>
  <w:style w:type="character" w:customStyle="1" w:styleId="Titolo9Carattere">
    <w:name w:val="Titolo 9 Carattere"/>
    <w:basedOn w:val="Carpredefinitoparagrafo"/>
    <w:link w:val="Titolo9"/>
    <w:rsid w:val="003D2B50"/>
    <w:rPr>
      <w:rFonts w:ascii="Arial" w:eastAsia="Times New Roman" w:hAnsi="Arial" w:cs="Arial"/>
      <w:lang w:val="it-IT" w:eastAsia="it-IT"/>
    </w:rPr>
  </w:style>
  <w:style w:type="paragraph" w:styleId="Testofumetto">
    <w:name w:val="Balloon Text"/>
    <w:basedOn w:val="Normale"/>
    <w:link w:val="TestofumettoCarattere"/>
    <w:semiHidden/>
    <w:unhideWhenUsed/>
    <w:rsid w:val="003D2B50"/>
    <w:rPr>
      <w:rFonts w:ascii="Tahoma" w:eastAsia="Calibri" w:hAnsi="Tahoma" w:cs="Tahoma"/>
      <w:sz w:val="16"/>
      <w:szCs w:val="16"/>
    </w:rPr>
  </w:style>
  <w:style w:type="character" w:customStyle="1" w:styleId="TestofumettoCarattere">
    <w:name w:val="Testo fumetto Carattere"/>
    <w:basedOn w:val="Carpredefinitoparagrafo"/>
    <w:link w:val="Testofumetto"/>
    <w:semiHidden/>
    <w:rsid w:val="003D2B50"/>
    <w:rPr>
      <w:rFonts w:ascii="Tahoma" w:eastAsia="Calibri" w:hAnsi="Tahoma" w:cs="Tahoma"/>
      <w:sz w:val="16"/>
      <w:szCs w:val="16"/>
    </w:rPr>
  </w:style>
  <w:style w:type="character" w:styleId="Numeropagina">
    <w:name w:val="page number"/>
    <w:basedOn w:val="Carpredefinitoparagrafo"/>
    <w:rsid w:val="003D2B50"/>
  </w:style>
  <w:style w:type="paragraph" w:styleId="Corpodeltesto2">
    <w:name w:val="Body Text 2"/>
    <w:basedOn w:val="Normale"/>
    <w:link w:val="Corpodeltesto2Carattere"/>
    <w:rsid w:val="003D2B50"/>
    <w:pPr>
      <w:tabs>
        <w:tab w:val="left" w:pos="284"/>
        <w:tab w:val="left" w:pos="426"/>
        <w:tab w:val="left" w:pos="4962"/>
      </w:tabs>
    </w:pPr>
    <w:rPr>
      <w:rFonts w:eastAsia="Times New Roman" w:cs="Times New Roman"/>
      <w:b/>
      <w:sz w:val="26"/>
      <w:szCs w:val="20"/>
      <w:lang w:val="it-IT" w:eastAsia="it-IT"/>
    </w:rPr>
  </w:style>
  <w:style w:type="character" w:customStyle="1" w:styleId="Corpodeltesto2Carattere">
    <w:name w:val="Corpo del testo 2 Carattere"/>
    <w:basedOn w:val="Carpredefinitoparagrafo"/>
    <w:link w:val="Corpodeltesto2"/>
    <w:rsid w:val="003D2B50"/>
    <w:rPr>
      <w:rFonts w:ascii="Arial" w:eastAsia="Times New Roman" w:hAnsi="Arial" w:cs="Times New Roman"/>
      <w:b/>
      <w:sz w:val="26"/>
      <w:szCs w:val="20"/>
      <w:lang w:val="it-IT" w:eastAsia="it-IT"/>
    </w:rPr>
  </w:style>
  <w:style w:type="paragraph" w:styleId="Sommario4">
    <w:name w:val="toc 4"/>
    <w:basedOn w:val="Normale"/>
    <w:next w:val="Normale"/>
    <w:autoRedefine/>
    <w:semiHidden/>
    <w:rsid w:val="003D2B50"/>
    <w:pPr>
      <w:jc w:val="left"/>
    </w:pPr>
    <w:rPr>
      <w:rFonts w:ascii="Calibri" w:eastAsia="Calibri" w:hAnsi="Calibri" w:cs="Calibri"/>
      <w:sz w:val="22"/>
    </w:rPr>
  </w:style>
  <w:style w:type="paragraph" w:styleId="Sommario5">
    <w:name w:val="toc 5"/>
    <w:basedOn w:val="Normale"/>
    <w:next w:val="Normale"/>
    <w:autoRedefine/>
    <w:semiHidden/>
    <w:rsid w:val="003D2B50"/>
    <w:pPr>
      <w:jc w:val="left"/>
    </w:pPr>
    <w:rPr>
      <w:rFonts w:ascii="Calibri" w:eastAsia="Calibri" w:hAnsi="Calibri" w:cs="Calibri"/>
      <w:sz w:val="22"/>
    </w:rPr>
  </w:style>
  <w:style w:type="paragraph" w:customStyle="1" w:styleId="rientro">
    <w:name w:val="rientro"/>
    <w:basedOn w:val="Normale"/>
    <w:rsid w:val="003D2B50"/>
    <w:pPr>
      <w:ind w:left="1134" w:right="1134"/>
      <w:jc w:val="left"/>
    </w:pPr>
    <w:rPr>
      <w:rFonts w:ascii="Courier" w:eastAsia="Times New Roman" w:hAnsi="Courier" w:cs="Times New Roman"/>
      <w:szCs w:val="20"/>
      <w:lang w:val="it-IT" w:eastAsia="it-IT"/>
    </w:rPr>
  </w:style>
  <w:style w:type="paragraph" w:styleId="Testonormale">
    <w:name w:val="Plain Text"/>
    <w:basedOn w:val="Normale"/>
    <w:link w:val="TestonormaleCarattere"/>
    <w:uiPriority w:val="99"/>
    <w:unhideWhenUsed/>
    <w:rsid w:val="003D2B50"/>
    <w:pPr>
      <w:jc w:val="left"/>
    </w:pPr>
    <w:rPr>
      <w:rFonts w:ascii="Courier New" w:eastAsia="Calibri" w:hAnsi="Courier New" w:cs="Courier New"/>
      <w:sz w:val="20"/>
      <w:szCs w:val="20"/>
      <w:lang w:eastAsia="it-CH"/>
    </w:rPr>
  </w:style>
  <w:style w:type="character" w:customStyle="1" w:styleId="TestonormaleCarattere">
    <w:name w:val="Testo normale Carattere"/>
    <w:basedOn w:val="Carpredefinitoparagrafo"/>
    <w:link w:val="Testonormale"/>
    <w:uiPriority w:val="99"/>
    <w:rsid w:val="003D2B50"/>
    <w:rPr>
      <w:rFonts w:ascii="Courier New" w:eastAsia="Calibri" w:hAnsi="Courier New" w:cs="Courier New"/>
      <w:sz w:val="20"/>
      <w:szCs w:val="20"/>
      <w:lang w:eastAsia="it-CH"/>
    </w:rPr>
  </w:style>
  <w:style w:type="paragraph" w:styleId="NormaleWeb">
    <w:name w:val="Normal (Web)"/>
    <w:basedOn w:val="Normale"/>
    <w:uiPriority w:val="99"/>
    <w:rsid w:val="003D2B50"/>
    <w:pPr>
      <w:spacing w:before="100" w:beforeAutospacing="1" w:after="100" w:afterAutospacing="1"/>
      <w:jc w:val="left"/>
    </w:pPr>
    <w:rPr>
      <w:rFonts w:ascii="Times New Roman" w:eastAsia="Times New Roman" w:hAnsi="Times New Roman" w:cs="Times New Roman"/>
      <w:szCs w:val="24"/>
      <w:lang w:val="it-IT" w:eastAsia="it-IT"/>
    </w:rPr>
  </w:style>
  <w:style w:type="paragraph" w:customStyle="1" w:styleId="TestoCarattere">
    <w:name w:val="Testo Carattere"/>
    <w:link w:val="TestoCarattereCarattere"/>
    <w:rsid w:val="003D2B50"/>
    <w:rPr>
      <w:rFonts w:ascii="Arial" w:eastAsia="Times New Roman" w:hAnsi="Arial" w:cs="Arial"/>
      <w:bCs/>
      <w:sz w:val="24"/>
      <w:szCs w:val="24"/>
      <w:lang w:eastAsia="it-IT"/>
    </w:rPr>
  </w:style>
  <w:style w:type="character" w:customStyle="1" w:styleId="TestoCarattereCarattere">
    <w:name w:val="Testo Carattere Carattere"/>
    <w:link w:val="TestoCarattere"/>
    <w:rsid w:val="003D2B50"/>
    <w:rPr>
      <w:rFonts w:ascii="Arial" w:eastAsia="Times New Roman" w:hAnsi="Arial" w:cs="Arial"/>
      <w:bCs/>
      <w:sz w:val="24"/>
      <w:szCs w:val="24"/>
      <w:lang w:eastAsia="it-IT"/>
    </w:rPr>
  </w:style>
  <w:style w:type="paragraph" w:customStyle="1" w:styleId="Paragrafoelenco1">
    <w:name w:val="Paragrafo elenco1"/>
    <w:basedOn w:val="Normale"/>
    <w:qFormat/>
    <w:rsid w:val="003D2B50"/>
    <w:pPr>
      <w:ind w:left="720"/>
      <w:contextualSpacing/>
      <w:jc w:val="left"/>
    </w:pPr>
    <w:rPr>
      <w:rFonts w:ascii="Cambria" w:eastAsia="Cambria" w:hAnsi="Cambria" w:cs="Times New Roman"/>
      <w:szCs w:val="24"/>
      <w:lang w:val="en-US"/>
    </w:rPr>
  </w:style>
  <w:style w:type="character" w:styleId="Enfasigrassetto">
    <w:name w:val="Strong"/>
    <w:qFormat/>
    <w:rsid w:val="003D2B50"/>
    <w:rPr>
      <w:b/>
      <w:bCs/>
    </w:rPr>
  </w:style>
  <w:style w:type="character" w:styleId="Rimandocommento">
    <w:name w:val="annotation reference"/>
    <w:uiPriority w:val="99"/>
    <w:rsid w:val="003D2B50"/>
    <w:rPr>
      <w:sz w:val="16"/>
      <w:szCs w:val="16"/>
    </w:rPr>
  </w:style>
  <w:style w:type="paragraph" w:styleId="Testocommento">
    <w:name w:val="annotation text"/>
    <w:basedOn w:val="Normale"/>
    <w:link w:val="TestocommentoCarattere"/>
    <w:uiPriority w:val="99"/>
    <w:rsid w:val="003D2B50"/>
    <w:rPr>
      <w:rFonts w:eastAsia="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rsid w:val="003D2B50"/>
    <w:rPr>
      <w:rFonts w:ascii="Arial" w:eastAsia="Times New Roman" w:hAnsi="Arial" w:cs="Times New Roman"/>
      <w:sz w:val="20"/>
      <w:szCs w:val="20"/>
      <w:lang w:val="it-IT" w:eastAsia="it-IT"/>
    </w:rPr>
  </w:style>
  <w:style w:type="paragraph" w:styleId="Soggettocommento">
    <w:name w:val="annotation subject"/>
    <w:basedOn w:val="Testocommento"/>
    <w:next w:val="Testocommento"/>
    <w:link w:val="SoggettocommentoCarattere"/>
    <w:rsid w:val="003D2B50"/>
    <w:rPr>
      <w:b/>
      <w:bCs/>
    </w:rPr>
  </w:style>
  <w:style w:type="character" w:customStyle="1" w:styleId="SoggettocommentoCarattere">
    <w:name w:val="Soggetto commento Carattere"/>
    <w:basedOn w:val="TestocommentoCarattere"/>
    <w:link w:val="Soggettocommento"/>
    <w:rsid w:val="003D2B50"/>
    <w:rPr>
      <w:rFonts w:ascii="Arial" w:eastAsia="Times New Roman" w:hAnsi="Arial" w:cs="Times New Roman"/>
      <w:b/>
      <w:bCs/>
      <w:sz w:val="20"/>
      <w:szCs w:val="20"/>
      <w:lang w:val="it-IT" w:eastAsia="it-IT"/>
    </w:rPr>
  </w:style>
  <w:style w:type="paragraph" w:styleId="Revisione">
    <w:name w:val="Revision"/>
    <w:hidden/>
    <w:uiPriority w:val="99"/>
    <w:semiHidden/>
    <w:rsid w:val="003D2B50"/>
    <w:pPr>
      <w:jc w:val="left"/>
    </w:pPr>
    <w:rPr>
      <w:rFonts w:ascii="Arial" w:eastAsia="Times New Roman" w:hAnsi="Arial" w:cs="Times New Roman"/>
      <w:sz w:val="24"/>
      <w:szCs w:val="20"/>
      <w:lang w:val="it-IT" w:eastAsia="it-IT"/>
    </w:rPr>
  </w:style>
  <w:style w:type="character" w:styleId="Collegamentovisitato">
    <w:name w:val="FollowedHyperlink"/>
    <w:rsid w:val="003D2B50"/>
    <w:rPr>
      <w:color w:val="800080"/>
      <w:u w:val="single"/>
    </w:rPr>
  </w:style>
  <w:style w:type="paragraph" w:styleId="Corpodeltesto3">
    <w:name w:val="Body Text 3"/>
    <w:basedOn w:val="Normale"/>
    <w:link w:val="Corpodeltesto3Carattere"/>
    <w:rsid w:val="003D2B50"/>
    <w:pPr>
      <w:spacing w:before="1120" w:line="160" w:lineRule="exact"/>
      <w:jc w:val="right"/>
    </w:pPr>
    <w:rPr>
      <w:rFonts w:ascii="GillSans-Light" w:eastAsia="Times New Roman" w:hAnsi="GillSans-Light" w:cs="Times New Roman"/>
      <w:sz w:val="16"/>
      <w:szCs w:val="20"/>
      <w:lang w:val="it-IT" w:eastAsia="it-IT"/>
    </w:rPr>
  </w:style>
  <w:style w:type="character" w:customStyle="1" w:styleId="Corpodeltesto3Carattere">
    <w:name w:val="Corpo del testo 3 Carattere"/>
    <w:basedOn w:val="Carpredefinitoparagrafo"/>
    <w:link w:val="Corpodeltesto3"/>
    <w:rsid w:val="003D2B50"/>
    <w:rPr>
      <w:rFonts w:ascii="GillSans-Light" w:eastAsia="Times New Roman" w:hAnsi="GillSans-Light" w:cs="Times New Roman"/>
      <w:sz w:val="16"/>
      <w:szCs w:val="20"/>
      <w:lang w:val="it-IT" w:eastAsia="it-IT"/>
    </w:rPr>
  </w:style>
  <w:style w:type="paragraph" w:styleId="Data">
    <w:name w:val="Date"/>
    <w:basedOn w:val="Normale"/>
    <w:next w:val="Normale"/>
    <w:link w:val="DataCarattere"/>
    <w:rsid w:val="003D2B50"/>
    <w:pPr>
      <w:jc w:val="left"/>
    </w:pPr>
    <w:rPr>
      <w:rFonts w:eastAsia="Times New Roman" w:cs="Times New Roman"/>
      <w:szCs w:val="20"/>
      <w:lang w:val="it-IT" w:eastAsia="it-IT"/>
    </w:rPr>
  </w:style>
  <w:style w:type="character" w:customStyle="1" w:styleId="DataCarattere">
    <w:name w:val="Data Carattere"/>
    <w:basedOn w:val="Carpredefinitoparagrafo"/>
    <w:link w:val="Data"/>
    <w:rsid w:val="003D2B50"/>
    <w:rPr>
      <w:rFonts w:ascii="Arial" w:eastAsia="Times New Roman" w:hAnsi="Arial" w:cs="Times New Roman"/>
      <w:sz w:val="24"/>
      <w:szCs w:val="20"/>
      <w:lang w:val="it-IT" w:eastAsia="it-IT"/>
    </w:rPr>
  </w:style>
  <w:style w:type="paragraph" w:styleId="Rientrocorpodeltesto">
    <w:name w:val="Body Text Indent"/>
    <w:basedOn w:val="Normale"/>
    <w:link w:val="RientrocorpodeltestoCarattere"/>
    <w:rsid w:val="003D2B50"/>
    <w:pPr>
      <w:pBdr>
        <w:top w:val="single" w:sz="4" w:space="0" w:color="auto"/>
      </w:pBdr>
      <w:tabs>
        <w:tab w:val="left" w:pos="1985"/>
        <w:tab w:val="left" w:pos="4253"/>
      </w:tabs>
      <w:ind w:left="1985" w:hanging="1985"/>
      <w:jc w:val="left"/>
    </w:pPr>
    <w:rPr>
      <w:rFonts w:eastAsia="Times New Roman" w:cs="Times New Roman"/>
      <w:szCs w:val="20"/>
      <w:lang w:val="it-IT" w:eastAsia="it-IT"/>
    </w:rPr>
  </w:style>
  <w:style w:type="character" w:customStyle="1" w:styleId="RientrocorpodeltestoCarattere">
    <w:name w:val="Rientro corpo del testo Carattere"/>
    <w:basedOn w:val="Carpredefinitoparagrafo"/>
    <w:link w:val="Rientrocorpodeltesto"/>
    <w:rsid w:val="003D2B50"/>
    <w:rPr>
      <w:rFonts w:ascii="Arial" w:eastAsia="Times New Roman" w:hAnsi="Arial" w:cs="Times New Roman"/>
      <w:sz w:val="24"/>
      <w:szCs w:val="20"/>
      <w:lang w:val="it-IT" w:eastAsia="it-IT"/>
    </w:rPr>
  </w:style>
  <w:style w:type="paragraph" w:customStyle="1" w:styleId="INDICE">
    <w:name w:val="INDICE"/>
    <w:basedOn w:val="Titolo1"/>
    <w:rsid w:val="003D2B50"/>
    <w:pPr>
      <w:tabs>
        <w:tab w:val="clear" w:pos="567"/>
      </w:tabs>
      <w:spacing w:before="480" w:after="0"/>
      <w:ind w:left="426" w:hanging="426"/>
      <w:jc w:val="left"/>
    </w:pPr>
    <w:rPr>
      <w:rFonts w:eastAsia="Times New Roman" w:cs="Arial"/>
      <w:caps w:val="0"/>
      <w:noProof/>
      <w:sz w:val="28"/>
      <w:szCs w:val="28"/>
      <w:u w:val="single"/>
    </w:rPr>
  </w:style>
  <w:style w:type="paragraph" w:styleId="Sommario6">
    <w:name w:val="toc 6"/>
    <w:basedOn w:val="Normale"/>
    <w:next w:val="Normale"/>
    <w:autoRedefine/>
    <w:rsid w:val="003D2B50"/>
    <w:pPr>
      <w:jc w:val="left"/>
    </w:pPr>
    <w:rPr>
      <w:rFonts w:ascii="Calibri" w:eastAsia="Calibri" w:hAnsi="Calibri" w:cs="Calibri"/>
      <w:sz w:val="22"/>
    </w:rPr>
  </w:style>
  <w:style w:type="paragraph" w:styleId="Sommario7">
    <w:name w:val="toc 7"/>
    <w:basedOn w:val="Normale"/>
    <w:next w:val="Normale"/>
    <w:autoRedefine/>
    <w:rsid w:val="003D2B50"/>
    <w:pPr>
      <w:jc w:val="left"/>
    </w:pPr>
    <w:rPr>
      <w:rFonts w:ascii="Calibri" w:eastAsia="Calibri" w:hAnsi="Calibri" w:cs="Calibri"/>
      <w:sz w:val="22"/>
    </w:rPr>
  </w:style>
  <w:style w:type="paragraph" w:styleId="Sommario8">
    <w:name w:val="toc 8"/>
    <w:basedOn w:val="Normale"/>
    <w:next w:val="Normale"/>
    <w:autoRedefine/>
    <w:rsid w:val="003D2B50"/>
    <w:pPr>
      <w:jc w:val="left"/>
    </w:pPr>
    <w:rPr>
      <w:rFonts w:ascii="Calibri" w:eastAsia="Calibri" w:hAnsi="Calibri" w:cs="Calibri"/>
      <w:sz w:val="22"/>
    </w:rPr>
  </w:style>
  <w:style w:type="paragraph" w:styleId="Sommario9">
    <w:name w:val="toc 9"/>
    <w:basedOn w:val="Normale"/>
    <w:next w:val="Normale"/>
    <w:autoRedefine/>
    <w:rsid w:val="003D2B50"/>
    <w:pPr>
      <w:jc w:val="left"/>
    </w:pPr>
    <w:rPr>
      <w:rFonts w:ascii="Calibri" w:eastAsia="Calibri" w:hAnsi="Calibri" w:cs="Calibri"/>
      <w:sz w:val="22"/>
    </w:rPr>
  </w:style>
  <w:style w:type="paragraph" w:customStyle="1" w:styleId="titolopasso">
    <w:name w:val="titolo passo"/>
    <w:basedOn w:val="Normale"/>
    <w:rsid w:val="003D2B50"/>
    <w:pPr>
      <w:shd w:val="clear" w:color="auto" w:fill="D9D9D9"/>
      <w:jc w:val="left"/>
    </w:pPr>
    <w:rPr>
      <w:rFonts w:eastAsia="Times New Roman" w:cs="Arial"/>
      <w:b/>
      <w:szCs w:val="24"/>
      <w:lang w:val="it-IT" w:eastAsia="it-IT"/>
    </w:rPr>
  </w:style>
  <w:style w:type="paragraph" w:customStyle="1" w:styleId="RAPPORTO">
    <w:name w:val="RAPPORTO"/>
    <w:basedOn w:val="Titolo5"/>
    <w:rsid w:val="003D2B50"/>
    <w:pPr>
      <w:keepLines w:val="0"/>
      <w:numPr>
        <w:ilvl w:val="4"/>
        <w:numId w:val="4"/>
      </w:numPr>
      <w:tabs>
        <w:tab w:val="clear" w:pos="993"/>
        <w:tab w:val="num" w:pos="3240"/>
      </w:tabs>
      <w:spacing w:after="0"/>
      <w:ind w:left="1008" w:hanging="1008"/>
      <w:jc w:val="left"/>
    </w:pPr>
    <w:rPr>
      <w:rFonts w:ascii="Gill Sans" w:eastAsia="Times New Roman" w:hAnsi="Gill Sans" w:cs="Times New Roman"/>
      <w:bCs/>
      <w:i w:val="0"/>
      <w:color w:val="auto"/>
      <w:sz w:val="52"/>
      <w:szCs w:val="20"/>
      <w:lang w:val="it-IT" w:eastAsia="it-IT"/>
    </w:rPr>
  </w:style>
  <w:style w:type="paragraph" w:styleId="Titolosommario">
    <w:name w:val="TOC Heading"/>
    <w:basedOn w:val="Titolo1"/>
    <w:next w:val="Normale"/>
    <w:uiPriority w:val="39"/>
    <w:unhideWhenUsed/>
    <w:qFormat/>
    <w:rsid w:val="003D2B50"/>
    <w:pPr>
      <w:keepLines/>
      <w:tabs>
        <w:tab w:val="clear" w:pos="567"/>
      </w:tabs>
      <w:spacing w:before="480" w:after="0" w:line="276" w:lineRule="auto"/>
      <w:ind w:left="0" w:firstLine="0"/>
      <w:jc w:val="left"/>
      <w:outlineLvl w:val="9"/>
    </w:pPr>
    <w:rPr>
      <w:rFonts w:ascii="Cambria" w:eastAsia="Times New Roman" w:hAnsi="Cambria" w:cs="Arial"/>
      <w:bCs/>
      <w:caps w:val="0"/>
      <w:noProof/>
      <w:color w:val="365F91"/>
      <w:sz w:val="28"/>
      <w:szCs w:val="28"/>
      <w:u w:val="single"/>
      <w:lang w:val="it-CH" w:eastAsia="it-CH"/>
    </w:rPr>
  </w:style>
  <w:style w:type="paragraph" w:styleId="Sottotitolo">
    <w:name w:val="Subtitle"/>
    <w:basedOn w:val="Normale"/>
    <w:next w:val="Normale"/>
    <w:link w:val="SottotitoloCarattere"/>
    <w:qFormat/>
    <w:rsid w:val="003D2B50"/>
    <w:pPr>
      <w:spacing w:after="60"/>
      <w:jc w:val="center"/>
      <w:outlineLvl w:val="1"/>
    </w:pPr>
    <w:rPr>
      <w:rFonts w:ascii="Cambria" w:eastAsia="Times New Roman" w:hAnsi="Cambria" w:cs="Times New Roman"/>
      <w:szCs w:val="24"/>
      <w:lang w:val="it-IT" w:eastAsia="it-IT"/>
    </w:rPr>
  </w:style>
  <w:style w:type="character" w:customStyle="1" w:styleId="SottotitoloCarattere">
    <w:name w:val="Sottotitolo Carattere"/>
    <w:basedOn w:val="Carpredefinitoparagrafo"/>
    <w:link w:val="Sottotitolo"/>
    <w:rsid w:val="003D2B50"/>
    <w:rPr>
      <w:rFonts w:ascii="Cambria" w:eastAsia="Times New Roman" w:hAnsi="Cambria" w:cs="Times New Roman"/>
      <w:sz w:val="24"/>
      <w:szCs w:val="24"/>
      <w:lang w:val="it-IT" w:eastAsia="it-IT"/>
    </w:rPr>
  </w:style>
  <w:style w:type="paragraph" w:customStyle="1" w:styleId="Pa9">
    <w:name w:val="Pa9"/>
    <w:basedOn w:val="Default"/>
    <w:next w:val="Default"/>
    <w:uiPriority w:val="99"/>
    <w:rsid w:val="003D2B50"/>
    <w:pPr>
      <w:spacing w:line="201" w:lineRule="atLeast"/>
    </w:pPr>
    <w:rPr>
      <w:rFonts w:ascii="Frutiger 45 Light" w:eastAsia="Calibri" w:hAnsi="Frutiger 45 Light" w:cs="Times New Roman"/>
      <w:color w:val="auto"/>
    </w:rPr>
  </w:style>
  <w:style w:type="character" w:customStyle="1" w:styleId="A5">
    <w:name w:val="A5"/>
    <w:uiPriority w:val="99"/>
    <w:rsid w:val="003D2B50"/>
    <w:rPr>
      <w:rFonts w:cs="Museo Sans"/>
      <w:color w:val="000000"/>
      <w:sz w:val="22"/>
      <w:szCs w:val="22"/>
    </w:rPr>
  </w:style>
  <w:style w:type="paragraph" w:customStyle="1" w:styleId="Pa6">
    <w:name w:val="Pa6"/>
    <w:basedOn w:val="Default"/>
    <w:next w:val="Default"/>
    <w:uiPriority w:val="99"/>
    <w:rsid w:val="003D2B50"/>
    <w:pPr>
      <w:spacing w:line="241" w:lineRule="atLeast"/>
    </w:pPr>
    <w:rPr>
      <w:rFonts w:ascii="Museo Sans" w:eastAsia="Calibri" w:hAnsi="Museo Sans" w:cs="Times New Roman"/>
      <w:color w:val="auto"/>
    </w:rPr>
  </w:style>
  <w:style w:type="paragraph" w:customStyle="1" w:styleId="lettera">
    <w:name w:val="lettera"/>
    <w:basedOn w:val="Normale"/>
    <w:rsid w:val="003D2B50"/>
    <w:pPr>
      <w:tabs>
        <w:tab w:val="left" w:pos="1240"/>
        <w:tab w:val="left" w:pos="5200"/>
      </w:tabs>
    </w:pPr>
    <w:rPr>
      <w:rFonts w:ascii="New York" w:eastAsia="Times New Roman" w:hAnsi="New York" w:cs="Times New Roman"/>
      <w:sz w:val="20"/>
      <w:szCs w:val="20"/>
      <w:lang w:val="it-IT" w:eastAsia="it-IT"/>
    </w:rPr>
  </w:style>
  <w:style w:type="paragraph" w:customStyle="1" w:styleId="bodytext8">
    <w:name w:val="bodytext8"/>
    <w:basedOn w:val="Normale"/>
    <w:rsid w:val="003D2B50"/>
    <w:pPr>
      <w:spacing w:after="30"/>
      <w:ind w:left="75" w:right="75"/>
      <w:jc w:val="left"/>
    </w:pPr>
    <w:rPr>
      <w:rFonts w:ascii="Times New Roman" w:eastAsia="Times New Roman" w:hAnsi="Times New Roman" w:cs="Times New Roman"/>
      <w:szCs w:val="24"/>
      <w:lang w:val="it-IT" w:eastAsia="it-IT"/>
    </w:rPr>
  </w:style>
  <w:style w:type="paragraph" w:customStyle="1" w:styleId="Stile2">
    <w:name w:val="Stile2"/>
    <w:basedOn w:val="Titolo2"/>
    <w:rsid w:val="003D2B50"/>
    <w:pPr>
      <w:numPr>
        <w:ilvl w:val="1"/>
        <w:numId w:val="4"/>
      </w:numPr>
      <w:tabs>
        <w:tab w:val="clear" w:pos="567"/>
        <w:tab w:val="left" w:pos="540"/>
      </w:tabs>
      <w:spacing w:before="240" w:after="60"/>
      <w:ind w:left="576" w:hanging="576"/>
    </w:pPr>
    <w:rPr>
      <w:rFonts w:eastAsia="Times New Roman" w:cs="Arial"/>
      <w:bCs/>
      <w:iCs w:val="0"/>
      <w:szCs w:val="28"/>
    </w:rPr>
  </w:style>
  <w:style w:type="paragraph" w:customStyle="1" w:styleId="StandardPro">
    <w:name w:val="StandardPro"/>
    <w:basedOn w:val="Normale"/>
    <w:rsid w:val="003D2B50"/>
    <w:pPr>
      <w:tabs>
        <w:tab w:val="right" w:pos="7937"/>
        <w:tab w:val="right" w:pos="9071"/>
      </w:tabs>
      <w:ind w:right="2268"/>
      <w:jc w:val="left"/>
    </w:pPr>
    <w:rPr>
      <w:rFonts w:ascii="Implenia Frutiger" w:eastAsia="Times New Roman" w:hAnsi="Implenia Frutiger" w:cs="Times New Roman"/>
      <w:sz w:val="23"/>
      <w:szCs w:val="20"/>
      <w:lang w:eastAsia="de-DE"/>
    </w:rPr>
  </w:style>
  <w:style w:type="paragraph" w:styleId="Didascalia">
    <w:name w:val="caption"/>
    <w:basedOn w:val="Normale"/>
    <w:next w:val="Normale"/>
    <w:qFormat/>
    <w:rsid w:val="003D2B50"/>
    <w:pPr>
      <w:suppressAutoHyphens/>
      <w:spacing w:before="120" w:after="120" w:line="360" w:lineRule="auto"/>
    </w:pPr>
    <w:rPr>
      <w:rFonts w:eastAsia="Times New Roman" w:cs="Arial"/>
      <w:bCs/>
      <w:sz w:val="20"/>
      <w:szCs w:val="20"/>
      <w:lang w:val="it-IT" w:eastAsia="zh-CN"/>
    </w:rPr>
  </w:style>
  <w:style w:type="paragraph" w:customStyle="1" w:styleId="Elencocontinua21">
    <w:name w:val="Elenco continua 21"/>
    <w:basedOn w:val="Normale"/>
    <w:rsid w:val="003D2B50"/>
    <w:pPr>
      <w:suppressAutoHyphens/>
      <w:spacing w:after="120"/>
      <w:ind w:left="566"/>
      <w:jc w:val="left"/>
    </w:pPr>
    <w:rPr>
      <w:rFonts w:eastAsia="Times New Roman" w:cs="Arial"/>
      <w:szCs w:val="24"/>
      <w:lang w:val="it-IT" w:eastAsia="zh-CN"/>
    </w:rPr>
  </w:style>
  <w:style w:type="paragraph" w:customStyle="1" w:styleId="Normale1">
    <w:name w:val="Normale1"/>
    <w:rsid w:val="003D2B50"/>
    <w:pPr>
      <w:suppressAutoHyphens/>
      <w:autoSpaceDE w:val="0"/>
      <w:jc w:val="left"/>
    </w:pPr>
    <w:rPr>
      <w:rFonts w:ascii="Arial" w:eastAsia="Times New Roman" w:hAnsi="Arial" w:cs="Arial"/>
      <w:color w:val="000000"/>
      <w:sz w:val="24"/>
      <w:szCs w:val="24"/>
      <w:lang w:val="it-IT" w:eastAsia="zh-CN"/>
    </w:rPr>
  </w:style>
  <w:style w:type="character" w:customStyle="1" w:styleId="s12">
    <w:name w:val="s12"/>
    <w:basedOn w:val="Carpredefinitoparagrafo"/>
    <w:rsid w:val="003D2B50"/>
  </w:style>
  <w:style w:type="paragraph" w:styleId="Testonotadichiusura">
    <w:name w:val="endnote text"/>
    <w:basedOn w:val="Normale"/>
    <w:link w:val="TestonotadichiusuraCarattere"/>
    <w:unhideWhenUsed/>
    <w:rsid w:val="003D2B50"/>
    <w:rPr>
      <w:rFonts w:eastAsia="Times New Roman" w:cs="Times New Roman"/>
      <w:sz w:val="20"/>
      <w:szCs w:val="20"/>
      <w:lang w:val="it-IT" w:eastAsia="it-IT"/>
    </w:rPr>
  </w:style>
  <w:style w:type="character" w:customStyle="1" w:styleId="TestonotadichiusuraCarattere">
    <w:name w:val="Testo nota di chiusura Carattere"/>
    <w:basedOn w:val="Carpredefinitoparagrafo"/>
    <w:link w:val="Testonotadichiusura"/>
    <w:rsid w:val="003D2B50"/>
    <w:rPr>
      <w:rFonts w:ascii="Arial" w:eastAsia="Times New Roman" w:hAnsi="Arial" w:cs="Times New Roman"/>
      <w:sz w:val="20"/>
      <w:szCs w:val="20"/>
      <w:lang w:val="it-IT" w:eastAsia="it-IT"/>
    </w:rPr>
  </w:style>
  <w:style w:type="character" w:styleId="Rimandonotadichiusura">
    <w:name w:val="endnote reference"/>
    <w:unhideWhenUsed/>
    <w:rsid w:val="003D2B50"/>
    <w:rPr>
      <w:vertAlign w:val="superscript"/>
    </w:rPr>
  </w:style>
  <w:style w:type="paragraph" w:styleId="Indice1">
    <w:name w:val="index 1"/>
    <w:basedOn w:val="Normale"/>
    <w:next w:val="Normale"/>
    <w:autoRedefine/>
    <w:rsid w:val="003D2B50"/>
    <w:pPr>
      <w:ind w:left="240" w:hanging="240"/>
      <w:jc w:val="left"/>
    </w:pPr>
    <w:rPr>
      <w:rFonts w:ascii="Times New Roman" w:eastAsia="Times New Roman" w:hAnsi="Times New Roman" w:cs="Times New Roman"/>
      <w:szCs w:val="24"/>
      <w:lang w:val="it-IT" w:eastAsia="it-IT"/>
    </w:rPr>
  </w:style>
  <w:style w:type="paragraph" w:customStyle="1" w:styleId="Stile">
    <w:name w:val="Stile"/>
    <w:rsid w:val="003D2B50"/>
    <w:pPr>
      <w:widowControl w:val="0"/>
      <w:autoSpaceDE w:val="0"/>
      <w:autoSpaceDN w:val="0"/>
      <w:adjustRightInd w:val="0"/>
      <w:jc w:val="left"/>
    </w:pPr>
    <w:rPr>
      <w:rFonts w:ascii="Arial" w:eastAsia="Times New Roman" w:hAnsi="Arial" w:cs="Arial"/>
      <w:sz w:val="24"/>
      <w:szCs w:val="24"/>
      <w:lang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31286-4B7B-413B-B50A-0191729F5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20</Pages>
  <Words>7695</Words>
  <Characters>45022</Characters>
  <Application>Microsoft Office Word</Application>
  <DocSecurity>0</DocSecurity>
  <Lines>818</Lines>
  <Paragraphs>258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Agostinetti Jole / kxgc002</dc:creator>
  <cp:lastModifiedBy>Agostinetti Jole</cp:lastModifiedBy>
  <cp:revision>9</cp:revision>
  <cp:lastPrinted>2020-05-11T10:32:00Z</cp:lastPrinted>
  <dcterms:created xsi:type="dcterms:W3CDTF">2020-05-06T13:03:00Z</dcterms:created>
  <dcterms:modified xsi:type="dcterms:W3CDTF">2020-05-13T10:17:00Z</dcterms:modified>
</cp:coreProperties>
</file>