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0C2" w:rsidRDefault="00C75DAE" w:rsidP="00B860C2">
      <w:bookmarkStart w:id="0" w:name="_GoBack"/>
      <w:bookmarkEnd w:id="0"/>
      <w:r w:rsidRPr="0011675E">
        <w:rPr>
          <w:rFonts w:ascii="Gill Sans MT" w:hAnsi="Gill Sans MT" w:cs="Arial"/>
          <w:b/>
          <w:sz w:val="56"/>
          <w:szCs w:val="56"/>
        </w:rPr>
        <w:t>Rapporto</w:t>
      </w:r>
    </w:p>
    <w:p w:rsidR="00B860C2" w:rsidRDefault="00B860C2" w:rsidP="00B860C2">
      <w:pPr>
        <w:rPr>
          <w:rFonts w:cs="Arial"/>
          <w:szCs w:val="24"/>
        </w:rPr>
      </w:pPr>
    </w:p>
    <w:p w:rsidR="00B860C2" w:rsidRDefault="00B860C2" w:rsidP="00B860C2">
      <w:pPr>
        <w:rPr>
          <w:rFonts w:cs="Arial"/>
          <w:szCs w:val="24"/>
        </w:rPr>
      </w:pPr>
    </w:p>
    <w:p w:rsidR="00956DFC" w:rsidRDefault="00956DFC" w:rsidP="00956DFC">
      <w:pPr>
        <w:tabs>
          <w:tab w:val="left" w:pos="2098"/>
          <w:tab w:val="left" w:pos="4933"/>
        </w:tabs>
      </w:pPr>
      <w:bookmarkStart w:id="1" w:name="_Toc532286235"/>
      <w:r>
        <w:rPr>
          <w:b/>
          <w:sz w:val="32"/>
        </w:rPr>
        <w:t>7808 R</w:t>
      </w:r>
      <w:r>
        <w:rPr>
          <w:sz w:val="28"/>
        </w:rPr>
        <w:tab/>
        <w:t>3 settembre 2020</w:t>
      </w:r>
      <w:r>
        <w:rPr>
          <w:sz w:val="28"/>
        </w:rPr>
        <w:tab/>
        <w:t>TERRITORIO</w:t>
      </w:r>
    </w:p>
    <w:p w:rsidR="00956DFC" w:rsidRDefault="00956DFC" w:rsidP="00956DFC"/>
    <w:p w:rsidR="00956DFC" w:rsidRDefault="00956DFC" w:rsidP="00956DFC"/>
    <w:p w:rsidR="00956DFC" w:rsidRDefault="00956DFC" w:rsidP="00956DFC"/>
    <w:p w:rsidR="00956DFC" w:rsidRDefault="00956DFC" w:rsidP="00956DFC">
      <w:pPr>
        <w:pStyle w:val="NormaleWeb"/>
        <w:spacing w:before="0" w:beforeAutospacing="0" w:after="0" w:afterAutospacing="0"/>
        <w:jc w:val="both"/>
        <w:rPr>
          <w:rFonts w:ascii="Arial" w:hAnsi="Arial" w:cs="Arial"/>
          <w:b/>
          <w:sz w:val="28"/>
          <w:szCs w:val="28"/>
        </w:rPr>
      </w:pPr>
      <w:r>
        <w:rPr>
          <w:rFonts w:ascii="Arial" w:hAnsi="Arial" w:cs="Arial"/>
          <w:b/>
          <w:sz w:val="28"/>
          <w:szCs w:val="28"/>
        </w:rPr>
        <w:t>della Commissione ambiente, territorio ed energia</w:t>
      </w:r>
    </w:p>
    <w:p w:rsidR="00956DFC" w:rsidRPr="006C3E2B" w:rsidRDefault="00956DFC" w:rsidP="00956DFC">
      <w:pPr>
        <w:pStyle w:val="NormaleWeb"/>
        <w:spacing w:before="0" w:beforeAutospacing="0" w:after="0" w:afterAutospacing="0"/>
        <w:jc w:val="both"/>
        <w:rPr>
          <w:rFonts w:ascii="Arial" w:hAnsi="Arial" w:cs="Arial"/>
          <w:b/>
          <w:sz w:val="28"/>
          <w:szCs w:val="28"/>
        </w:rPr>
      </w:pPr>
      <w:r>
        <w:rPr>
          <w:rFonts w:ascii="Arial" w:hAnsi="Arial" w:cs="Arial"/>
          <w:b/>
          <w:sz w:val="28"/>
          <w:szCs w:val="28"/>
        </w:rPr>
        <w:t>sul messaggio 22 aprile 2020 concernente l’approvazione del progetto complementare per la delocalizzazione di parte delle Aziende presenti nella zona industriale di Preonzo nel Comune di Bellinzona, e lo stanziamento di un credito di fr. 1'091'444.-- quale sussidiamento cantonale, rispettivamente l’autorizzazione alla spesa di fr. 3'056'044.-- quale sussidio cantonale e federale complessivo</w:t>
      </w:r>
    </w:p>
    <w:p w:rsidR="00956DFC" w:rsidRDefault="00956DFC" w:rsidP="00956DFC"/>
    <w:p w:rsidR="00956DFC" w:rsidRDefault="00956DFC" w:rsidP="00956DFC"/>
    <w:p w:rsidR="00956DFC" w:rsidRDefault="00956DFC" w:rsidP="00956DFC"/>
    <w:p w:rsidR="00956DFC" w:rsidRPr="00EC6465" w:rsidRDefault="00956DFC" w:rsidP="00BB1674">
      <w:pPr>
        <w:pStyle w:val="Titolo1"/>
      </w:pPr>
      <w:r w:rsidRPr="00EC6465">
        <w:lastRenderedPageBreak/>
        <w:t>COMPENDIO</w:t>
      </w:r>
    </w:p>
    <w:p w:rsidR="00956DFC" w:rsidRDefault="00956DFC" w:rsidP="00956DFC">
      <w:pPr>
        <w:rPr>
          <w:szCs w:val="24"/>
        </w:rPr>
      </w:pPr>
      <w:r>
        <w:rPr>
          <w:szCs w:val="24"/>
        </w:rPr>
        <w:t>Il presente messaggio è stato inizialmente attribuito alla Commissione della gestione e delle finanze e di conseguenza i lavori commissionali sono iniziati con la prima seduta dopo la pausa estiva. Il messaggio riguarda il proseguimento e l’aggiornamento del progetto di delocalizzazione delle ditte presenti nella zona industriale di Preonzo, ora quartiere di Bellinzona, a forte rischio a causa della frana di Roscioro.</w:t>
      </w:r>
    </w:p>
    <w:p w:rsidR="00956DFC" w:rsidRDefault="00956DFC" w:rsidP="00956DFC">
      <w:pPr>
        <w:rPr>
          <w:szCs w:val="24"/>
        </w:rPr>
      </w:pPr>
    </w:p>
    <w:p w:rsidR="00956DFC" w:rsidRDefault="00956DFC" w:rsidP="00956DFC">
      <w:pPr>
        <w:rPr>
          <w:szCs w:val="24"/>
        </w:rPr>
      </w:pPr>
      <w:r>
        <w:rPr>
          <w:szCs w:val="24"/>
        </w:rPr>
        <w:t xml:space="preserve">Nel 1990 vi fu la prima segnalazione di una fessura presso l’alpe di Roscioro e nel 2001 le prime colate di detriti (27'000 mc e 25'000 mc). Nel 2002 con il crollo di ca. 150'000 mc di roccia avvenne la seconda evacuazione; seguirono altri eventi per arrivare al grande crollo del 2012 di ca. 300'000 mc. L’area viene costantemente monitorata anche per la presenza della strada cantonale e dell’autostrada. Nella zona industriale erano inizialmente presenti 7 ditte per un totale di 101 posti di lavoro. </w:t>
      </w:r>
    </w:p>
    <w:p w:rsidR="00956DFC" w:rsidRDefault="00956DFC" w:rsidP="00956DFC">
      <w:pPr>
        <w:rPr>
          <w:szCs w:val="24"/>
        </w:rPr>
      </w:pPr>
    </w:p>
    <w:p w:rsidR="00956DFC" w:rsidRDefault="00956DFC" w:rsidP="00956DFC">
      <w:pPr>
        <w:rPr>
          <w:szCs w:val="24"/>
        </w:rPr>
      </w:pPr>
      <w:r>
        <w:rPr>
          <w:szCs w:val="24"/>
        </w:rPr>
        <w:t xml:space="preserve">Con il progetto iniziale (messaggio n. 6779 del 9 aprile 2013) e rapporto favorevole dell’allora Commissione della gestione e delle finanze, solo 5 ditte avevano aderito alla proposta di localizzazione, mentre altre 2, Betra SA ed Ecotecnology SA, hanno preferito continuare la loro attività con il rischio di sospensioni del lavoro a dipendenza dei crolli. Nel presente messaggio viene aggiornato lo stato </w:t>
      </w:r>
      <w:r>
        <w:rPr>
          <w:szCs w:val="24"/>
        </w:rPr>
        <w:lastRenderedPageBreak/>
        <w:t>dell’avanzamento dei lavori per le 5 ditte e viene comunicato che il nuovo Comune di Bellinzona è subentrato nella committenza per lo smantellamento delle strutture della ex Petrolchimica.</w:t>
      </w:r>
    </w:p>
    <w:p w:rsidR="00956DFC" w:rsidRDefault="00956DFC" w:rsidP="00956DFC">
      <w:pPr>
        <w:rPr>
          <w:szCs w:val="24"/>
        </w:rPr>
      </w:pPr>
    </w:p>
    <w:p w:rsidR="00956DFC" w:rsidRDefault="00956DFC" w:rsidP="00956DFC">
      <w:pPr>
        <w:rPr>
          <w:szCs w:val="24"/>
        </w:rPr>
      </w:pPr>
      <w:r>
        <w:rPr>
          <w:szCs w:val="24"/>
        </w:rPr>
        <w:t>Con il presente messaggio si richiede un credito di fr. 1'091'444.</w:t>
      </w:r>
      <w:r w:rsidR="00BB1674">
        <w:rPr>
          <w:szCs w:val="24"/>
        </w:rPr>
        <w:t>--</w:t>
      </w:r>
      <w:r>
        <w:rPr>
          <w:szCs w:val="24"/>
        </w:rPr>
        <w:t xml:space="preserve"> per l’estensione della delocalizzazione alla Betra SA, ditta attiva principalmente nei settori degli scavi, dei trasporti, del servizio invernale, nella vendita di materiale di inerti e impiega attualmente 18 collaboratori. L’ubicazione nella zona di pericolo con grado alto e residuo non le consente di dare continuità alla sua attività e non può procedere ad investimenti per svilupparsi. L’estensione del progetto di delocalizzazione volontaria è stato discusso con tutti gli uffici federali e cantonali preposti e a titolo informativo si rileva che nel preventivo sono state computate solo le spese computabili e che la percentuale del 70% di sussidiamento (45% CH e 25% TI) riprende i criteri del messaggio n. 6779.</w:t>
      </w:r>
    </w:p>
    <w:p w:rsidR="00956DFC" w:rsidRDefault="00956DFC" w:rsidP="00956DFC">
      <w:pPr>
        <w:rPr>
          <w:szCs w:val="24"/>
        </w:rPr>
      </w:pPr>
      <w:r>
        <w:rPr>
          <w:szCs w:val="24"/>
        </w:rPr>
        <w:t>La Commissione invita il Gran Consiglio ad accordare questo credito considerato che con la delocalizzazione si riesce a ridurre ulteriormente il rischio presente sull’area industriale prima dell’inizio della delocalizzazione del 2013.</w:t>
      </w:r>
    </w:p>
    <w:p w:rsidR="00956DFC" w:rsidRDefault="00956DFC" w:rsidP="00956DFC">
      <w:pPr>
        <w:rPr>
          <w:szCs w:val="24"/>
        </w:rPr>
      </w:pPr>
    </w:p>
    <w:p w:rsidR="00956DFC" w:rsidRDefault="00956DFC" w:rsidP="00956DFC"/>
    <w:p w:rsidR="00956DFC" w:rsidRPr="00EC6465" w:rsidRDefault="00956DFC" w:rsidP="00BB1674">
      <w:pPr>
        <w:pStyle w:val="Titolo1"/>
      </w:pPr>
      <w:r w:rsidRPr="00EC6465">
        <w:lastRenderedPageBreak/>
        <w:t>INTRODUZIONE E L’EVOLUZIONE DEL FENOMENO NATURALE</w:t>
      </w:r>
    </w:p>
    <w:p w:rsidR="00956DFC" w:rsidRPr="00EC6465" w:rsidRDefault="00BB1674" w:rsidP="00BB1674">
      <w:pPr>
        <w:pStyle w:val="Titolo2"/>
      </w:pPr>
      <w:r>
        <w:t>2.1</w:t>
      </w:r>
      <w:r>
        <w:tab/>
      </w:r>
      <w:r w:rsidR="00956DFC" w:rsidRPr="00EC6465">
        <w:t>Premessa</w:t>
      </w:r>
    </w:p>
    <w:p w:rsidR="00956DFC" w:rsidRDefault="00956DFC" w:rsidP="00956DFC">
      <w:pPr>
        <w:rPr>
          <w:rFonts w:cs="Arial"/>
        </w:rPr>
      </w:pPr>
      <w:bookmarkStart w:id="2" w:name="_Toc294592894"/>
      <w:bookmarkStart w:id="3" w:name="OLE_LINK5"/>
      <w:bookmarkStart w:id="4" w:name="OLE_LINK6"/>
      <w:bookmarkStart w:id="5" w:name="_Toc154994086"/>
      <w:r>
        <w:rPr>
          <w:rFonts w:cs="Arial"/>
        </w:rPr>
        <w:t xml:space="preserve">La delocalizzazione della zona industriale è iniziata nel 2013 nell’ambito delle misure da applicare e mettere in campo a tutela delle vite umane, nelle situazioni in cui la realizzazione di opere di premunizione non è possibile per ragioni di tipo tecnico o anche tecnico finanziario. </w:t>
      </w:r>
    </w:p>
    <w:p w:rsidR="00956DFC" w:rsidRDefault="00956DFC" w:rsidP="00956DFC">
      <w:pPr>
        <w:rPr>
          <w:rFonts w:cs="Arial"/>
        </w:rPr>
      </w:pPr>
    </w:p>
    <w:p w:rsidR="00956DFC" w:rsidRDefault="00956DFC" w:rsidP="00956DFC">
      <w:pPr>
        <w:rPr>
          <w:rFonts w:cs="Arial"/>
        </w:rPr>
      </w:pPr>
      <w:r>
        <w:rPr>
          <w:rFonts w:cs="Arial"/>
        </w:rPr>
        <w:t>Per facilitare il compito di lettura alleghiamo una tabella che espone gli aspetti geologici, protettivi, pianificatori e imprenditoriali (date d'insediamento delle aziende) del comparto.</w:t>
      </w:r>
    </w:p>
    <w:p w:rsidR="00956DFC" w:rsidRPr="00EC6465" w:rsidRDefault="00956DFC" w:rsidP="00956DFC">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7"/>
        <w:gridCol w:w="2268"/>
        <w:gridCol w:w="1985"/>
        <w:gridCol w:w="3118"/>
        <w:gridCol w:w="1584"/>
      </w:tblGrid>
      <w:tr w:rsidR="00956DFC" w:rsidRPr="000A4A02" w:rsidTr="00C33834">
        <w:trPr>
          <w:trHeight w:val="549"/>
        </w:trPr>
        <w:tc>
          <w:tcPr>
            <w:tcW w:w="817" w:type="dxa"/>
            <w:shd w:val="clear" w:color="auto" w:fill="FDE9D9" w:themeFill="accent6" w:themeFillTint="33"/>
          </w:tcPr>
          <w:p w:rsidR="00956DFC" w:rsidRPr="00011F70" w:rsidRDefault="00956DFC" w:rsidP="00C33834">
            <w:pPr>
              <w:jc w:val="center"/>
              <w:rPr>
                <w:rFonts w:cs="Arial"/>
                <w:b/>
                <w:sz w:val="18"/>
                <w:szCs w:val="18"/>
              </w:rPr>
            </w:pPr>
            <w:r w:rsidRPr="00011F70">
              <w:rPr>
                <w:rFonts w:cs="Arial"/>
                <w:b/>
                <w:sz w:val="18"/>
                <w:szCs w:val="18"/>
              </w:rPr>
              <w:t>Anno</w:t>
            </w:r>
          </w:p>
        </w:tc>
        <w:tc>
          <w:tcPr>
            <w:tcW w:w="2268" w:type="dxa"/>
            <w:shd w:val="clear" w:color="auto" w:fill="FDE9D9" w:themeFill="accent6" w:themeFillTint="33"/>
          </w:tcPr>
          <w:p w:rsidR="00956DFC" w:rsidRPr="00011F70" w:rsidRDefault="00956DFC" w:rsidP="00C33834">
            <w:pPr>
              <w:jc w:val="center"/>
              <w:rPr>
                <w:rFonts w:cs="Arial"/>
                <w:b/>
                <w:sz w:val="18"/>
                <w:szCs w:val="18"/>
              </w:rPr>
            </w:pPr>
            <w:r w:rsidRPr="00011F70">
              <w:rPr>
                <w:rFonts w:cs="Arial"/>
                <w:b/>
                <w:sz w:val="18"/>
                <w:szCs w:val="18"/>
              </w:rPr>
              <w:t>Eventi</w:t>
            </w:r>
          </w:p>
          <w:p w:rsidR="00956DFC" w:rsidRPr="00011F70" w:rsidRDefault="00956DFC" w:rsidP="00C33834">
            <w:pPr>
              <w:jc w:val="center"/>
              <w:rPr>
                <w:rFonts w:cs="Arial"/>
                <w:b/>
                <w:sz w:val="18"/>
                <w:szCs w:val="18"/>
              </w:rPr>
            </w:pPr>
            <w:r w:rsidRPr="00011F70">
              <w:rPr>
                <w:rFonts w:cs="Arial"/>
                <w:b/>
                <w:sz w:val="18"/>
                <w:szCs w:val="18"/>
              </w:rPr>
              <w:t>geologici</w:t>
            </w:r>
          </w:p>
        </w:tc>
        <w:tc>
          <w:tcPr>
            <w:tcW w:w="1985" w:type="dxa"/>
            <w:shd w:val="clear" w:color="auto" w:fill="FDE9D9" w:themeFill="accent6" w:themeFillTint="33"/>
          </w:tcPr>
          <w:p w:rsidR="00956DFC" w:rsidRPr="00011F70" w:rsidRDefault="00956DFC" w:rsidP="00C33834">
            <w:pPr>
              <w:jc w:val="center"/>
              <w:rPr>
                <w:rFonts w:cs="Arial"/>
                <w:b/>
                <w:sz w:val="18"/>
                <w:szCs w:val="18"/>
              </w:rPr>
            </w:pPr>
            <w:r w:rsidRPr="00011F70">
              <w:rPr>
                <w:rFonts w:cs="Arial"/>
                <w:b/>
                <w:sz w:val="18"/>
                <w:szCs w:val="18"/>
              </w:rPr>
              <w:t>Interventi</w:t>
            </w:r>
          </w:p>
          <w:p w:rsidR="00956DFC" w:rsidRPr="00011F70" w:rsidRDefault="00956DFC" w:rsidP="00C33834">
            <w:pPr>
              <w:jc w:val="center"/>
              <w:rPr>
                <w:rFonts w:cs="Arial"/>
                <w:b/>
                <w:sz w:val="18"/>
                <w:szCs w:val="18"/>
              </w:rPr>
            </w:pPr>
            <w:r w:rsidRPr="00011F70">
              <w:rPr>
                <w:rFonts w:cs="Arial"/>
                <w:b/>
                <w:sz w:val="18"/>
                <w:szCs w:val="18"/>
              </w:rPr>
              <w:t>protettivi</w:t>
            </w:r>
          </w:p>
        </w:tc>
        <w:tc>
          <w:tcPr>
            <w:tcW w:w="3118" w:type="dxa"/>
            <w:shd w:val="clear" w:color="auto" w:fill="FDE9D9" w:themeFill="accent6" w:themeFillTint="33"/>
          </w:tcPr>
          <w:p w:rsidR="00956DFC" w:rsidRPr="00011F70" w:rsidRDefault="00956DFC" w:rsidP="00C33834">
            <w:pPr>
              <w:jc w:val="center"/>
              <w:rPr>
                <w:rFonts w:cs="Arial"/>
                <w:b/>
                <w:sz w:val="18"/>
                <w:szCs w:val="18"/>
              </w:rPr>
            </w:pPr>
            <w:r w:rsidRPr="00011F70">
              <w:rPr>
                <w:rFonts w:cs="Arial"/>
                <w:b/>
                <w:sz w:val="18"/>
                <w:szCs w:val="18"/>
              </w:rPr>
              <w:t>Interventi</w:t>
            </w:r>
          </w:p>
          <w:p w:rsidR="00956DFC" w:rsidRPr="00011F70" w:rsidRDefault="00956DFC" w:rsidP="00C33834">
            <w:pPr>
              <w:jc w:val="center"/>
              <w:rPr>
                <w:rFonts w:cs="Arial"/>
                <w:b/>
                <w:sz w:val="18"/>
                <w:szCs w:val="18"/>
              </w:rPr>
            </w:pPr>
            <w:r w:rsidRPr="00011F70">
              <w:rPr>
                <w:rFonts w:cs="Arial"/>
                <w:b/>
                <w:sz w:val="18"/>
                <w:szCs w:val="18"/>
              </w:rPr>
              <w:t>Pianificatori</w:t>
            </w:r>
            <w:r>
              <w:rPr>
                <w:rFonts w:cs="Arial"/>
                <w:b/>
                <w:sz w:val="18"/>
                <w:szCs w:val="18"/>
              </w:rPr>
              <w:t xml:space="preserve"> e misure politiche</w:t>
            </w:r>
          </w:p>
        </w:tc>
        <w:tc>
          <w:tcPr>
            <w:tcW w:w="1584" w:type="dxa"/>
            <w:shd w:val="clear" w:color="auto" w:fill="FDE9D9" w:themeFill="accent6" w:themeFillTint="33"/>
          </w:tcPr>
          <w:p w:rsidR="00956DFC" w:rsidRPr="00011F70" w:rsidRDefault="00956DFC" w:rsidP="00C33834">
            <w:pPr>
              <w:jc w:val="center"/>
              <w:rPr>
                <w:rFonts w:cs="Arial"/>
                <w:b/>
                <w:sz w:val="18"/>
                <w:szCs w:val="18"/>
              </w:rPr>
            </w:pPr>
            <w:r w:rsidRPr="00011F70">
              <w:rPr>
                <w:rFonts w:cs="Arial"/>
                <w:b/>
                <w:sz w:val="18"/>
                <w:szCs w:val="18"/>
              </w:rPr>
              <w:t>Insediamenti imprenditoriali</w:t>
            </w:r>
          </w:p>
        </w:tc>
      </w:tr>
      <w:tr w:rsidR="00956DFC" w:rsidRPr="00BD18E8" w:rsidTr="00C33834">
        <w:trPr>
          <w:trHeight w:val="415"/>
        </w:trPr>
        <w:tc>
          <w:tcPr>
            <w:tcW w:w="817" w:type="dxa"/>
          </w:tcPr>
          <w:p w:rsidR="00956DFC" w:rsidRDefault="00956DFC" w:rsidP="00C33834">
            <w:pPr>
              <w:jc w:val="center"/>
              <w:rPr>
                <w:rFonts w:cs="Arial"/>
                <w:sz w:val="18"/>
                <w:szCs w:val="18"/>
              </w:rPr>
            </w:pPr>
            <w:r>
              <w:rPr>
                <w:rFonts w:cs="Arial"/>
                <w:sz w:val="18"/>
                <w:szCs w:val="18"/>
              </w:rPr>
              <w:t>1697</w:t>
            </w:r>
          </w:p>
        </w:tc>
        <w:tc>
          <w:tcPr>
            <w:tcW w:w="2268" w:type="dxa"/>
          </w:tcPr>
          <w:p w:rsidR="00956DFC" w:rsidRPr="00011F70" w:rsidRDefault="00956DFC" w:rsidP="00C33834">
            <w:pPr>
              <w:jc w:val="center"/>
              <w:rPr>
                <w:rFonts w:cs="Arial"/>
                <w:sz w:val="18"/>
                <w:szCs w:val="18"/>
              </w:rPr>
            </w:pPr>
            <w:r>
              <w:rPr>
                <w:rFonts w:cs="Arial"/>
                <w:sz w:val="18"/>
                <w:szCs w:val="18"/>
              </w:rPr>
              <w:t>Uscita del riale Valegion</w:t>
            </w:r>
          </w:p>
        </w:tc>
        <w:tc>
          <w:tcPr>
            <w:tcW w:w="1985" w:type="dxa"/>
          </w:tcPr>
          <w:p w:rsidR="00956DFC" w:rsidRPr="00011F70" w:rsidRDefault="00956DFC" w:rsidP="00C33834">
            <w:pPr>
              <w:jc w:val="center"/>
              <w:rPr>
                <w:rFonts w:cs="Arial"/>
                <w:sz w:val="18"/>
                <w:szCs w:val="18"/>
              </w:rPr>
            </w:pPr>
          </w:p>
        </w:tc>
        <w:tc>
          <w:tcPr>
            <w:tcW w:w="3118" w:type="dxa"/>
          </w:tcPr>
          <w:p w:rsidR="00956DFC" w:rsidRPr="00011F70" w:rsidRDefault="00956DFC" w:rsidP="00C33834">
            <w:pPr>
              <w:rPr>
                <w:rFonts w:cs="Arial"/>
                <w:sz w:val="18"/>
                <w:szCs w:val="18"/>
              </w:rPr>
            </w:pPr>
          </w:p>
        </w:tc>
        <w:tc>
          <w:tcPr>
            <w:tcW w:w="1584" w:type="dxa"/>
          </w:tcPr>
          <w:p w:rsidR="00956DFC" w:rsidRPr="00011F70" w:rsidRDefault="00956DFC" w:rsidP="00C33834">
            <w:pPr>
              <w:rPr>
                <w:rFonts w:cs="Arial"/>
                <w:sz w:val="18"/>
                <w:szCs w:val="18"/>
              </w:rPr>
            </w:pPr>
          </w:p>
        </w:tc>
      </w:tr>
      <w:tr w:rsidR="00956DFC" w:rsidRPr="00BD18E8" w:rsidTr="00C33834">
        <w:tc>
          <w:tcPr>
            <w:tcW w:w="817" w:type="dxa"/>
          </w:tcPr>
          <w:p w:rsidR="00956DFC" w:rsidRDefault="00956DFC" w:rsidP="00C33834">
            <w:pPr>
              <w:jc w:val="center"/>
              <w:rPr>
                <w:rFonts w:cs="Arial"/>
                <w:sz w:val="18"/>
                <w:szCs w:val="18"/>
              </w:rPr>
            </w:pPr>
            <w:r>
              <w:rPr>
                <w:rFonts w:cs="Arial"/>
                <w:sz w:val="18"/>
                <w:szCs w:val="18"/>
              </w:rPr>
              <w:t>1702</w:t>
            </w:r>
          </w:p>
          <w:p w:rsidR="00956DFC" w:rsidRPr="00011F70" w:rsidRDefault="00956DFC" w:rsidP="00C33834">
            <w:pPr>
              <w:jc w:val="center"/>
              <w:rPr>
                <w:rFonts w:cs="Arial"/>
                <w:sz w:val="18"/>
                <w:szCs w:val="18"/>
              </w:rPr>
            </w:pPr>
            <w:r>
              <w:rPr>
                <w:rFonts w:cs="Arial"/>
                <w:sz w:val="18"/>
                <w:szCs w:val="18"/>
              </w:rPr>
              <w:t>22.2</w:t>
            </w:r>
          </w:p>
        </w:tc>
        <w:tc>
          <w:tcPr>
            <w:tcW w:w="2268" w:type="dxa"/>
          </w:tcPr>
          <w:p w:rsidR="00956DFC" w:rsidRPr="00011F70" w:rsidRDefault="00956DFC" w:rsidP="00C33834">
            <w:pPr>
              <w:jc w:val="center"/>
              <w:rPr>
                <w:rFonts w:cs="Arial"/>
                <w:sz w:val="18"/>
                <w:szCs w:val="18"/>
              </w:rPr>
            </w:pPr>
            <w:r w:rsidRPr="00011F70">
              <w:rPr>
                <w:rFonts w:cs="Arial"/>
                <w:sz w:val="18"/>
                <w:szCs w:val="18"/>
              </w:rPr>
              <w:t>Frana che seppellisce l'antico villaggio di Preonzo</w:t>
            </w:r>
            <w:r>
              <w:rPr>
                <w:rFonts w:cs="Arial"/>
                <w:sz w:val="18"/>
                <w:szCs w:val="18"/>
              </w:rPr>
              <w:t>; l’evento fu preceduto da piccoli crolli premonitori notati dagli abitanti che poterono mettersi in salvo</w:t>
            </w:r>
          </w:p>
        </w:tc>
        <w:tc>
          <w:tcPr>
            <w:tcW w:w="1985" w:type="dxa"/>
          </w:tcPr>
          <w:p w:rsidR="00956DFC" w:rsidRPr="00011F70" w:rsidRDefault="00956DFC" w:rsidP="00C33834">
            <w:pPr>
              <w:jc w:val="center"/>
              <w:rPr>
                <w:rFonts w:cs="Arial"/>
                <w:sz w:val="18"/>
                <w:szCs w:val="18"/>
              </w:rPr>
            </w:pPr>
            <w:r w:rsidRPr="00011F70">
              <w:rPr>
                <w:rFonts w:cs="Arial"/>
                <w:sz w:val="18"/>
                <w:szCs w:val="18"/>
              </w:rPr>
              <w:t>Ricostruzione altrove del villaggio</w:t>
            </w:r>
          </w:p>
        </w:tc>
        <w:tc>
          <w:tcPr>
            <w:tcW w:w="3118" w:type="dxa"/>
          </w:tcPr>
          <w:p w:rsidR="00956DFC" w:rsidRPr="00011F70" w:rsidRDefault="00956DFC" w:rsidP="00C33834">
            <w:pPr>
              <w:rPr>
                <w:rFonts w:cs="Arial"/>
                <w:sz w:val="18"/>
                <w:szCs w:val="18"/>
              </w:rPr>
            </w:pPr>
          </w:p>
        </w:tc>
        <w:tc>
          <w:tcPr>
            <w:tcW w:w="1584" w:type="dxa"/>
          </w:tcPr>
          <w:p w:rsidR="00956DFC" w:rsidRPr="00011F70" w:rsidRDefault="00956DFC" w:rsidP="00C33834">
            <w:pPr>
              <w:rPr>
                <w:rFonts w:cs="Arial"/>
                <w:sz w:val="18"/>
                <w:szCs w:val="18"/>
              </w:rPr>
            </w:pPr>
          </w:p>
        </w:tc>
      </w:tr>
      <w:tr w:rsidR="00956DFC" w:rsidRPr="00BD18E8" w:rsidTr="00C33834">
        <w:tc>
          <w:tcPr>
            <w:tcW w:w="817" w:type="dxa"/>
          </w:tcPr>
          <w:p w:rsidR="00956DFC" w:rsidRDefault="00956DFC" w:rsidP="00C33834">
            <w:pPr>
              <w:jc w:val="center"/>
              <w:rPr>
                <w:rFonts w:cs="Arial"/>
                <w:sz w:val="18"/>
                <w:szCs w:val="18"/>
              </w:rPr>
            </w:pPr>
            <w:r>
              <w:rPr>
                <w:rFonts w:cs="Arial"/>
                <w:sz w:val="18"/>
                <w:szCs w:val="18"/>
              </w:rPr>
              <w:t>1725</w:t>
            </w:r>
          </w:p>
          <w:p w:rsidR="00956DFC" w:rsidRPr="00011F70" w:rsidRDefault="00956DFC" w:rsidP="00C33834">
            <w:pPr>
              <w:jc w:val="center"/>
              <w:rPr>
                <w:rFonts w:cs="Arial"/>
                <w:sz w:val="18"/>
                <w:szCs w:val="18"/>
              </w:rPr>
            </w:pPr>
            <w:r>
              <w:rPr>
                <w:rFonts w:cs="Arial"/>
                <w:sz w:val="18"/>
                <w:szCs w:val="18"/>
              </w:rPr>
              <w:t>15.8</w:t>
            </w:r>
          </w:p>
        </w:tc>
        <w:tc>
          <w:tcPr>
            <w:tcW w:w="2268" w:type="dxa"/>
          </w:tcPr>
          <w:p w:rsidR="00956DFC" w:rsidRPr="00011F70" w:rsidRDefault="00956DFC" w:rsidP="00C33834">
            <w:pPr>
              <w:jc w:val="center"/>
              <w:rPr>
                <w:rFonts w:cs="Arial"/>
                <w:sz w:val="18"/>
                <w:szCs w:val="18"/>
              </w:rPr>
            </w:pPr>
            <w:r>
              <w:rPr>
                <w:rFonts w:cs="Arial"/>
                <w:sz w:val="18"/>
                <w:szCs w:val="18"/>
              </w:rPr>
              <w:t>Grossa colata detritica che investì almeno 10 edifici e fece 17 vittime</w:t>
            </w:r>
          </w:p>
        </w:tc>
        <w:tc>
          <w:tcPr>
            <w:tcW w:w="1985" w:type="dxa"/>
          </w:tcPr>
          <w:p w:rsidR="00956DFC" w:rsidRPr="00011F70" w:rsidRDefault="00956DFC" w:rsidP="00C33834">
            <w:pPr>
              <w:jc w:val="center"/>
              <w:rPr>
                <w:rFonts w:cs="Arial"/>
                <w:sz w:val="18"/>
                <w:szCs w:val="18"/>
              </w:rPr>
            </w:pPr>
          </w:p>
        </w:tc>
        <w:tc>
          <w:tcPr>
            <w:tcW w:w="3118" w:type="dxa"/>
          </w:tcPr>
          <w:p w:rsidR="00956DFC" w:rsidRPr="00011F70" w:rsidRDefault="00956DFC" w:rsidP="00C33834">
            <w:pPr>
              <w:jc w:val="center"/>
              <w:rPr>
                <w:rFonts w:cs="Arial"/>
                <w:sz w:val="18"/>
                <w:szCs w:val="18"/>
              </w:rPr>
            </w:pPr>
          </w:p>
        </w:tc>
        <w:tc>
          <w:tcPr>
            <w:tcW w:w="1584" w:type="dxa"/>
          </w:tcPr>
          <w:p w:rsidR="00956DFC" w:rsidRPr="00011F70" w:rsidRDefault="00956DFC" w:rsidP="00C33834">
            <w:pPr>
              <w:jc w:val="center"/>
              <w:rPr>
                <w:rFonts w:cs="Arial"/>
                <w:sz w:val="18"/>
                <w:szCs w:val="18"/>
              </w:rPr>
            </w:pPr>
          </w:p>
        </w:tc>
      </w:tr>
      <w:tr w:rsidR="00956DFC" w:rsidRPr="00BD18E8" w:rsidTr="00C33834">
        <w:tc>
          <w:tcPr>
            <w:tcW w:w="817" w:type="dxa"/>
          </w:tcPr>
          <w:p w:rsidR="00956DFC" w:rsidRDefault="00956DFC" w:rsidP="00C33834">
            <w:pPr>
              <w:jc w:val="center"/>
              <w:rPr>
                <w:rFonts w:cs="Arial"/>
                <w:sz w:val="18"/>
                <w:szCs w:val="18"/>
              </w:rPr>
            </w:pPr>
            <w:r>
              <w:rPr>
                <w:rFonts w:cs="Arial"/>
                <w:sz w:val="18"/>
                <w:szCs w:val="18"/>
              </w:rPr>
              <w:t>1747</w:t>
            </w:r>
          </w:p>
          <w:p w:rsidR="00956DFC" w:rsidRDefault="00956DFC" w:rsidP="00C33834">
            <w:pPr>
              <w:jc w:val="center"/>
              <w:rPr>
                <w:rFonts w:cs="Arial"/>
                <w:sz w:val="18"/>
                <w:szCs w:val="18"/>
              </w:rPr>
            </w:pPr>
            <w:r>
              <w:rPr>
                <w:rFonts w:cs="Arial"/>
                <w:sz w:val="18"/>
                <w:szCs w:val="18"/>
              </w:rPr>
              <w:t>18.9.</w:t>
            </w:r>
          </w:p>
          <w:p w:rsidR="00956DFC" w:rsidRPr="00011F70" w:rsidRDefault="00956DFC" w:rsidP="00C33834">
            <w:pPr>
              <w:jc w:val="center"/>
              <w:rPr>
                <w:rFonts w:cs="Arial"/>
                <w:sz w:val="18"/>
                <w:szCs w:val="18"/>
              </w:rPr>
            </w:pPr>
          </w:p>
        </w:tc>
        <w:tc>
          <w:tcPr>
            <w:tcW w:w="2268" w:type="dxa"/>
          </w:tcPr>
          <w:p w:rsidR="00956DFC" w:rsidRPr="00011F70" w:rsidRDefault="00956DFC" w:rsidP="00C33834">
            <w:pPr>
              <w:jc w:val="center"/>
              <w:rPr>
                <w:rFonts w:cs="Arial"/>
                <w:sz w:val="18"/>
                <w:szCs w:val="18"/>
              </w:rPr>
            </w:pPr>
            <w:r>
              <w:rPr>
                <w:rFonts w:cs="Arial"/>
                <w:sz w:val="18"/>
                <w:szCs w:val="18"/>
              </w:rPr>
              <w:t>Crolli in testata del Valegion con danneg-giamenti a stalle, vigne e boschi con una vittima</w:t>
            </w:r>
          </w:p>
        </w:tc>
        <w:tc>
          <w:tcPr>
            <w:tcW w:w="1985" w:type="dxa"/>
          </w:tcPr>
          <w:p w:rsidR="00956DFC" w:rsidRPr="00011F70" w:rsidRDefault="00956DFC" w:rsidP="00C33834">
            <w:pPr>
              <w:jc w:val="center"/>
              <w:rPr>
                <w:rFonts w:cs="Arial"/>
                <w:sz w:val="18"/>
                <w:szCs w:val="18"/>
              </w:rPr>
            </w:pPr>
          </w:p>
        </w:tc>
        <w:tc>
          <w:tcPr>
            <w:tcW w:w="3118" w:type="dxa"/>
          </w:tcPr>
          <w:p w:rsidR="00956DFC" w:rsidRPr="00011F70" w:rsidRDefault="00956DFC" w:rsidP="00C33834">
            <w:pPr>
              <w:jc w:val="center"/>
              <w:rPr>
                <w:rFonts w:cs="Arial"/>
                <w:sz w:val="18"/>
                <w:szCs w:val="18"/>
              </w:rPr>
            </w:pPr>
          </w:p>
        </w:tc>
        <w:tc>
          <w:tcPr>
            <w:tcW w:w="1584" w:type="dxa"/>
          </w:tcPr>
          <w:p w:rsidR="00956DFC" w:rsidRPr="00B87D9F" w:rsidRDefault="00956DFC" w:rsidP="00C33834">
            <w:pPr>
              <w:jc w:val="center"/>
              <w:rPr>
                <w:rFonts w:cs="Arial"/>
                <w:sz w:val="18"/>
                <w:szCs w:val="18"/>
              </w:rPr>
            </w:pPr>
          </w:p>
        </w:tc>
      </w:tr>
      <w:tr w:rsidR="00956DFC" w:rsidRPr="00BD18E8" w:rsidTr="00C33834">
        <w:tc>
          <w:tcPr>
            <w:tcW w:w="817" w:type="dxa"/>
          </w:tcPr>
          <w:p w:rsidR="00956DFC" w:rsidRPr="00011F70" w:rsidRDefault="00956DFC" w:rsidP="00C33834">
            <w:pPr>
              <w:jc w:val="center"/>
              <w:rPr>
                <w:rFonts w:cs="Arial"/>
                <w:sz w:val="18"/>
                <w:szCs w:val="18"/>
              </w:rPr>
            </w:pPr>
            <w:r w:rsidRPr="00011F70">
              <w:rPr>
                <w:rFonts w:cs="Arial"/>
                <w:sz w:val="18"/>
                <w:szCs w:val="18"/>
              </w:rPr>
              <w:t>1960 ca.</w:t>
            </w:r>
          </w:p>
        </w:tc>
        <w:tc>
          <w:tcPr>
            <w:tcW w:w="2268" w:type="dxa"/>
          </w:tcPr>
          <w:p w:rsidR="00956DFC" w:rsidRPr="00011F70" w:rsidRDefault="00956DFC" w:rsidP="00C33834">
            <w:pPr>
              <w:jc w:val="center"/>
              <w:rPr>
                <w:rFonts w:cs="Arial"/>
                <w:sz w:val="18"/>
                <w:szCs w:val="18"/>
              </w:rPr>
            </w:pPr>
          </w:p>
        </w:tc>
        <w:tc>
          <w:tcPr>
            <w:tcW w:w="1985" w:type="dxa"/>
          </w:tcPr>
          <w:p w:rsidR="00956DFC" w:rsidRPr="00011F70" w:rsidRDefault="00956DFC" w:rsidP="00C33834">
            <w:pPr>
              <w:jc w:val="center"/>
              <w:rPr>
                <w:rFonts w:cs="Arial"/>
                <w:sz w:val="18"/>
                <w:szCs w:val="18"/>
              </w:rPr>
            </w:pPr>
            <w:r>
              <w:rPr>
                <w:rFonts w:cs="Arial"/>
                <w:sz w:val="18"/>
                <w:szCs w:val="18"/>
              </w:rPr>
              <w:t>Creazione di una prima piccola vasca da 3'000 mc</w:t>
            </w:r>
          </w:p>
        </w:tc>
        <w:tc>
          <w:tcPr>
            <w:tcW w:w="3118" w:type="dxa"/>
          </w:tcPr>
          <w:p w:rsidR="00956DFC" w:rsidRPr="00011F70" w:rsidRDefault="00956DFC" w:rsidP="00C33834">
            <w:pPr>
              <w:jc w:val="center"/>
              <w:rPr>
                <w:rFonts w:cs="Arial"/>
                <w:sz w:val="18"/>
                <w:szCs w:val="18"/>
              </w:rPr>
            </w:pPr>
          </w:p>
        </w:tc>
        <w:tc>
          <w:tcPr>
            <w:tcW w:w="1584" w:type="dxa"/>
          </w:tcPr>
          <w:p w:rsidR="00956DFC" w:rsidRPr="00B87D9F" w:rsidRDefault="00956DFC" w:rsidP="00C33834">
            <w:pPr>
              <w:jc w:val="center"/>
              <w:rPr>
                <w:rFonts w:cs="Arial"/>
                <w:sz w:val="18"/>
                <w:szCs w:val="18"/>
              </w:rPr>
            </w:pPr>
            <w:r w:rsidRPr="00B87D9F">
              <w:rPr>
                <w:rFonts w:cs="Arial"/>
                <w:sz w:val="18"/>
                <w:szCs w:val="18"/>
              </w:rPr>
              <w:t>Petrolchimica SA</w:t>
            </w:r>
          </w:p>
        </w:tc>
      </w:tr>
      <w:tr w:rsidR="00956DFC" w:rsidRPr="00BD18E8" w:rsidTr="00C33834">
        <w:tc>
          <w:tcPr>
            <w:tcW w:w="817" w:type="dxa"/>
          </w:tcPr>
          <w:p w:rsidR="00956DFC" w:rsidRPr="00011F70" w:rsidRDefault="00956DFC" w:rsidP="00C33834">
            <w:pPr>
              <w:jc w:val="center"/>
              <w:rPr>
                <w:rFonts w:cs="Arial"/>
                <w:sz w:val="18"/>
                <w:szCs w:val="18"/>
              </w:rPr>
            </w:pPr>
            <w:r w:rsidRPr="00011F70">
              <w:rPr>
                <w:rFonts w:cs="Arial"/>
                <w:sz w:val="18"/>
                <w:szCs w:val="18"/>
              </w:rPr>
              <w:t>1966</w:t>
            </w:r>
          </w:p>
        </w:tc>
        <w:tc>
          <w:tcPr>
            <w:tcW w:w="2268" w:type="dxa"/>
          </w:tcPr>
          <w:p w:rsidR="00956DFC" w:rsidRPr="00011F70" w:rsidRDefault="00956DFC" w:rsidP="00C33834">
            <w:pPr>
              <w:jc w:val="center"/>
              <w:rPr>
                <w:rFonts w:cs="Arial"/>
                <w:sz w:val="18"/>
                <w:szCs w:val="18"/>
              </w:rPr>
            </w:pPr>
          </w:p>
        </w:tc>
        <w:tc>
          <w:tcPr>
            <w:tcW w:w="1985" w:type="dxa"/>
          </w:tcPr>
          <w:p w:rsidR="00956DFC" w:rsidRPr="00011F70" w:rsidRDefault="00956DFC" w:rsidP="00C33834">
            <w:pPr>
              <w:jc w:val="center"/>
              <w:rPr>
                <w:rFonts w:cs="Arial"/>
                <w:sz w:val="18"/>
                <w:szCs w:val="18"/>
              </w:rPr>
            </w:pPr>
          </w:p>
        </w:tc>
        <w:tc>
          <w:tcPr>
            <w:tcW w:w="3118" w:type="dxa"/>
          </w:tcPr>
          <w:p w:rsidR="00956DFC" w:rsidRPr="00011F70" w:rsidRDefault="00956DFC" w:rsidP="00C33834">
            <w:pPr>
              <w:jc w:val="center"/>
              <w:rPr>
                <w:rFonts w:cs="Arial"/>
                <w:sz w:val="18"/>
                <w:szCs w:val="18"/>
              </w:rPr>
            </w:pPr>
          </w:p>
        </w:tc>
        <w:tc>
          <w:tcPr>
            <w:tcW w:w="1584" w:type="dxa"/>
          </w:tcPr>
          <w:p w:rsidR="00956DFC" w:rsidRPr="00B87D9F" w:rsidRDefault="00956DFC" w:rsidP="00C33834">
            <w:pPr>
              <w:jc w:val="center"/>
              <w:rPr>
                <w:rFonts w:cs="Arial"/>
                <w:sz w:val="18"/>
                <w:szCs w:val="18"/>
              </w:rPr>
            </w:pPr>
            <w:r w:rsidRPr="00B87D9F">
              <w:rPr>
                <w:rFonts w:cs="Arial"/>
                <w:sz w:val="18"/>
                <w:szCs w:val="18"/>
              </w:rPr>
              <w:t>Carrozzeria</w:t>
            </w:r>
          </w:p>
          <w:p w:rsidR="00956DFC" w:rsidRPr="00B87D9F" w:rsidRDefault="00956DFC" w:rsidP="00C33834">
            <w:pPr>
              <w:jc w:val="center"/>
              <w:rPr>
                <w:rFonts w:cs="Arial"/>
                <w:sz w:val="18"/>
                <w:szCs w:val="18"/>
              </w:rPr>
            </w:pPr>
            <w:r w:rsidRPr="00B87D9F">
              <w:rPr>
                <w:rFonts w:cs="Arial"/>
                <w:sz w:val="18"/>
                <w:szCs w:val="18"/>
              </w:rPr>
              <w:t>Della Cassina SA</w:t>
            </w:r>
          </w:p>
        </w:tc>
      </w:tr>
      <w:tr w:rsidR="00956DFC" w:rsidRPr="00BD18E8" w:rsidTr="00C33834">
        <w:tc>
          <w:tcPr>
            <w:tcW w:w="817" w:type="dxa"/>
          </w:tcPr>
          <w:p w:rsidR="00956DFC" w:rsidRPr="00011F70" w:rsidRDefault="00956DFC" w:rsidP="00C33834">
            <w:pPr>
              <w:jc w:val="center"/>
              <w:rPr>
                <w:rFonts w:cs="Arial"/>
                <w:sz w:val="18"/>
                <w:szCs w:val="18"/>
              </w:rPr>
            </w:pPr>
            <w:r w:rsidRPr="00011F70">
              <w:rPr>
                <w:rFonts w:cs="Arial"/>
                <w:sz w:val="18"/>
                <w:szCs w:val="18"/>
              </w:rPr>
              <w:lastRenderedPageBreak/>
              <w:t>1968</w:t>
            </w:r>
          </w:p>
        </w:tc>
        <w:tc>
          <w:tcPr>
            <w:tcW w:w="2268" w:type="dxa"/>
          </w:tcPr>
          <w:p w:rsidR="00956DFC" w:rsidRPr="00011F70" w:rsidRDefault="00956DFC" w:rsidP="00C33834">
            <w:pPr>
              <w:jc w:val="center"/>
              <w:rPr>
                <w:rFonts w:cs="Arial"/>
                <w:sz w:val="18"/>
                <w:szCs w:val="18"/>
              </w:rPr>
            </w:pPr>
          </w:p>
        </w:tc>
        <w:tc>
          <w:tcPr>
            <w:tcW w:w="1985" w:type="dxa"/>
          </w:tcPr>
          <w:p w:rsidR="00956DFC" w:rsidRPr="00011F70" w:rsidRDefault="00956DFC" w:rsidP="00C33834">
            <w:pPr>
              <w:jc w:val="center"/>
              <w:rPr>
                <w:rFonts w:cs="Arial"/>
                <w:sz w:val="18"/>
                <w:szCs w:val="18"/>
              </w:rPr>
            </w:pPr>
          </w:p>
        </w:tc>
        <w:tc>
          <w:tcPr>
            <w:tcW w:w="3118" w:type="dxa"/>
          </w:tcPr>
          <w:p w:rsidR="00956DFC" w:rsidRPr="00011F70" w:rsidRDefault="00956DFC" w:rsidP="00C33834">
            <w:pPr>
              <w:jc w:val="center"/>
              <w:rPr>
                <w:rFonts w:cs="Arial"/>
                <w:sz w:val="18"/>
                <w:szCs w:val="18"/>
              </w:rPr>
            </w:pPr>
          </w:p>
        </w:tc>
        <w:tc>
          <w:tcPr>
            <w:tcW w:w="1584" w:type="dxa"/>
          </w:tcPr>
          <w:p w:rsidR="00956DFC" w:rsidRPr="00B87D9F" w:rsidRDefault="00956DFC" w:rsidP="00C33834">
            <w:pPr>
              <w:jc w:val="center"/>
              <w:rPr>
                <w:rFonts w:cs="Arial"/>
                <w:sz w:val="18"/>
                <w:szCs w:val="18"/>
              </w:rPr>
            </w:pPr>
            <w:r w:rsidRPr="00B87D9F">
              <w:rPr>
                <w:rFonts w:cs="Arial"/>
                <w:sz w:val="18"/>
                <w:szCs w:val="18"/>
              </w:rPr>
              <w:t>Genazzi&amp;Artioli SA</w:t>
            </w:r>
          </w:p>
        </w:tc>
      </w:tr>
      <w:tr w:rsidR="00956DFC" w:rsidRPr="00BD18E8" w:rsidTr="00C33834">
        <w:tc>
          <w:tcPr>
            <w:tcW w:w="817" w:type="dxa"/>
          </w:tcPr>
          <w:p w:rsidR="00956DFC" w:rsidRPr="00011F70" w:rsidRDefault="00956DFC" w:rsidP="00C33834">
            <w:pPr>
              <w:jc w:val="center"/>
              <w:rPr>
                <w:rFonts w:cs="Arial"/>
                <w:sz w:val="18"/>
                <w:szCs w:val="18"/>
              </w:rPr>
            </w:pPr>
            <w:r w:rsidRPr="00011F70">
              <w:rPr>
                <w:rFonts w:cs="Arial"/>
                <w:sz w:val="18"/>
                <w:szCs w:val="18"/>
              </w:rPr>
              <w:t>1990</w:t>
            </w:r>
          </w:p>
        </w:tc>
        <w:tc>
          <w:tcPr>
            <w:tcW w:w="2268" w:type="dxa"/>
          </w:tcPr>
          <w:p w:rsidR="00956DFC" w:rsidRPr="00011F70" w:rsidRDefault="00956DFC" w:rsidP="00C33834">
            <w:pPr>
              <w:jc w:val="center"/>
              <w:rPr>
                <w:rFonts w:cs="Arial"/>
                <w:sz w:val="18"/>
                <w:szCs w:val="18"/>
              </w:rPr>
            </w:pPr>
            <w:r w:rsidRPr="00011F70">
              <w:rPr>
                <w:rFonts w:cs="Arial"/>
                <w:sz w:val="18"/>
                <w:szCs w:val="18"/>
              </w:rPr>
              <w:t>Segnalazione della presenza di una fessura</w:t>
            </w:r>
            <w:r>
              <w:rPr>
                <w:rFonts w:cs="Arial"/>
                <w:sz w:val="18"/>
                <w:szCs w:val="18"/>
              </w:rPr>
              <w:t xml:space="preserve"> aperta di 120 metri con una massa instabile di 700'000 mc (crollo unico improbabile)</w:t>
            </w:r>
          </w:p>
        </w:tc>
        <w:tc>
          <w:tcPr>
            <w:tcW w:w="1985" w:type="dxa"/>
          </w:tcPr>
          <w:p w:rsidR="00956DFC" w:rsidRPr="00011F70" w:rsidRDefault="00956DFC" w:rsidP="00C33834">
            <w:pPr>
              <w:jc w:val="center"/>
              <w:rPr>
                <w:rFonts w:cs="Arial"/>
                <w:sz w:val="18"/>
                <w:szCs w:val="18"/>
              </w:rPr>
            </w:pPr>
          </w:p>
        </w:tc>
        <w:tc>
          <w:tcPr>
            <w:tcW w:w="3118" w:type="dxa"/>
          </w:tcPr>
          <w:p w:rsidR="00956DFC" w:rsidRPr="00011F70" w:rsidRDefault="00956DFC" w:rsidP="00C33834">
            <w:pPr>
              <w:jc w:val="center"/>
              <w:rPr>
                <w:rFonts w:cs="Arial"/>
                <w:sz w:val="18"/>
                <w:szCs w:val="18"/>
              </w:rPr>
            </w:pPr>
          </w:p>
        </w:tc>
        <w:tc>
          <w:tcPr>
            <w:tcW w:w="1584" w:type="dxa"/>
          </w:tcPr>
          <w:p w:rsidR="00956DFC" w:rsidRPr="00011F70" w:rsidRDefault="00956DFC" w:rsidP="00C33834">
            <w:pPr>
              <w:jc w:val="center"/>
              <w:rPr>
                <w:rFonts w:cs="Arial"/>
                <w:sz w:val="18"/>
                <w:szCs w:val="18"/>
              </w:rPr>
            </w:pPr>
          </w:p>
        </w:tc>
      </w:tr>
      <w:tr w:rsidR="00956DFC" w:rsidRPr="00BD18E8" w:rsidTr="00C33834">
        <w:tc>
          <w:tcPr>
            <w:tcW w:w="817" w:type="dxa"/>
          </w:tcPr>
          <w:p w:rsidR="00956DFC" w:rsidRPr="00011F70" w:rsidRDefault="00956DFC" w:rsidP="00C33834">
            <w:pPr>
              <w:jc w:val="center"/>
              <w:rPr>
                <w:rFonts w:cs="Arial"/>
                <w:sz w:val="18"/>
                <w:szCs w:val="18"/>
              </w:rPr>
            </w:pPr>
            <w:r w:rsidRPr="00011F70">
              <w:rPr>
                <w:rFonts w:cs="Arial"/>
                <w:sz w:val="18"/>
                <w:szCs w:val="18"/>
              </w:rPr>
              <w:t>1991</w:t>
            </w:r>
          </w:p>
        </w:tc>
        <w:tc>
          <w:tcPr>
            <w:tcW w:w="2268" w:type="dxa"/>
          </w:tcPr>
          <w:p w:rsidR="00956DFC" w:rsidRPr="00011F70" w:rsidRDefault="00956DFC" w:rsidP="00C33834">
            <w:pPr>
              <w:jc w:val="center"/>
              <w:rPr>
                <w:rFonts w:cs="Arial"/>
                <w:sz w:val="18"/>
                <w:szCs w:val="18"/>
              </w:rPr>
            </w:pPr>
          </w:p>
        </w:tc>
        <w:tc>
          <w:tcPr>
            <w:tcW w:w="1985" w:type="dxa"/>
          </w:tcPr>
          <w:p w:rsidR="00956DFC" w:rsidRPr="00011F70" w:rsidRDefault="00956DFC" w:rsidP="00C33834">
            <w:pPr>
              <w:jc w:val="center"/>
              <w:rPr>
                <w:rFonts w:cs="Arial"/>
                <w:sz w:val="18"/>
                <w:szCs w:val="18"/>
              </w:rPr>
            </w:pPr>
            <w:r w:rsidRPr="00011F70">
              <w:rPr>
                <w:rFonts w:cs="Arial"/>
                <w:sz w:val="18"/>
                <w:szCs w:val="18"/>
              </w:rPr>
              <w:t>Inizio del monitoraggio manuale</w:t>
            </w:r>
          </w:p>
        </w:tc>
        <w:tc>
          <w:tcPr>
            <w:tcW w:w="3118" w:type="dxa"/>
          </w:tcPr>
          <w:p w:rsidR="00956DFC" w:rsidRPr="00011F70" w:rsidRDefault="00956DFC" w:rsidP="00C33834">
            <w:pPr>
              <w:jc w:val="center"/>
              <w:rPr>
                <w:rFonts w:cs="Arial"/>
                <w:sz w:val="18"/>
                <w:szCs w:val="18"/>
              </w:rPr>
            </w:pPr>
          </w:p>
        </w:tc>
        <w:tc>
          <w:tcPr>
            <w:tcW w:w="1584" w:type="dxa"/>
          </w:tcPr>
          <w:p w:rsidR="00956DFC" w:rsidRPr="00011F70" w:rsidRDefault="00956DFC" w:rsidP="00C33834">
            <w:pPr>
              <w:jc w:val="center"/>
              <w:rPr>
                <w:rFonts w:cs="Arial"/>
                <w:sz w:val="18"/>
                <w:szCs w:val="18"/>
              </w:rPr>
            </w:pPr>
          </w:p>
        </w:tc>
      </w:tr>
      <w:tr w:rsidR="00956DFC" w:rsidRPr="00BD18E8" w:rsidTr="00C33834">
        <w:tc>
          <w:tcPr>
            <w:tcW w:w="817" w:type="dxa"/>
          </w:tcPr>
          <w:p w:rsidR="00956DFC" w:rsidRPr="00011F70" w:rsidRDefault="00956DFC" w:rsidP="00C33834">
            <w:pPr>
              <w:jc w:val="center"/>
              <w:rPr>
                <w:rFonts w:cs="Arial"/>
                <w:sz w:val="18"/>
                <w:szCs w:val="18"/>
              </w:rPr>
            </w:pPr>
            <w:r w:rsidRPr="00011F70">
              <w:rPr>
                <w:rFonts w:cs="Arial"/>
                <w:sz w:val="18"/>
                <w:szCs w:val="18"/>
              </w:rPr>
              <w:t>1993</w:t>
            </w:r>
          </w:p>
        </w:tc>
        <w:tc>
          <w:tcPr>
            <w:tcW w:w="2268" w:type="dxa"/>
          </w:tcPr>
          <w:p w:rsidR="00956DFC" w:rsidRPr="00011F70" w:rsidRDefault="00956DFC" w:rsidP="00C33834">
            <w:pPr>
              <w:jc w:val="center"/>
              <w:rPr>
                <w:rFonts w:cs="Arial"/>
                <w:sz w:val="18"/>
                <w:szCs w:val="18"/>
              </w:rPr>
            </w:pPr>
          </w:p>
        </w:tc>
        <w:tc>
          <w:tcPr>
            <w:tcW w:w="1985" w:type="dxa"/>
          </w:tcPr>
          <w:p w:rsidR="00956DFC" w:rsidRPr="00011F70" w:rsidRDefault="00956DFC" w:rsidP="00C33834">
            <w:pPr>
              <w:jc w:val="center"/>
              <w:rPr>
                <w:rFonts w:cs="Arial"/>
                <w:sz w:val="18"/>
                <w:szCs w:val="18"/>
              </w:rPr>
            </w:pPr>
          </w:p>
        </w:tc>
        <w:tc>
          <w:tcPr>
            <w:tcW w:w="3118" w:type="dxa"/>
          </w:tcPr>
          <w:p w:rsidR="00956DFC" w:rsidRPr="00011F70" w:rsidRDefault="00956DFC" w:rsidP="00C33834">
            <w:pPr>
              <w:jc w:val="center"/>
              <w:rPr>
                <w:rFonts w:cs="Arial"/>
                <w:sz w:val="18"/>
                <w:szCs w:val="18"/>
              </w:rPr>
            </w:pPr>
            <w:r w:rsidRPr="00011F70">
              <w:rPr>
                <w:rFonts w:cs="Arial"/>
                <w:sz w:val="18"/>
                <w:szCs w:val="18"/>
              </w:rPr>
              <w:t>Esame preliminare del PR</w:t>
            </w:r>
          </w:p>
        </w:tc>
        <w:tc>
          <w:tcPr>
            <w:tcW w:w="1584" w:type="dxa"/>
          </w:tcPr>
          <w:p w:rsidR="00956DFC" w:rsidRPr="00011F70" w:rsidRDefault="00956DFC" w:rsidP="00C33834">
            <w:pPr>
              <w:jc w:val="center"/>
              <w:rPr>
                <w:rFonts w:cs="Arial"/>
                <w:sz w:val="18"/>
                <w:szCs w:val="18"/>
              </w:rPr>
            </w:pPr>
          </w:p>
        </w:tc>
      </w:tr>
      <w:tr w:rsidR="00956DFC" w:rsidRPr="00BD18E8" w:rsidTr="00C33834">
        <w:tc>
          <w:tcPr>
            <w:tcW w:w="817" w:type="dxa"/>
          </w:tcPr>
          <w:p w:rsidR="00956DFC" w:rsidRPr="00011F70" w:rsidRDefault="00956DFC" w:rsidP="00C33834">
            <w:pPr>
              <w:jc w:val="center"/>
              <w:rPr>
                <w:rFonts w:cs="Arial"/>
                <w:sz w:val="18"/>
                <w:szCs w:val="18"/>
              </w:rPr>
            </w:pPr>
            <w:r w:rsidRPr="00011F70">
              <w:rPr>
                <w:rFonts w:cs="Arial"/>
                <w:sz w:val="18"/>
                <w:szCs w:val="18"/>
              </w:rPr>
              <w:t>1995</w:t>
            </w:r>
          </w:p>
        </w:tc>
        <w:tc>
          <w:tcPr>
            <w:tcW w:w="2268" w:type="dxa"/>
          </w:tcPr>
          <w:p w:rsidR="00956DFC" w:rsidRPr="00011F70" w:rsidRDefault="00956DFC" w:rsidP="00C33834">
            <w:pPr>
              <w:jc w:val="center"/>
              <w:rPr>
                <w:rFonts w:cs="Arial"/>
                <w:sz w:val="18"/>
                <w:szCs w:val="18"/>
              </w:rPr>
            </w:pPr>
          </w:p>
        </w:tc>
        <w:tc>
          <w:tcPr>
            <w:tcW w:w="1985" w:type="dxa"/>
          </w:tcPr>
          <w:p w:rsidR="00956DFC" w:rsidRPr="00011F70" w:rsidRDefault="00956DFC" w:rsidP="00C33834">
            <w:pPr>
              <w:jc w:val="center"/>
              <w:rPr>
                <w:rFonts w:cs="Arial"/>
                <w:sz w:val="18"/>
                <w:szCs w:val="18"/>
              </w:rPr>
            </w:pPr>
          </w:p>
        </w:tc>
        <w:tc>
          <w:tcPr>
            <w:tcW w:w="3118" w:type="dxa"/>
          </w:tcPr>
          <w:p w:rsidR="00956DFC" w:rsidRPr="00011F70" w:rsidRDefault="00956DFC" w:rsidP="00C33834">
            <w:pPr>
              <w:jc w:val="center"/>
              <w:rPr>
                <w:rFonts w:cs="Arial"/>
                <w:sz w:val="18"/>
                <w:szCs w:val="18"/>
              </w:rPr>
            </w:pPr>
            <w:r w:rsidRPr="00011F70">
              <w:rPr>
                <w:rFonts w:cs="Arial"/>
                <w:sz w:val="18"/>
                <w:szCs w:val="18"/>
              </w:rPr>
              <w:t>Approvazione del PR con indicazione di zone di pericolo nella zona industriale</w:t>
            </w:r>
          </w:p>
        </w:tc>
        <w:tc>
          <w:tcPr>
            <w:tcW w:w="1584" w:type="dxa"/>
          </w:tcPr>
          <w:p w:rsidR="00956DFC" w:rsidRPr="00011F70" w:rsidRDefault="00956DFC" w:rsidP="00C33834">
            <w:pPr>
              <w:jc w:val="center"/>
              <w:rPr>
                <w:rFonts w:cs="Arial"/>
                <w:sz w:val="18"/>
                <w:szCs w:val="18"/>
              </w:rPr>
            </w:pPr>
          </w:p>
        </w:tc>
      </w:tr>
      <w:tr w:rsidR="00956DFC" w:rsidRPr="00BD18E8" w:rsidTr="00C33834">
        <w:tc>
          <w:tcPr>
            <w:tcW w:w="817" w:type="dxa"/>
          </w:tcPr>
          <w:p w:rsidR="00956DFC" w:rsidRPr="00011F70" w:rsidRDefault="00956DFC" w:rsidP="00C33834">
            <w:pPr>
              <w:jc w:val="center"/>
              <w:rPr>
                <w:rFonts w:cs="Arial"/>
                <w:sz w:val="18"/>
                <w:szCs w:val="18"/>
              </w:rPr>
            </w:pPr>
            <w:r w:rsidRPr="00011F70">
              <w:rPr>
                <w:rFonts w:cs="Arial"/>
                <w:sz w:val="18"/>
                <w:szCs w:val="18"/>
              </w:rPr>
              <w:t>1996</w:t>
            </w:r>
          </w:p>
        </w:tc>
        <w:tc>
          <w:tcPr>
            <w:tcW w:w="2268" w:type="dxa"/>
          </w:tcPr>
          <w:p w:rsidR="00956DFC" w:rsidRPr="00011F70" w:rsidRDefault="00956DFC" w:rsidP="00C33834">
            <w:pPr>
              <w:jc w:val="center"/>
              <w:rPr>
                <w:rFonts w:cs="Arial"/>
                <w:sz w:val="18"/>
                <w:szCs w:val="18"/>
              </w:rPr>
            </w:pPr>
          </w:p>
        </w:tc>
        <w:tc>
          <w:tcPr>
            <w:tcW w:w="1985" w:type="dxa"/>
          </w:tcPr>
          <w:p w:rsidR="00956DFC" w:rsidRPr="00011F70" w:rsidRDefault="00956DFC" w:rsidP="00C33834">
            <w:pPr>
              <w:jc w:val="center"/>
              <w:rPr>
                <w:rFonts w:cs="Arial"/>
                <w:sz w:val="18"/>
                <w:szCs w:val="18"/>
              </w:rPr>
            </w:pPr>
          </w:p>
        </w:tc>
        <w:tc>
          <w:tcPr>
            <w:tcW w:w="3118" w:type="dxa"/>
          </w:tcPr>
          <w:p w:rsidR="00956DFC" w:rsidRPr="00011F70" w:rsidRDefault="00956DFC" w:rsidP="00C33834">
            <w:pPr>
              <w:jc w:val="center"/>
              <w:rPr>
                <w:rFonts w:cs="Arial"/>
                <w:sz w:val="18"/>
                <w:szCs w:val="18"/>
              </w:rPr>
            </w:pPr>
            <w:r w:rsidRPr="00011F70">
              <w:rPr>
                <w:rFonts w:cs="Arial"/>
                <w:sz w:val="18"/>
                <w:szCs w:val="18"/>
              </w:rPr>
              <w:t>Approvazione di gran parte della zona industriale prima sospesa</w:t>
            </w:r>
          </w:p>
        </w:tc>
        <w:tc>
          <w:tcPr>
            <w:tcW w:w="1584" w:type="dxa"/>
          </w:tcPr>
          <w:p w:rsidR="00956DFC" w:rsidRPr="00011F70" w:rsidRDefault="00956DFC" w:rsidP="00C33834">
            <w:pPr>
              <w:jc w:val="center"/>
              <w:rPr>
                <w:rFonts w:cs="Arial"/>
                <w:sz w:val="18"/>
                <w:szCs w:val="18"/>
              </w:rPr>
            </w:pPr>
          </w:p>
        </w:tc>
      </w:tr>
      <w:tr w:rsidR="00956DFC" w:rsidRPr="00BD18E8" w:rsidTr="00C33834">
        <w:tc>
          <w:tcPr>
            <w:tcW w:w="817" w:type="dxa"/>
          </w:tcPr>
          <w:p w:rsidR="00956DFC" w:rsidRPr="00011F70" w:rsidRDefault="00956DFC" w:rsidP="00C33834">
            <w:pPr>
              <w:jc w:val="center"/>
              <w:rPr>
                <w:rFonts w:cs="Arial"/>
                <w:sz w:val="18"/>
                <w:szCs w:val="18"/>
              </w:rPr>
            </w:pPr>
            <w:r w:rsidRPr="00011F70">
              <w:rPr>
                <w:rFonts w:cs="Arial"/>
                <w:sz w:val="18"/>
                <w:szCs w:val="18"/>
              </w:rPr>
              <w:t>1997</w:t>
            </w:r>
          </w:p>
        </w:tc>
        <w:tc>
          <w:tcPr>
            <w:tcW w:w="2268" w:type="dxa"/>
          </w:tcPr>
          <w:p w:rsidR="00956DFC" w:rsidRPr="00011F70" w:rsidRDefault="00956DFC" w:rsidP="00C33834">
            <w:pPr>
              <w:jc w:val="center"/>
              <w:rPr>
                <w:rFonts w:cs="Arial"/>
                <w:sz w:val="18"/>
                <w:szCs w:val="18"/>
              </w:rPr>
            </w:pPr>
          </w:p>
        </w:tc>
        <w:tc>
          <w:tcPr>
            <w:tcW w:w="1985" w:type="dxa"/>
          </w:tcPr>
          <w:p w:rsidR="00956DFC" w:rsidRPr="00011F70" w:rsidRDefault="00956DFC" w:rsidP="00C33834">
            <w:pPr>
              <w:jc w:val="center"/>
              <w:rPr>
                <w:rFonts w:cs="Arial"/>
                <w:sz w:val="18"/>
                <w:szCs w:val="18"/>
              </w:rPr>
            </w:pPr>
            <w:r w:rsidRPr="00011F70">
              <w:rPr>
                <w:rFonts w:cs="Arial"/>
                <w:sz w:val="18"/>
                <w:szCs w:val="18"/>
              </w:rPr>
              <w:t>Installazione di 5 estensimetri</w:t>
            </w:r>
          </w:p>
        </w:tc>
        <w:tc>
          <w:tcPr>
            <w:tcW w:w="3118" w:type="dxa"/>
          </w:tcPr>
          <w:p w:rsidR="00956DFC" w:rsidRPr="00011F70" w:rsidRDefault="00956DFC" w:rsidP="00C33834">
            <w:pPr>
              <w:jc w:val="center"/>
              <w:rPr>
                <w:rFonts w:cs="Arial"/>
                <w:sz w:val="18"/>
                <w:szCs w:val="18"/>
              </w:rPr>
            </w:pPr>
          </w:p>
        </w:tc>
        <w:tc>
          <w:tcPr>
            <w:tcW w:w="1584" w:type="dxa"/>
          </w:tcPr>
          <w:p w:rsidR="00956DFC" w:rsidRPr="00011F70" w:rsidRDefault="00956DFC" w:rsidP="00C33834">
            <w:pPr>
              <w:jc w:val="center"/>
              <w:rPr>
                <w:rFonts w:cs="Arial"/>
                <w:sz w:val="18"/>
                <w:szCs w:val="18"/>
              </w:rPr>
            </w:pPr>
          </w:p>
        </w:tc>
      </w:tr>
      <w:tr w:rsidR="00956DFC" w:rsidRPr="00BD18E8" w:rsidTr="00C33834">
        <w:tc>
          <w:tcPr>
            <w:tcW w:w="817" w:type="dxa"/>
          </w:tcPr>
          <w:p w:rsidR="00956DFC" w:rsidRPr="00011F70" w:rsidRDefault="00956DFC" w:rsidP="00C33834">
            <w:pPr>
              <w:jc w:val="center"/>
              <w:rPr>
                <w:rFonts w:cs="Arial"/>
                <w:sz w:val="18"/>
                <w:szCs w:val="18"/>
              </w:rPr>
            </w:pPr>
            <w:r w:rsidRPr="00011F70">
              <w:rPr>
                <w:rFonts w:cs="Arial"/>
                <w:sz w:val="18"/>
                <w:szCs w:val="18"/>
              </w:rPr>
              <w:t>1998</w:t>
            </w:r>
          </w:p>
        </w:tc>
        <w:tc>
          <w:tcPr>
            <w:tcW w:w="2268" w:type="dxa"/>
          </w:tcPr>
          <w:p w:rsidR="00956DFC" w:rsidRPr="00011F70" w:rsidRDefault="00956DFC" w:rsidP="00C33834">
            <w:pPr>
              <w:jc w:val="center"/>
              <w:rPr>
                <w:rFonts w:cs="Arial"/>
                <w:sz w:val="18"/>
                <w:szCs w:val="18"/>
              </w:rPr>
            </w:pPr>
            <w:r w:rsidRPr="00011F70">
              <w:rPr>
                <w:rFonts w:cs="Arial"/>
                <w:sz w:val="18"/>
                <w:szCs w:val="18"/>
              </w:rPr>
              <w:t>Inizio dell'accelerazione dei movimenti</w:t>
            </w:r>
          </w:p>
        </w:tc>
        <w:tc>
          <w:tcPr>
            <w:tcW w:w="1985" w:type="dxa"/>
          </w:tcPr>
          <w:p w:rsidR="00956DFC" w:rsidRPr="00011F70" w:rsidRDefault="00956DFC" w:rsidP="00C33834">
            <w:pPr>
              <w:jc w:val="center"/>
              <w:rPr>
                <w:rFonts w:cs="Arial"/>
                <w:sz w:val="18"/>
                <w:szCs w:val="18"/>
              </w:rPr>
            </w:pPr>
            <w:r w:rsidRPr="00011F70">
              <w:rPr>
                <w:rFonts w:cs="Arial"/>
                <w:sz w:val="18"/>
                <w:szCs w:val="18"/>
              </w:rPr>
              <w:t>1</w:t>
            </w:r>
            <w:r w:rsidRPr="00F32DCF">
              <w:rPr>
                <w:rFonts w:cs="Arial"/>
                <w:sz w:val="18"/>
                <w:szCs w:val="18"/>
                <w:vertAlign w:val="superscript"/>
              </w:rPr>
              <w:t>a</w:t>
            </w:r>
            <w:r w:rsidRPr="00011F70">
              <w:rPr>
                <w:rFonts w:cs="Arial"/>
                <w:sz w:val="18"/>
                <w:szCs w:val="18"/>
              </w:rPr>
              <w:t xml:space="preserve"> evacuazione</w:t>
            </w:r>
          </w:p>
        </w:tc>
        <w:tc>
          <w:tcPr>
            <w:tcW w:w="3118" w:type="dxa"/>
          </w:tcPr>
          <w:p w:rsidR="00956DFC" w:rsidRPr="00011F70" w:rsidRDefault="00956DFC" w:rsidP="00C33834">
            <w:pPr>
              <w:jc w:val="center"/>
              <w:rPr>
                <w:rFonts w:cs="Arial"/>
                <w:sz w:val="18"/>
                <w:szCs w:val="18"/>
              </w:rPr>
            </w:pPr>
            <w:r w:rsidRPr="00011F70">
              <w:rPr>
                <w:rFonts w:cs="Arial"/>
                <w:sz w:val="18"/>
                <w:szCs w:val="18"/>
              </w:rPr>
              <w:t>Reintegro anche della zona ancora sospesa, modifica delle indicazioni relative alle zone di pericolo</w:t>
            </w:r>
          </w:p>
        </w:tc>
        <w:tc>
          <w:tcPr>
            <w:tcW w:w="1584" w:type="dxa"/>
          </w:tcPr>
          <w:p w:rsidR="00956DFC" w:rsidRPr="00011F70" w:rsidRDefault="00956DFC" w:rsidP="00C33834">
            <w:pPr>
              <w:jc w:val="center"/>
              <w:rPr>
                <w:rFonts w:cs="Arial"/>
                <w:sz w:val="18"/>
                <w:szCs w:val="18"/>
              </w:rPr>
            </w:pPr>
          </w:p>
        </w:tc>
      </w:tr>
      <w:tr w:rsidR="00956DFC" w:rsidRPr="00BD18E8" w:rsidTr="00C33834">
        <w:tc>
          <w:tcPr>
            <w:tcW w:w="817" w:type="dxa"/>
          </w:tcPr>
          <w:p w:rsidR="00956DFC" w:rsidRPr="00011F70" w:rsidRDefault="00956DFC" w:rsidP="00C33834">
            <w:pPr>
              <w:jc w:val="center"/>
              <w:rPr>
                <w:rFonts w:cs="Arial"/>
                <w:sz w:val="18"/>
                <w:szCs w:val="18"/>
              </w:rPr>
            </w:pPr>
            <w:r w:rsidRPr="00011F70">
              <w:rPr>
                <w:rFonts w:cs="Arial"/>
                <w:sz w:val="18"/>
                <w:szCs w:val="18"/>
              </w:rPr>
              <w:t>1999</w:t>
            </w:r>
          </w:p>
        </w:tc>
        <w:tc>
          <w:tcPr>
            <w:tcW w:w="2268" w:type="dxa"/>
          </w:tcPr>
          <w:p w:rsidR="00956DFC" w:rsidRPr="00011F70" w:rsidRDefault="00956DFC" w:rsidP="00C33834">
            <w:pPr>
              <w:jc w:val="center"/>
              <w:rPr>
                <w:rFonts w:cs="Arial"/>
                <w:sz w:val="18"/>
                <w:szCs w:val="18"/>
              </w:rPr>
            </w:pPr>
          </w:p>
        </w:tc>
        <w:tc>
          <w:tcPr>
            <w:tcW w:w="1985" w:type="dxa"/>
          </w:tcPr>
          <w:p w:rsidR="00956DFC" w:rsidRPr="00011F70" w:rsidRDefault="00956DFC" w:rsidP="00C33834">
            <w:pPr>
              <w:jc w:val="center"/>
              <w:rPr>
                <w:rFonts w:cs="Arial"/>
                <w:sz w:val="18"/>
                <w:szCs w:val="18"/>
              </w:rPr>
            </w:pPr>
            <w:r w:rsidRPr="00011F70">
              <w:rPr>
                <w:rFonts w:cs="Arial"/>
                <w:sz w:val="18"/>
                <w:szCs w:val="18"/>
              </w:rPr>
              <w:t>Primo vallo di contenimento</w:t>
            </w:r>
            <w:r>
              <w:rPr>
                <w:rFonts w:cs="Arial"/>
                <w:sz w:val="18"/>
                <w:szCs w:val="18"/>
              </w:rPr>
              <w:t xml:space="preserve"> con capienza 20'000 mc</w:t>
            </w:r>
          </w:p>
        </w:tc>
        <w:tc>
          <w:tcPr>
            <w:tcW w:w="3118" w:type="dxa"/>
          </w:tcPr>
          <w:p w:rsidR="00956DFC" w:rsidRPr="00011F70" w:rsidRDefault="00956DFC" w:rsidP="00C33834">
            <w:pPr>
              <w:jc w:val="center"/>
              <w:rPr>
                <w:rFonts w:cs="Arial"/>
                <w:sz w:val="18"/>
                <w:szCs w:val="18"/>
              </w:rPr>
            </w:pPr>
          </w:p>
        </w:tc>
        <w:tc>
          <w:tcPr>
            <w:tcW w:w="1584" w:type="dxa"/>
          </w:tcPr>
          <w:p w:rsidR="00956DFC" w:rsidRPr="00011F70" w:rsidRDefault="00956DFC" w:rsidP="00C33834">
            <w:pPr>
              <w:jc w:val="center"/>
              <w:rPr>
                <w:rFonts w:cs="Arial"/>
                <w:sz w:val="18"/>
                <w:szCs w:val="18"/>
              </w:rPr>
            </w:pPr>
          </w:p>
        </w:tc>
      </w:tr>
      <w:tr w:rsidR="00956DFC" w:rsidRPr="00BD18E8" w:rsidTr="00C33834">
        <w:tc>
          <w:tcPr>
            <w:tcW w:w="817" w:type="dxa"/>
          </w:tcPr>
          <w:p w:rsidR="00956DFC" w:rsidRPr="00011F70" w:rsidRDefault="00956DFC" w:rsidP="00C33834">
            <w:pPr>
              <w:jc w:val="center"/>
              <w:rPr>
                <w:rFonts w:cs="Arial"/>
                <w:sz w:val="18"/>
                <w:szCs w:val="18"/>
              </w:rPr>
            </w:pPr>
            <w:r w:rsidRPr="00011F70">
              <w:rPr>
                <w:rFonts w:cs="Arial"/>
                <w:sz w:val="18"/>
                <w:szCs w:val="18"/>
              </w:rPr>
              <w:t>2001</w:t>
            </w:r>
          </w:p>
          <w:p w:rsidR="00956DFC" w:rsidRDefault="00956DFC" w:rsidP="00C33834">
            <w:pPr>
              <w:pStyle w:val="Paragrafoelenco1"/>
              <w:ind w:left="0"/>
              <w:jc w:val="center"/>
              <w:rPr>
                <w:rFonts w:ascii="Arial" w:hAnsi="Arial" w:cs="Arial"/>
                <w:sz w:val="18"/>
                <w:szCs w:val="18"/>
              </w:rPr>
            </w:pPr>
            <w:r>
              <w:rPr>
                <w:rFonts w:ascii="Arial" w:hAnsi="Arial" w:cs="Arial"/>
                <w:sz w:val="18"/>
                <w:szCs w:val="18"/>
              </w:rPr>
              <w:t>10.6</w:t>
            </w:r>
          </w:p>
          <w:p w:rsidR="00956DFC" w:rsidRDefault="00956DFC" w:rsidP="00C33834">
            <w:pPr>
              <w:pStyle w:val="Paragrafoelenco1"/>
              <w:ind w:left="0"/>
              <w:jc w:val="center"/>
              <w:rPr>
                <w:rFonts w:ascii="Arial" w:hAnsi="Arial" w:cs="Arial"/>
                <w:sz w:val="18"/>
                <w:szCs w:val="18"/>
              </w:rPr>
            </w:pPr>
          </w:p>
          <w:p w:rsidR="00956DFC" w:rsidRPr="00011F70" w:rsidRDefault="00956DFC" w:rsidP="00C33834">
            <w:pPr>
              <w:pStyle w:val="Paragrafoelenco1"/>
              <w:ind w:left="0"/>
              <w:jc w:val="center"/>
              <w:rPr>
                <w:rFonts w:ascii="Arial" w:hAnsi="Arial" w:cs="Arial"/>
                <w:sz w:val="18"/>
                <w:szCs w:val="18"/>
              </w:rPr>
            </w:pPr>
            <w:r>
              <w:rPr>
                <w:rFonts w:ascii="Arial" w:hAnsi="Arial" w:cs="Arial"/>
                <w:sz w:val="18"/>
                <w:szCs w:val="18"/>
              </w:rPr>
              <w:t>15.7</w:t>
            </w:r>
          </w:p>
        </w:tc>
        <w:tc>
          <w:tcPr>
            <w:tcW w:w="2268" w:type="dxa"/>
          </w:tcPr>
          <w:p w:rsidR="00956DFC" w:rsidRPr="00011F70" w:rsidRDefault="00956DFC" w:rsidP="00C33834">
            <w:pPr>
              <w:jc w:val="center"/>
              <w:rPr>
                <w:rFonts w:cs="Arial"/>
                <w:sz w:val="18"/>
                <w:szCs w:val="18"/>
              </w:rPr>
            </w:pPr>
          </w:p>
          <w:p w:rsidR="00956DFC" w:rsidRPr="00011F70" w:rsidRDefault="00956DFC" w:rsidP="00956DFC">
            <w:pPr>
              <w:pStyle w:val="Paragrafoelenco1"/>
              <w:numPr>
                <w:ilvl w:val="0"/>
                <w:numId w:val="13"/>
              </w:numPr>
              <w:ind w:left="142" w:hanging="142"/>
              <w:jc w:val="center"/>
              <w:rPr>
                <w:rFonts w:ascii="Arial" w:hAnsi="Arial" w:cs="Arial"/>
                <w:sz w:val="18"/>
                <w:szCs w:val="18"/>
              </w:rPr>
            </w:pPr>
            <w:r w:rsidRPr="00011F70">
              <w:rPr>
                <w:rFonts w:ascii="Arial" w:hAnsi="Arial" w:cs="Arial"/>
                <w:sz w:val="18"/>
                <w:szCs w:val="18"/>
              </w:rPr>
              <w:t>Prima colata di detriti</w:t>
            </w:r>
            <w:r>
              <w:rPr>
                <w:rFonts w:ascii="Arial" w:hAnsi="Arial" w:cs="Arial"/>
                <w:sz w:val="18"/>
                <w:szCs w:val="18"/>
              </w:rPr>
              <w:t xml:space="preserve"> 28'000 mc</w:t>
            </w:r>
          </w:p>
          <w:p w:rsidR="00956DFC" w:rsidRPr="00011F70" w:rsidRDefault="00956DFC" w:rsidP="00956DFC">
            <w:pPr>
              <w:pStyle w:val="Paragrafoelenco1"/>
              <w:numPr>
                <w:ilvl w:val="0"/>
                <w:numId w:val="13"/>
              </w:numPr>
              <w:ind w:left="142" w:hanging="142"/>
              <w:jc w:val="center"/>
              <w:rPr>
                <w:rFonts w:ascii="Arial" w:hAnsi="Arial" w:cs="Arial"/>
                <w:sz w:val="18"/>
                <w:szCs w:val="18"/>
              </w:rPr>
            </w:pPr>
            <w:r w:rsidRPr="00011F70">
              <w:rPr>
                <w:rFonts w:ascii="Arial" w:hAnsi="Arial" w:cs="Arial"/>
                <w:sz w:val="18"/>
                <w:szCs w:val="18"/>
              </w:rPr>
              <w:t>Seconda colata</w:t>
            </w:r>
            <w:r>
              <w:rPr>
                <w:rFonts w:ascii="Arial" w:hAnsi="Arial" w:cs="Arial"/>
                <w:sz w:val="18"/>
                <w:szCs w:val="18"/>
              </w:rPr>
              <w:t xml:space="preserve"> di 20'000 mc</w:t>
            </w:r>
          </w:p>
        </w:tc>
        <w:tc>
          <w:tcPr>
            <w:tcW w:w="1985" w:type="dxa"/>
          </w:tcPr>
          <w:p w:rsidR="00956DFC" w:rsidRPr="00011F70" w:rsidRDefault="00956DFC" w:rsidP="00C33834">
            <w:pPr>
              <w:jc w:val="center"/>
              <w:rPr>
                <w:rFonts w:cs="Arial"/>
                <w:sz w:val="18"/>
                <w:szCs w:val="18"/>
              </w:rPr>
            </w:pPr>
          </w:p>
          <w:p w:rsidR="00956DFC" w:rsidRPr="00B87D9F" w:rsidRDefault="00956DFC" w:rsidP="00C33834">
            <w:pPr>
              <w:pStyle w:val="Paragrafoelenco1"/>
              <w:ind w:left="0"/>
              <w:jc w:val="center"/>
              <w:rPr>
                <w:rFonts w:ascii="Arial" w:hAnsi="Arial" w:cs="Arial"/>
                <w:sz w:val="18"/>
                <w:szCs w:val="18"/>
              </w:rPr>
            </w:pPr>
            <w:r w:rsidRPr="00B87D9F">
              <w:rPr>
                <w:rFonts w:ascii="Arial" w:hAnsi="Arial" w:cs="Arial"/>
                <w:sz w:val="18"/>
                <w:szCs w:val="18"/>
              </w:rPr>
              <w:t>Ampliamento del vallo di protezione a 70'000 mc</w:t>
            </w:r>
          </w:p>
        </w:tc>
        <w:tc>
          <w:tcPr>
            <w:tcW w:w="3118" w:type="dxa"/>
          </w:tcPr>
          <w:p w:rsidR="00956DFC" w:rsidRPr="00011F70" w:rsidRDefault="00956DFC" w:rsidP="00C33834">
            <w:pPr>
              <w:jc w:val="center"/>
              <w:rPr>
                <w:rFonts w:cs="Arial"/>
                <w:sz w:val="18"/>
                <w:szCs w:val="18"/>
              </w:rPr>
            </w:pPr>
          </w:p>
        </w:tc>
        <w:tc>
          <w:tcPr>
            <w:tcW w:w="1584" w:type="dxa"/>
          </w:tcPr>
          <w:p w:rsidR="00956DFC" w:rsidRPr="00011F70" w:rsidRDefault="00956DFC" w:rsidP="00C33834">
            <w:pPr>
              <w:jc w:val="center"/>
              <w:rPr>
                <w:rFonts w:cs="Arial"/>
                <w:sz w:val="18"/>
                <w:szCs w:val="18"/>
              </w:rPr>
            </w:pPr>
          </w:p>
        </w:tc>
      </w:tr>
      <w:tr w:rsidR="00956DFC" w:rsidRPr="00BD18E8" w:rsidTr="00C33834">
        <w:tc>
          <w:tcPr>
            <w:tcW w:w="817" w:type="dxa"/>
          </w:tcPr>
          <w:p w:rsidR="00956DFC" w:rsidRPr="00011F70" w:rsidRDefault="00956DFC" w:rsidP="00C33834">
            <w:pPr>
              <w:jc w:val="center"/>
              <w:rPr>
                <w:rFonts w:cs="Arial"/>
                <w:sz w:val="18"/>
                <w:szCs w:val="18"/>
              </w:rPr>
            </w:pPr>
            <w:r w:rsidRPr="00011F70">
              <w:rPr>
                <w:rFonts w:cs="Arial"/>
                <w:sz w:val="18"/>
                <w:szCs w:val="18"/>
              </w:rPr>
              <w:t>2002</w:t>
            </w:r>
          </w:p>
          <w:p w:rsidR="00956DFC" w:rsidRPr="00011F70" w:rsidRDefault="00956DFC" w:rsidP="00C33834">
            <w:pPr>
              <w:pStyle w:val="Paragrafoelenco1"/>
              <w:ind w:left="0"/>
              <w:jc w:val="center"/>
              <w:rPr>
                <w:rFonts w:ascii="Arial" w:hAnsi="Arial" w:cs="Arial"/>
                <w:sz w:val="18"/>
                <w:szCs w:val="18"/>
              </w:rPr>
            </w:pPr>
            <w:r>
              <w:rPr>
                <w:rFonts w:ascii="Arial" w:hAnsi="Arial" w:cs="Arial"/>
                <w:sz w:val="18"/>
                <w:szCs w:val="18"/>
              </w:rPr>
              <w:t>8.5</w:t>
            </w:r>
          </w:p>
          <w:p w:rsidR="00956DFC" w:rsidRPr="00011F70" w:rsidRDefault="00956DFC" w:rsidP="00C33834">
            <w:pPr>
              <w:jc w:val="center"/>
              <w:rPr>
                <w:rFonts w:cs="Arial"/>
                <w:sz w:val="18"/>
                <w:szCs w:val="18"/>
              </w:rPr>
            </w:pPr>
          </w:p>
        </w:tc>
        <w:tc>
          <w:tcPr>
            <w:tcW w:w="2268" w:type="dxa"/>
          </w:tcPr>
          <w:p w:rsidR="00956DFC" w:rsidRPr="00011F70" w:rsidRDefault="00956DFC" w:rsidP="00C33834">
            <w:pPr>
              <w:jc w:val="center"/>
              <w:rPr>
                <w:rFonts w:cs="Arial"/>
                <w:sz w:val="18"/>
                <w:szCs w:val="18"/>
              </w:rPr>
            </w:pPr>
            <w:r w:rsidRPr="00011F70">
              <w:rPr>
                <w:rFonts w:cs="Arial"/>
                <w:sz w:val="18"/>
                <w:szCs w:val="18"/>
              </w:rPr>
              <w:t>Crollo di 150'000 mc</w:t>
            </w:r>
          </w:p>
        </w:tc>
        <w:tc>
          <w:tcPr>
            <w:tcW w:w="1985" w:type="dxa"/>
          </w:tcPr>
          <w:p w:rsidR="00956DFC" w:rsidRPr="00011F70" w:rsidRDefault="00956DFC" w:rsidP="00C33834">
            <w:pPr>
              <w:jc w:val="center"/>
              <w:rPr>
                <w:rFonts w:cs="Arial"/>
                <w:sz w:val="18"/>
                <w:szCs w:val="18"/>
              </w:rPr>
            </w:pPr>
            <w:r>
              <w:rPr>
                <w:rFonts w:cs="Arial"/>
                <w:sz w:val="18"/>
                <w:szCs w:val="18"/>
              </w:rPr>
              <w:t>2</w:t>
            </w:r>
            <w:r w:rsidRPr="00F32DCF">
              <w:rPr>
                <w:rFonts w:cs="Arial"/>
                <w:sz w:val="18"/>
                <w:szCs w:val="18"/>
                <w:vertAlign w:val="superscript"/>
              </w:rPr>
              <w:t>a</w:t>
            </w:r>
            <w:r w:rsidRPr="00011F70">
              <w:rPr>
                <w:rFonts w:cs="Arial"/>
                <w:sz w:val="18"/>
                <w:szCs w:val="18"/>
              </w:rPr>
              <w:t xml:space="preserve"> evacuazione</w:t>
            </w:r>
          </w:p>
          <w:p w:rsidR="00956DFC" w:rsidRPr="00011F70" w:rsidRDefault="00956DFC" w:rsidP="00C33834">
            <w:pPr>
              <w:jc w:val="center"/>
              <w:rPr>
                <w:rFonts w:cs="Arial"/>
                <w:sz w:val="18"/>
                <w:szCs w:val="18"/>
              </w:rPr>
            </w:pPr>
          </w:p>
        </w:tc>
        <w:tc>
          <w:tcPr>
            <w:tcW w:w="3118" w:type="dxa"/>
          </w:tcPr>
          <w:p w:rsidR="00956DFC" w:rsidRPr="00011F70" w:rsidRDefault="00956DFC" w:rsidP="00C33834">
            <w:pPr>
              <w:jc w:val="center"/>
              <w:rPr>
                <w:rFonts w:cs="Arial"/>
                <w:sz w:val="18"/>
                <w:szCs w:val="18"/>
              </w:rPr>
            </w:pPr>
            <w:r w:rsidRPr="00011F70">
              <w:rPr>
                <w:rFonts w:cs="Arial"/>
                <w:sz w:val="18"/>
                <w:szCs w:val="18"/>
              </w:rPr>
              <w:t>Il DT avvisa il Comune che occorre impedire l'aumento del rischio con nuovi insediamenti</w:t>
            </w:r>
          </w:p>
        </w:tc>
        <w:tc>
          <w:tcPr>
            <w:tcW w:w="1584" w:type="dxa"/>
          </w:tcPr>
          <w:p w:rsidR="00956DFC" w:rsidRPr="00011F70" w:rsidRDefault="00956DFC" w:rsidP="00C33834">
            <w:pPr>
              <w:jc w:val="center"/>
              <w:rPr>
                <w:rFonts w:cs="Arial"/>
                <w:sz w:val="18"/>
                <w:szCs w:val="18"/>
              </w:rPr>
            </w:pPr>
          </w:p>
        </w:tc>
      </w:tr>
      <w:tr w:rsidR="00956DFC" w:rsidRPr="00BD18E8" w:rsidTr="00C33834">
        <w:tc>
          <w:tcPr>
            <w:tcW w:w="817" w:type="dxa"/>
          </w:tcPr>
          <w:p w:rsidR="00956DFC" w:rsidRDefault="00956DFC" w:rsidP="00C33834">
            <w:pPr>
              <w:jc w:val="center"/>
              <w:rPr>
                <w:rFonts w:cs="Arial"/>
                <w:sz w:val="18"/>
                <w:szCs w:val="18"/>
              </w:rPr>
            </w:pPr>
            <w:r>
              <w:rPr>
                <w:rFonts w:cs="Arial"/>
                <w:sz w:val="18"/>
                <w:szCs w:val="18"/>
              </w:rPr>
              <w:t>2003</w:t>
            </w:r>
          </w:p>
          <w:p w:rsidR="00956DFC" w:rsidRPr="00011F70" w:rsidRDefault="00956DFC" w:rsidP="00C33834">
            <w:pPr>
              <w:jc w:val="center"/>
              <w:rPr>
                <w:rFonts w:cs="Arial"/>
                <w:sz w:val="18"/>
                <w:szCs w:val="18"/>
              </w:rPr>
            </w:pPr>
            <w:r>
              <w:rPr>
                <w:rFonts w:cs="Arial"/>
                <w:sz w:val="18"/>
                <w:szCs w:val="18"/>
              </w:rPr>
              <w:t>29.8</w:t>
            </w:r>
          </w:p>
        </w:tc>
        <w:tc>
          <w:tcPr>
            <w:tcW w:w="2268" w:type="dxa"/>
          </w:tcPr>
          <w:p w:rsidR="00956DFC" w:rsidRDefault="00956DFC" w:rsidP="00C33834">
            <w:pPr>
              <w:jc w:val="center"/>
              <w:rPr>
                <w:rFonts w:cs="Arial"/>
                <w:sz w:val="18"/>
                <w:szCs w:val="18"/>
              </w:rPr>
            </w:pPr>
          </w:p>
          <w:p w:rsidR="00956DFC" w:rsidRPr="00011F70" w:rsidRDefault="00956DFC" w:rsidP="00C33834">
            <w:pPr>
              <w:jc w:val="center"/>
              <w:rPr>
                <w:rFonts w:cs="Arial"/>
                <w:sz w:val="18"/>
                <w:szCs w:val="18"/>
              </w:rPr>
            </w:pPr>
            <w:r>
              <w:rPr>
                <w:rFonts w:cs="Arial"/>
                <w:sz w:val="18"/>
                <w:szCs w:val="18"/>
              </w:rPr>
              <w:t>Colata di fango di 3'000 mc</w:t>
            </w:r>
          </w:p>
        </w:tc>
        <w:tc>
          <w:tcPr>
            <w:tcW w:w="1985" w:type="dxa"/>
          </w:tcPr>
          <w:p w:rsidR="00956DFC" w:rsidRPr="00011F70" w:rsidRDefault="00956DFC" w:rsidP="00C33834">
            <w:pPr>
              <w:jc w:val="center"/>
              <w:rPr>
                <w:rFonts w:cs="Arial"/>
                <w:sz w:val="18"/>
                <w:szCs w:val="18"/>
              </w:rPr>
            </w:pPr>
          </w:p>
        </w:tc>
        <w:tc>
          <w:tcPr>
            <w:tcW w:w="3118" w:type="dxa"/>
          </w:tcPr>
          <w:p w:rsidR="00956DFC" w:rsidRPr="00011F70" w:rsidRDefault="00956DFC" w:rsidP="00C33834">
            <w:pPr>
              <w:jc w:val="center"/>
              <w:rPr>
                <w:rFonts w:cs="Arial"/>
                <w:sz w:val="18"/>
                <w:szCs w:val="18"/>
              </w:rPr>
            </w:pPr>
          </w:p>
        </w:tc>
        <w:tc>
          <w:tcPr>
            <w:tcW w:w="1584" w:type="dxa"/>
          </w:tcPr>
          <w:p w:rsidR="00956DFC" w:rsidRPr="00011F70" w:rsidRDefault="00956DFC" w:rsidP="00C33834">
            <w:pPr>
              <w:jc w:val="center"/>
              <w:rPr>
                <w:rFonts w:cs="Arial"/>
                <w:sz w:val="18"/>
                <w:szCs w:val="18"/>
              </w:rPr>
            </w:pPr>
          </w:p>
        </w:tc>
      </w:tr>
      <w:tr w:rsidR="00956DFC" w:rsidRPr="00BD18E8" w:rsidTr="00C33834">
        <w:tc>
          <w:tcPr>
            <w:tcW w:w="817" w:type="dxa"/>
          </w:tcPr>
          <w:p w:rsidR="00956DFC" w:rsidRDefault="00956DFC" w:rsidP="00C33834">
            <w:pPr>
              <w:jc w:val="center"/>
              <w:rPr>
                <w:rFonts w:cs="Arial"/>
                <w:sz w:val="18"/>
                <w:szCs w:val="18"/>
              </w:rPr>
            </w:pPr>
            <w:r w:rsidRPr="00011F70">
              <w:rPr>
                <w:rFonts w:cs="Arial"/>
                <w:sz w:val="18"/>
                <w:szCs w:val="18"/>
              </w:rPr>
              <w:t>2004</w:t>
            </w:r>
          </w:p>
          <w:p w:rsidR="00956DFC" w:rsidRDefault="00956DFC" w:rsidP="00C33834">
            <w:pPr>
              <w:jc w:val="center"/>
              <w:rPr>
                <w:rFonts w:cs="Arial"/>
                <w:sz w:val="18"/>
                <w:szCs w:val="18"/>
              </w:rPr>
            </w:pPr>
            <w:r>
              <w:rPr>
                <w:rFonts w:cs="Arial"/>
                <w:sz w:val="18"/>
                <w:szCs w:val="18"/>
              </w:rPr>
              <w:t>9.7</w:t>
            </w:r>
          </w:p>
          <w:p w:rsidR="00956DFC" w:rsidRDefault="00956DFC" w:rsidP="00C33834">
            <w:pPr>
              <w:jc w:val="center"/>
              <w:rPr>
                <w:rFonts w:cs="Arial"/>
                <w:sz w:val="18"/>
                <w:szCs w:val="18"/>
              </w:rPr>
            </w:pPr>
          </w:p>
          <w:p w:rsidR="00956DFC" w:rsidRPr="00011F70" w:rsidRDefault="00956DFC" w:rsidP="00C33834">
            <w:pPr>
              <w:jc w:val="center"/>
              <w:rPr>
                <w:rFonts w:cs="Arial"/>
                <w:sz w:val="18"/>
                <w:szCs w:val="18"/>
              </w:rPr>
            </w:pPr>
            <w:r>
              <w:rPr>
                <w:rFonts w:cs="Arial"/>
                <w:sz w:val="18"/>
                <w:szCs w:val="18"/>
              </w:rPr>
              <w:t>20.8</w:t>
            </w:r>
          </w:p>
        </w:tc>
        <w:tc>
          <w:tcPr>
            <w:tcW w:w="2268" w:type="dxa"/>
          </w:tcPr>
          <w:p w:rsidR="00956DFC" w:rsidRDefault="00956DFC" w:rsidP="00C33834">
            <w:pPr>
              <w:jc w:val="center"/>
              <w:rPr>
                <w:rFonts w:cs="Arial"/>
                <w:sz w:val="18"/>
                <w:szCs w:val="18"/>
              </w:rPr>
            </w:pPr>
          </w:p>
          <w:p w:rsidR="00956DFC" w:rsidRDefault="00956DFC" w:rsidP="00C33834">
            <w:pPr>
              <w:jc w:val="center"/>
              <w:rPr>
                <w:rFonts w:cs="Arial"/>
                <w:sz w:val="18"/>
                <w:szCs w:val="18"/>
              </w:rPr>
            </w:pPr>
            <w:r>
              <w:rPr>
                <w:rFonts w:cs="Arial"/>
                <w:sz w:val="18"/>
                <w:szCs w:val="18"/>
              </w:rPr>
              <w:t>Colata di fango 4'000 mc</w:t>
            </w:r>
          </w:p>
          <w:p w:rsidR="00956DFC" w:rsidRDefault="00956DFC" w:rsidP="00C33834">
            <w:pPr>
              <w:jc w:val="center"/>
              <w:rPr>
                <w:rFonts w:cs="Arial"/>
                <w:sz w:val="18"/>
                <w:szCs w:val="18"/>
              </w:rPr>
            </w:pPr>
          </w:p>
          <w:p w:rsidR="00956DFC" w:rsidRPr="00011F70" w:rsidRDefault="00956DFC" w:rsidP="00C33834">
            <w:pPr>
              <w:jc w:val="center"/>
              <w:rPr>
                <w:rFonts w:cs="Arial"/>
                <w:sz w:val="18"/>
                <w:szCs w:val="18"/>
              </w:rPr>
            </w:pPr>
            <w:r>
              <w:rPr>
                <w:rFonts w:cs="Arial"/>
                <w:sz w:val="18"/>
                <w:szCs w:val="18"/>
              </w:rPr>
              <w:t>Colata di 5'000 mc</w:t>
            </w:r>
          </w:p>
        </w:tc>
        <w:tc>
          <w:tcPr>
            <w:tcW w:w="1985" w:type="dxa"/>
          </w:tcPr>
          <w:p w:rsidR="00956DFC" w:rsidRPr="00011F70" w:rsidRDefault="00956DFC" w:rsidP="00C33834">
            <w:pPr>
              <w:jc w:val="center"/>
              <w:rPr>
                <w:rFonts w:cs="Arial"/>
                <w:sz w:val="18"/>
                <w:szCs w:val="18"/>
              </w:rPr>
            </w:pPr>
          </w:p>
        </w:tc>
        <w:tc>
          <w:tcPr>
            <w:tcW w:w="3118" w:type="dxa"/>
          </w:tcPr>
          <w:p w:rsidR="00956DFC" w:rsidRPr="00011F70" w:rsidRDefault="00956DFC" w:rsidP="00C33834">
            <w:pPr>
              <w:jc w:val="center"/>
              <w:rPr>
                <w:rFonts w:cs="Arial"/>
                <w:sz w:val="18"/>
                <w:szCs w:val="18"/>
              </w:rPr>
            </w:pPr>
          </w:p>
        </w:tc>
        <w:tc>
          <w:tcPr>
            <w:tcW w:w="1584" w:type="dxa"/>
          </w:tcPr>
          <w:p w:rsidR="00956DFC" w:rsidRPr="00011F70" w:rsidRDefault="00956DFC" w:rsidP="00C33834">
            <w:pPr>
              <w:jc w:val="center"/>
              <w:rPr>
                <w:rFonts w:cs="Arial"/>
                <w:sz w:val="18"/>
                <w:szCs w:val="18"/>
              </w:rPr>
            </w:pPr>
            <w:r w:rsidRPr="00011F70">
              <w:rPr>
                <w:rFonts w:cs="Arial"/>
                <w:sz w:val="18"/>
                <w:szCs w:val="18"/>
              </w:rPr>
              <w:t>Premel SA</w:t>
            </w:r>
          </w:p>
        </w:tc>
      </w:tr>
      <w:tr w:rsidR="00956DFC" w:rsidRPr="00BD18E8" w:rsidTr="00C33834">
        <w:tc>
          <w:tcPr>
            <w:tcW w:w="817" w:type="dxa"/>
          </w:tcPr>
          <w:p w:rsidR="00956DFC" w:rsidRPr="00011F70" w:rsidRDefault="00956DFC" w:rsidP="00C33834">
            <w:pPr>
              <w:jc w:val="center"/>
              <w:rPr>
                <w:rFonts w:cs="Arial"/>
                <w:sz w:val="18"/>
                <w:szCs w:val="18"/>
              </w:rPr>
            </w:pPr>
            <w:r w:rsidRPr="00011F70">
              <w:rPr>
                <w:rFonts w:cs="Arial"/>
                <w:sz w:val="18"/>
                <w:szCs w:val="18"/>
              </w:rPr>
              <w:t>2005</w:t>
            </w:r>
          </w:p>
        </w:tc>
        <w:tc>
          <w:tcPr>
            <w:tcW w:w="2268" w:type="dxa"/>
          </w:tcPr>
          <w:p w:rsidR="00956DFC" w:rsidRPr="00011F70" w:rsidRDefault="00956DFC" w:rsidP="00C33834">
            <w:pPr>
              <w:jc w:val="center"/>
              <w:rPr>
                <w:rFonts w:cs="Arial"/>
                <w:sz w:val="18"/>
                <w:szCs w:val="18"/>
              </w:rPr>
            </w:pPr>
          </w:p>
        </w:tc>
        <w:tc>
          <w:tcPr>
            <w:tcW w:w="1985" w:type="dxa"/>
          </w:tcPr>
          <w:p w:rsidR="00956DFC" w:rsidRDefault="00956DFC" w:rsidP="00C33834">
            <w:pPr>
              <w:jc w:val="center"/>
              <w:rPr>
                <w:rFonts w:cs="Arial"/>
                <w:sz w:val="18"/>
                <w:szCs w:val="18"/>
              </w:rPr>
            </w:pPr>
            <w:r w:rsidRPr="00011F70">
              <w:rPr>
                <w:rFonts w:cs="Arial"/>
                <w:sz w:val="18"/>
                <w:szCs w:val="18"/>
              </w:rPr>
              <w:t>Inizio dei rilievi con radar interferometrico</w:t>
            </w:r>
            <w:r>
              <w:rPr>
                <w:rFonts w:cs="Arial"/>
                <w:sz w:val="18"/>
                <w:szCs w:val="18"/>
              </w:rPr>
              <w:t>,</w:t>
            </w:r>
          </w:p>
          <w:p w:rsidR="00956DFC" w:rsidRPr="00011F70" w:rsidRDefault="00956DFC" w:rsidP="00C33834">
            <w:pPr>
              <w:jc w:val="center"/>
              <w:rPr>
                <w:rFonts w:cs="Arial"/>
                <w:sz w:val="18"/>
                <w:szCs w:val="18"/>
              </w:rPr>
            </w:pPr>
            <w:r>
              <w:rPr>
                <w:rFonts w:cs="Arial"/>
                <w:sz w:val="18"/>
                <w:szCs w:val="18"/>
              </w:rPr>
              <w:t>innalzamento argini riale Pian Perdasc</w:t>
            </w:r>
          </w:p>
        </w:tc>
        <w:tc>
          <w:tcPr>
            <w:tcW w:w="3118" w:type="dxa"/>
          </w:tcPr>
          <w:p w:rsidR="00956DFC" w:rsidRPr="00011F70" w:rsidRDefault="00956DFC" w:rsidP="00C33834">
            <w:pPr>
              <w:jc w:val="center"/>
              <w:rPr>
                <w:rFonts w:cs="Arial"/>
                <w:sz w:val="18"/>
                <w:szCs w:val="18"/>
              </w:rPr>
            </w:pPr>
          </w:p>
        </w:tc>
        <w:tc>
          <w:tcPr>
            <w:tcW w:w="1584" w:type="dxa"/>
          </w:tcPr>
          <w:p w:rsidR="00956DFC" w:rsidRPr="00011F70" w:rsidRDefault="00956DFC" w:rsidP="00C33834">
            <w:pPr>
              <w:jc w:val="center"/>
              <w:rPr>
                <w:rFonts w:cs="Arial"/>
                <w:sz w:val="18"/>
                <w:szCs w:val="18"/>
              </w:rPr>
            </w:pPr>
          </w:p>
        </w:tc>
      </w:tr>
      <w:tr w:rsidR="00956DFC" w:rsidRPr="00BD18E8" w:rsidTr="00C33834">
        <w:tc>
          <w:tcPr>
            <w:tcW w:w="817" w:type="dxa"/>
          </w:tcPr>
          <w:p w:rsidR="00956DFC" w:rsidRDefault="00956DFC" w:rsidP="00C33834">
            <w:pPr>
              <w:jc w:val="center"/>
              <w:rPr>
                <w:rFonts w:cs="Arial"/>
                <w:sz w:val="18"/>
                <w:szCs w:val="18"/>
              </w:rPr>
            </w:pPr>
            <w:r>
              <w:rPr>
                <w:rFonts w:cs="Arial"/>
                <w:sz w:val="18"/>
                <w:szCs w:val="18"/>
              </w:rPr>
              <w:t>2006</w:t>
            </w:r>
          </w:p>
          <w:p w:rsidR="00956DFC" w:rsidRPr="00011F70" w:rsidRDefault="00956DFC" w:rsidP="00C33834">
            <w:pPr>
              <w:jc w:val="center"/>
              <w:rPr>
                <w:rFonts w:cs="Arial"/>
                <w:sz w:val="18"/>
                <w:szCs w:val="18"/>
              </w:rPr>
            </w:pPr>
            <w:r>
              <w:rPr>
                <w:rFonts w:cs="Arial"/>
                <w:sz w:val="18"/>
                <w:szCs w:val="18"/>
              </w:rPr>
              <w:t>3.10</w:t>
            </w:r>
          </w:p>
        </w:tc>
        <w:tc>
          <w:tcPr>
            <w:tcW w:w="2268" w:type="dxa"/>
          </w:tcPr>
          <w:p w:rsidR="00956DFC" w:rsidRPr="00011F70" w:rsidRDefault="00956DFC" w:rsidP="00C33834">
            <w:pPr>
              <w:jc w:val="center"/>
              <w:rPr>
                <w:rFonts w:cs="Arial"/>
                <w:sz w:val="18"/>
                <w:szCs w:val="18"/>
              </w:rPr>
            </w:pPr>
            <w:r>
              <w:rPr>
                <w:rFonts w:cs="Arial"/>
                <w:sz w:val="18"/>
                <w:szCs w:val="18"/>
              </w:rPr>
              <w:t>Colate di fango di 8'500 mc di cui 2'500 raggiunsero la zona industriale</w:t>
            </w:r>
          </w:p>
        </w:tc>
        <w:tc>
          <w:tcPr>
            <w:tcW w:w="1985" w:type="dxa"/>
          </w:tcPr>
          <w:p w:rsidR="00956DFC" w:rsidRPr="00011F70" w:rsidRDefault="00956DFC" w:rsidP="00C33834">
            <w:pPr>
              <w:jc w:val="center"/>
              <w:rPr>
                <w:rFonts w:cs="Arial"/>
                <w:sz w:val="18"/>
                <w:szCs w:val="18"/>
              </w:rPr>
            </w:pPr>
          </w:p>
        </w:tc>
        <w:tc>
          <w:tcPr>
            <w:tcW w:w="3118" w:type="dxa"/>
          </w:tcPr>
          <w:p w:rsidR="00956DFC" w:rsidRPr="00011F70" w:rsidRDefault="00956DFC" w:rsidP="00C33834">
            <w:pPr>
              <w:jc w:val="center"/>
              <w:rPr>
                <w:rFonts w:cs="Arial"/>
                <w:sz w:val="18"/>
                <w:szCs w:val="18"/>
              </w:rPr>
            </w:pPr>
          </w:p>
        </w:tc>
        <w:tc>
          <w:tcPr>
            <w:tcW w:w="1584" w:type="dxa"/>
          </w:tcPr>
          <w:p w:rsidR="00956DFC" w:rsidRPr="00011F70" w:rsidRDefault="00956DFC" w:rsidP="00C33834">
            <w:pPr>
              <w:jc w:val="center"/>
              <w:rPr>
                <w:rFonts w:cs="Arial"/>
                <w:sz w:val="18"/>
                <w:szCs w:val="18"/>
              </w:rPr>
            </w:pPr>
          </w:p>
        </w:tc>
      </w:tr>
      <w:tr w:rsidR="00956DFC" w:rsidRPr="00BD18E8" w:rsidTr="00C33834">
        <w:tc>
          <w:tcPr>
            <w:tcW w:w="817" w:type="dxa"/>
          </w:tcPr>
          <w:p w:rsidR="00956DFC" w:rsidRPr="00011F70" w:rsidRDefault="00956DFC" w:rsidP="00C33834">
            <w:pPr>
              <w:jc w:val="center"/>
              <w:rPr>
                <w:rFonts w:cs="Arial"/>
                <w:sz w:val="18"/>
                <w:szCs w:val="18"/>
              </w:rPr>
            </w:pPr>
            <w:r>
              <w:rPr>
                <w:rFonts w:cs="Arial"/>
                <w:sz w:val="18"/>
                <w:szCs w:val="18"/>
              </w:rPr>
              <w:t>2007</w:t>
            </w:r>
          </w:p>
        </w:tc>
        <w:tc>
          <w:tcPr>
            <w:tcW w:w="2268" w:type="dxa"/>
          </w:tcPr>
          <w:p w:rsidR="00956DFC" w:rsidRPr="00011F70" w:rsidRDefault="00956DFC" w:rsidP="00C33834">
            <w:pPr>
              <w:jc w:val="center"/>
              <w:rPr>
                <w:rFonts w:cs="Arial"/>
                <w:sz w:val="18"/>
                <w:szCs w:val="18"/>
              </w:rPr>
            </w:pPr>
          </w:p>
        </w:tc>
        <w:tc>
          <w:tcPr>
            <w:tcW w:w="1985" w:type="dxa"/>
          </w:tcPr>
          <w:p w:rsidR="00956DFC" w:rsidRPr="00011F70" w:rsidRDefault="00956DFC" w:rsidP="00C33834">
            <w:pPr>
              <w:jc w:val="center"/>
              <w:rPr>
                <w:rFonts w:cs="Arial"/>
                <w:sz w:val="18"/>
                <w:szCs w:val="18"/>
              </w:rPr>
            </w:pPr>
            <w:r>
              <w:rPr>
                <w:rFonts w:cs="Arial"/>
                <w:sz w:val="18"/>
                <w:szCs w:val="18"/>
              </w:rPr>
              <w:t>Costruzione in montagna di 2 valli per indirizzare i flussi</w:t>
            </w:r>
          </w:p>
        </w:tc>
        <w:tc>
          <w:tcPr>
            <w:tcW w:w="3118" w:type="dxa"/>
          </w:tcPr>
          <w:p w:rsidR="00956DFC" w:rsidRPr="00011F70" w:rsidRDefault="00956DFC" w:rsidP="00C33834">
            <w:pPr>
              <w:jc w:val="center"/>
              <w:rPr>
                <w:rFonts w:cs="Arial"/>
                <w:sz w:val="18"/>
                <w:szCs w:val="18"/>
              </w:rPr>
            </w:pPr>
          </w:p>
        </w:tc>
        <w:tc>
          <w:tcPr>
            <w:tcW w:w="1584" w:type="dxa"/>
          </w:tcPr>
          <w:p w:rsidR="00956DFC" w:rsidRPr="00011F70" w:rsidRDefault="00956DFC" w:rsidP="00C33834">
            <w:pPr>
              <w:jc w:val="center"/>
              <w:rPr>
                <w:rFonts w:cs="Arial"/>
                <w:sz w:val="18"/>
                <w:szCs w:val="18"/>
              </w:rPr>
            </w:pPr>
          </w:p>
        </w:tc>
      </w:tr>
      <w:tr w:rsidR="00956DFC" w:rsidRPr="00BD18E8" w:rsidTr="00C33834">
        <w:tc>
          <w:tcPr>
            <w:tcW w:w="817" w:type="dxa"/>
          </w:tcPr>
          <w:p w:rsidR="00956DFC" w:rsidRPr="00011F70" w:rsidRDefault="00956DFC" w:rsidP="00C33834">
            <w:pPr>
              <w:jc w:val="center"/>
              <w:rPr>
                <w:rFonts w:cs="Arial"/>
                <w:sz w:val="18"/>
                <w:szCs w:val="18"/>
              </w:rPr>
            </w:pPr>
            <w:r w:rsidRPr="00011F70">
              <w:rPr>
                <w:rFonts w:cs="Arial"/>
                <w:sz w:val="18"/>
                <w:szCs w:val="18"/>
              </w:rPr>
              <w:lastRenderedPageBreak/>
              <w:t>2009</w:t>
            </w:r>
          </w:p>
        </w:tc>
        <w:tc>
          <w:tcPr>
            <w:tcW w:w="2268" w:type="dxa"/>
          </w:tcPr>
          <w:p w:rsidR="00956DFC" w:rsidRPr="00011F70" w:rsidRDefault="00956DFC" w:rsidP="00C33834">
            <w:pPr>
              <w:jc w:val="center"/>
              <w:rPr>
                <w:rFonts w:cs="Arial"/>
                <w:sz w:val="18"/>
                <w:szCs w:val="18"/>
              </w:rPr>
            </w:pPr>
          </w:p>
        </w:tc>
        <w:tc>
          <w:tcPr>
            <w:tcW w:w="1985" w:type="dxa"/>
          </w:tcPr>
          <w:p w:rsidR="00956DFC" w:rsidRPr="00011F70" w:rsidRDefault="00956DFC" w:rsidP="00C33834">
            <w:pPr>
              <w:jc w:val="center"/>
              <w:rPr>
                <w:rFonts w:cs="Arial"/>
                <w:sz w:val="18"/>
                <w:szCs w:val="18"/>
              </w:rPr>
            </w:pPr>
            <w:r w:rsidRPr="00011F70">
              <w:rPr>
                <w:rFonts w:cs="Arial"/>
                <w:sz w:val="18"/>
                <w:szCs w:val="18"/>
              </w:rPr>
              <w:t>Costituzione del GL anche per studiare la delocalizzazione</w:t>
            </w:r>
          </w:p>
        </w:tc>
        <w:tc>
          <w:tcPr>
            <w:tcW w:w="3118" w:type="dxa"/>
          </w:tcPr>
          <w:p w:rsidR="00956DFC" w:rsidRPr="00011F70" w:rsidRDefault="00956DFC" w:rsidP="00C33834">
            <w:pPr>
              <w:jc w:val="center"/>
              <w:rPr>
                <w:rFonts w:cs="Arial"/>
                <w:sz w:val="18"/>
                <w:szCs w:val="18"/>
              </w:rPr>
            </w:pPr>
          </w:p>
        </w:tc>
        <w:tc>
          <w:tcPr>
            <w:tcW w:w="1584" w:type="dxa"/>
          </w:tcPr>
          <w:p w:rsidR="00956DFC" w:rsidRPr="00011F70" w:rsidRDefault="00956DFC" w:rsidP="00C33834">
            <w:pPr>
              <w:jc w:val="center"/>
              <w:rPr>
                <w:rFonts w:cs="Arial"/>
                <w:sz w:val="18"/>
                <w:szCs w:val="18"/>
              </w:rPr>
            </w:pPr>
          </w:p>
        </w:tc>
      </w:tr>
      <w:tr w:rsidR="00956DFC" w:rsidRPr="00BD18E8" w:rsidTr="00C33834">
        <w:tc>
          <w:tcPr>
            <w:tcW w:w="817" w:type="dxa"/>
          </w:tcPr>
          <w:p w:rsidR="00956DFC" w:rsidRPr="00011F70" w:rsidRDefault="00956DFC" w:rsidP="00C33834">
            <w:pPr>
              <w:jc w:val="center"/>
              <w:rPr>
                <w:rFonts w:cs="Arial"/>
                <w:sz w:val="18"/>
                <w:szCs w:val="18"/>
              </w:rPr>
            </w:pPr>
            <w:r w:rsidRPr="00011F70">
              <w:rPr>
                <w:rFonts w:cs="Arial"/>
                <w:sz w:val="18"/>
                <w:szCs w:val="18"/>
              </w:rPr>
              <w:t>2010</w:t>
            </w:r>
          </w:p>
          <w:p w:rsidR="00956DFC" w:rsidRPr="00011F70" w:rsidRDefault="00956DFC" w:rsidP="00C33834">
            <w:pPr>
              <w:pStyle w:val="Paragrafoelenco1"/>
              <w:ind w:left="0"/>
              <w:jc w:val="center"/>
              <w:rPr>
                <w:rFonts w:ascii="Arial" w:hAnsi="Arial" w:cs="Arial"/>
                <w:sz w:val="18"/>
                <w:szCs w:val="18"/>
              </w:rPr>
            </w:pPr>
            <w:r w:rsidRPr="00011F70">
              <w:rPr>
                <w:rFonts w:ascii="Arial" w:hAnsi="Arial" w:cs="Arial"/>
                <w:sz w:val="18"/>
                <w:szCs w:val="18"/>
              </w:rPr>
              <w:t>3.5</w:t>
            </w:r>
          </w:p>
          <w:p w:rsidR="00956DFC" w:rsidRPr="00011F70" w:rsidRDefault="00956DFC" w:rsidP="00C33834">
            <w:pPr>
              <w:jc w:val="center"/>
              <w:rPr>
                <w:rFonts w:cs="Arial"/>
                <w:sz w:val="18"/>
                <w:szCs w:val="18"/>
              </w:rPr>
            </w:pPr>
          </w:p>
          <w:p w:rsidR="00956DFC" w:rsidRPr="00011F70" w:rsidRDefault="00956DFC" w:rsidP="00C33834">
            <w:pPr>
              <w:pStyle w:val="Paragrafoelenco1"/>
              <w:ind w:left="0"/>
              <w:jc w:val="center"/>
              <w:rPr>
                <w:rFonts w:ascii="Arial" w:hAnsi="Arial" w:cs="Arial"/>
                <w:sz w:val="18"/>
                <w:szCs w:val="18"/>
              </w:rPr>
            </w:pPr>
            <w:r w:rsidRPr="00011F70">
              <w:rPr>
                <w:rFonts w:ascii="Arial" w:hAnsi="Arial" w:cs="Arial"/>
                <w:sz w:val="18"/>
                <w:szCs w:val="18"/>
              </w:rPr>
              <w:t>9.5</w:t>
            </w:r>
          </w:p>
        </w:tc>
        <w:tc>
          <w:tcPr>
            <w:tcW w:w="2268" w:type="dxa"/>
          </w:tcPr>
          <w:p w:rsidR="00956DFC" w:rsidRPr="00011F70" w:rsidRDefault="00956DFC" w:rsidP="00C33834">
            <w:pPr>
              <w:pStyle w:val="Paragrafoelenco1"/>
              <w:ind w:left="142"/>
              <w:jc w:val="center"/>
              <w:rPr>
                <w:rFonts w:ascii="Arial" w:hAnsi="Arial" w:cs="Arial"/>
                <w:sz w:val="18"/>
                <w:szCs w:val="18"/>
              </w:rPr>
            </w:pPr>
          </w:p>
          <w:p w:rsidR="00956DFC" w:rsidRPr="00011F70" w:rsidRDefault="00956DFC" w:rsidP="00C33834">
            <w:pPr>
              <w:pStyle w:val="Paragrafoelenco1"/>
              <w:ind w:left="0"/>
              <w:jc w:val="center"/>
              <w:rPr>
                <w:rFonts w:ascii="Arial" w:hAnsi="Arial" w:cs="Arial"/>
                <w:sz w:val="18"/>
                <w:szCs w:val="18"/>
              </w:rPr>
            </w:pPr>
            <w:r w:rsidRPr="00011F70">
              <w:rPr>
                <w:rFonts w:ascii="Arial" w:hAnsi="Arial" w:cs="Arial"/>
                <w:sz w:val="18"/>
                <w:szCs w:val="18"/>
              </w:rPr>
              <w:t>Accelerazione dei movimenti</w:t>
            </w:r>
          </w:p>
          <w:p w:rsidR="00956DFC" w:rsidRPr="00011F70" w:rsidRDefault="00956DFC" w:rsidP="00C33834">
            <w:pPr>
              <w:pStyle w:val="Paragrafoelenco1"/>
              <w:ind w:left="0"/>
              <w:jc w:val="center"/>
              <w:rPr>
                <w:rFonts w:ascii="Arial" w:hAnsi="Arial" w:cs="Arial"/>
                <w:sz w:val="18"/>
                <w:szCs w:val="18"/>
              </w:rPr>
            </w:pPr>
            <w:r w:rsidRPr="00011F70">
              <w:rPr>
                <w:rFonts w:ascii="Arial" w:hAnsi="Arial" w:cs="Arial"/>
                <w:sz w:val="18"/>
                <w:szCs w:val="18"/>
              </w:rPr>
              <w:t>Crollo di 30'000 mc</w:t>
            </w:r>
          </w:p>
        </w:tc>
        <w:tc>
          <w:tcPr>
            <w:tcW w:w="1985" w:type="dxa"/>
          </w:tcPr>
          <w:p w:rsidR="00956DFC" w:rsidRPr="00011F70" w:rsidRDefault="00956DFC" w:rsidP="00C33834">
            <w:pPr>
              <w:jc w:val="center"/>
              <w:rPr>
                <w:rFonts w:cs="Arial"/>
                <w:sz w:val="18"/>
                <w:szCs w:val="18"/>
              </w:rPr>
            </w:pPr>
          </w:p>
          <w:p w:rsidR="00956DFC" w:rsidRPr="00011F70" w:rsidRDefault="00956DFC" w:rsidP="00C33834">
            <w:pPr>
              <w:pStyle w:val="Paragrafoelenco1"/>
              <w:ind w:left="0"/>
              <w:jc w:val="center"/>
              <w:rPr>
                <w:rFonts w:ascii="Arial" w:hAnsi="Arial" w:cs="Arial"/>
                <w:sz w:val="18"/>
                <w:szCs w:val="18"/>
              </w:rPr>
            </w:pPr>
            <w:r w:rsidRPr="00011F70">
              <w:rPr>
                <w:rFonts w:ascii="Arial" w:hAnsi="Arial" w:cs="Arial"/>
                <w:sz w:val="18"/>
                <w:szCs w:val="18"/>
              </w:rPr>
              <w:t>Posa di un teodolite robotizzato</w:t>
            </w:r>
          </w:p>
          <w:p w:rsidR="00956DFC" w:rsidRPr="00011F70" w:rsidRDefault="00956DFC" w:rsidP="00C33834">
            <w:pPr>
              <w:pStyle w:val="Paragrafoelenco1"/>
              <w:ind w:left="0"/>
              <w:jc w:val="center"/>
              <w:rPr>
                <w:rFonts w:ascii="Arial" w:hAnsi="Arial" w:cs="Arial"/>
                <w:sz w:val="18"/>
                <w:szCs w:val="18"/>
              </w:rPr>
            </w:pPr>
            <w:r>
              <w:rPr>
                <w:rFonts w:ascii="Arial" w:hAnsi="Arial" w:cs="Arial"/>
                <w:sz w:val="18"/>
                <w:szCs w:val="18"/>
              </w:rPr>
              <w:t>3</w:t>
            </w:r>
            <w:r w:rsidRPr="00F32DCF">
              <w:rPr>
                <w:rFonts w:ascii="Arial" w:hAnsi="Arial" w:cs="Arial"/>
                <w:sz w:val="18"/>
                <w:szCs w:val="18"/>
                <w:vertAlign w:val="superscript"/>
              </w:rPr>
              <w:t>a</w:t>
            </w:r>
            <w:r w:rsidRPr="00011F70">
              <w:rPr>
                <w:rFonts w:ascii="Arial" w:hAnsi="Arial" w:cs="Arial"/>
                <w:sz w:val="18"/>
                <w:szCs w:val="18"/>
              </w:rPr>
              <w:t xml:space="preserve"> evacuazione</w:t>
            </w:r>
          </w:p>
        </w:tc>
        <w:tc>
          <w:tcPr>
            <w:tcW w:w="3118" w:type="dxa"/>
          </w:tcPr>
          <w:p w:rsidR="00956DFC" w:rsidRPr="00011F70" w:rsidRDefault="00956DFC" w:rsidP="00C33834">
            <w:pPr>
              <w:jc w:val="center"/>
              <w:rPr>
                <w:rFonts w:cs="Arial"/>
                <w:sz w:val="18"/>
                <w:szCs w:val="18"/>
              </w:rPr>
            </w:pPr>
          </w:p>
        </w:tc>
        <w:tc>
          <w:tcPr>
            <w:tcW w:w="1584" w:type="dxa"/>
          </w:tcPr>
          <w:p w:rsidR="00956DFC" w:rsidRPr="00011F70" w:rsidRDefault="00956DFC" w:rsidP="00C33834">
            <w:pPr>
              <w:jc w:val="center"/>
              <w:rPr>
                <w:rFonts w:cs="Arial"/>
                <w:sz w:val="18"/>
                <w:szCs w:val="18"/>
              </w:rPr>
            </w:pPr>
          </w:p>
        </w:tc>
      </w:tr>
      <w:tr w:rsidR="00956DFC" w:rsidRPr="00BD18E8" w:rsidTr="00C33834">
        <w:tc>
          <w:tcPr>
            <w:tcW w:w="817" w:type="dxa"/>
          </w:tcPr>
          <w:p w:rsidR="00956DFC" w:rsidRPr="00011F70" w:rsidRDefault="00956DFC" w:rsidP="00C33834">
            <w:pPr>
              <w:jc w:val="center"/>
              <w:rPr>
                <w:rFonts w:cs="Arial"/>
                <w:sz w:val="18"/>
                <w:szCs w:val="18"/>
              </w:rPr>
            </w:pPr>
            <w:r w:rsidRPr="00011F70">
              <w:rPr>
                <w:rFonts w:cs="Arial"/>
                <w:sz w:val="18"/>
                <w:szCs w:val="18"/>
              </w:rPr>
              <w:t>2011</w:t>
            </w:r>
          </w:p>
        </w:tc>
        <w:tc>
          <w:tcPr>
            <w:tcW w:w="2268" w:type="dxa"/>
          </w:tcPr>
          <w:p w:rsidR="00956DFC" w:rsidRPr="00011F70" w:rsidRDefault="00956DFC" w:rsidP="00C33834">
            <w:pPr>
              <w:pStyle w:val="Paragrafoelenco1"/>
              <w:ind w:left="142"/>
              <w:jc w:val="center"/>
              <w:rPr>
                <w:rFonts w:ascii="Arial" w:hAnsi="Arial" w:cs="Arial"/>
                <w:sz w:val="18"/>
                <w:szCs w:val="18"/>
              </w:rPr>
            </w:pPr>
          </w:p>
        </w:tc>
        <w:tc>
          <w:tcPr>
            <w:tcW w:w="1985" w:type="dxa"/>
          </w:tcPr>
          <w:p w:rsidR="00956DFC" w:rsidRPr="00011F70" w:rsidRDefault="00956DFC" w:rsidP="00C33834">
            <w:pPr>
              <w:jc w:val="center"/>
              <w:rPr>
                <w:rFonts w:cs="Arial"/>
                <w:sz w:val="18"/>
                <w:szCs w:val="18"/>
              </w:rPr>
            </w:pPr>
          </w:p>
        </w:tc>
        <w:tc>
          <w:tcPr>
            <w:tcW w:w="3118" w:type="dxa"/>
          </w:tcPr>
          <w:p w:rsidR="00956DFC" w:rsidRPr="00011F70" w:rsidRDefault="00956DFC" w:rsidP="00C33834">
            <w:pPr>
              <w:jc w:val="center"/>
              <w:rPr>
                <w:rFonts w:cs="Arial"/>
                <w:sz w:val="18"/>
                <w:szCs w:val="18"/>
              </w:rPr>
            </w:pPr>
            <w:r w:rsidRPr="00011F70">
              <w:rPr>
                <w:rFonts w:cs="Arial"/>
                <w:sz w:val="18"/>
                <w:szCs w:val="18"/>
              </w:rPr>
              <w:t>Il CdS approva il Piano delle zone di pericolo della zona industriale</w:t>
            </w:r>
          </w:p>
        </w:tc>
        <w:tc>
          <w:tcPr>
            <w:tcW w:w="1584" w:type="dxa"/>
          </w:tcPr>
          <w:p w:rsidR="00956DFC" w:rsidRPr="00011F70" w:rsidRDefault="00956DFC" w:rsidP="00C33834">
            <w:pPr>
              <w:jc w:val="center"/>
              <w:rPr>
                <w:rFonts w:cs="Arial"/>
                <w:sz w:val="18"/>
                <w:szCs w:val="18"/>
              </w:rPr>
            </w:pPr>
          </w:p>
        </w:tc>
      </w:tr>
      <w:tr w:rsidR="00956DFC" w:rsidRPr="00BD18E8" w:rsidTr="00C33834">
        <w:tc>
          <w:tcPr>
            <w:tcW w:w="817" w:type="dxa"/>
          </w:tcPr>
          <w:p w:rsidR="00956DFC" w:rsidRPr="00011F70" w:rsidRDefault="00956DFC" w:rsidP="00C33834">
            <w:pPr>
              <w:jc w:val="center"/>
              <w:rPr>
                <w:rFonts w:cs="Arial"/>
                <w:sz w:val="18"/>
                <w:szCs w:val="18"/>
              </w:rPr>
            </w:pPr>
            <w:r w:rsidRPr="00011F70">
              <w:rPr>
                <w:rFonts w:cs="Arial"/>
                <w:sz w:val="18"/>
                <w:szCs w:val="18"/>
              </w:rPr>
              <w:t>2012</w:t>
            </w:r>
          </w:p>
          <w:p w:rsidR="00956DFC" w:rsidRPr="00011F70" w:rsidRDefault="00956DFC" w:rsidP="00C33834">
            <w:pPr>
              <w:pStyle w:val="Paragrafoelenco1"/>
              <w:ind w:left="0"/>
              <w:jc w:val="center"/>
              <w:rPr>
                <w:rFonts w:ascii="Arial" w:hAnsi="Arial" w:cs="Arial"/>
                <w:sz w:val="18"/>
                <w:szCs w:val="18"/>
              </w:rPr>
            </w:pPr>
            <w:r w:rsidRPr="00011F70">
              <w:rPr>
                <w:rFonts w:ascii="Arial" w:hAnsi="Arial" w:cs="Arial"/>
                <w:sz w:val="18"/>
                <w:szCs w:val="18"/>
              </w:rPr>
              <w:t>15.05</w:t>
            </w:r>
          </w:p>
          <w:p w:rsidR="00956DFC" w:rsidRDefault="00956DFC" w:rsidP="00C33834">
            <w:pPr>
              <w:pStyle w:val="Paragrafoelenco1"/>
              <w:ind w:left="0"/>
              <w:jc w:val="center"/>
              <w:rPr>
                <w:rFonts w:ascii="Arial" w:hAnsi="Arial" w:cs="Arial"/>
                <w:sz w:val="18"/>
                <w:szCs w:val="18"/>
              </w:rPr>
            </w:pPr>
            <w:r w:rsidRPr="00011F70">
              <w:rPr>
                <w:rFonts w:ascii="Arial" w:hAnsi="Arial" w:cs="Arial"/>
                <w:sz w:val="18"/>
                <w:szCs w:val="18"/>
              </w:rPr>
              <w:t>9.6</w:t>
            </w:r>
          </w:p>
          <w:p w:rsidR="00956DFC" w:rsidRPr="00011F70" w:rsidRDefault="00956DFC" w:rsidP="00C33834">
            <w:pPr>
              <w:pStyle w:val="Paragrafoelenco1"/>
              <w:ind w:left="142"/>
              <w:jc w:val="center"/>
              <w:rPr>
                <w:rFonts w:ascii="Arial" w:hAnsi="Arial" w:cs="Arial"/>
                <w:sz w:val="18"/>
                <w:szCs w:val="18"/>
              </w:rPr>
            </w:pPr>
          </w:p>
          <w:p w:rsidR="00956DFC" w:rsidRPr="00011F70" w:rsidRDefault="00956DFC" w:rsidP="00C33834">
            <w:pPr>
              <w:pStyle w:val="Paragrafoelenco1"/>
              <w:ind w:left="0"/>
              <w:jc w:val="center"/>
              <w:rPr>
                <w:rFonts w:ascii="Arial" w:hAnsi="Arial" w:cs="Arial"/>
                <w:sz w:val="18"/>
                <w:szCs w:val="18"/>
              </w:rPr>
            </w:pPr>
            <w:r w:rsidRPr="00011F70">
              <w:rPr>
                <w:rFonts w:ascii="Arial" w:hAnsi="Arial" w:cs="Arial"/>
                <w:sz w:val="18"/>
                <w:szCs w:val="18"/>
              </w:rPr>
              <w:t>24.09</w:t>
            </w:r>
          </w:p>
        </w:tc>
        <w:tc>
          <w:tcPr>
            <w:tcW w:w="2268" w:type="dxa"/>
          </w:tcPr>
          <w:p w:rsidR="00956DFC" w:rsidRDefault="00956DFC" w:rsidP="00C33834">
            <w:pPr>
              <w:pStyle w:val="Paragrafoelenco1"/>
              <w:ind w:left="0"/>
              <w:jc w:val="center"/>
              <w:rPr>
                <w:rFonts w:ascii="Arial" w:eastAsia="Times New Roman" w:hAnsi="Arial" w:cs="Arial"/>
                <w:sz w:val="18"/>
                <w:szCs w:val="18"/>
              </w:rPr>
            </w:pPr>
          </w:p>
          <w:p w:rsidR="00956DFC" w:rsidRPr="00011F70" w:rsidRDefault="00956DFC" w:rsidP="00C33834">
            <w:pPr>
              <w:pStyle w:val="Paragrafoelenco1"/>
              <w:ind w:left="0"/>
              <w:jc w:val="center"/>
              <w:rPr>
                <w:rFonts w:ascii="Arial" w:hAnsi="Arial" w:cs="Arial"/>
                <w:sz w:val="18"/>
                <w:szCs w:val="18"/>
              </w:rPr>
            </w:pPr>
            <w:r w:rsidRPr="00011F70">
              <w:rPr>
                <w:rFonts w:ascii="Arial" w:hAnsi="Arial" w:cs="Arial"/>
                <w:sz w:val="18"/>
                <w:szCs w:val="18"/>
              </w:rPr>
              <w:t>Crollo di 300'000 mc.</w:t>
            </w:r>
          </w:p>
          <w:p w:rsidR="00956DFC" w:rsidRPr="00011F70" w:rsidRDefault="00956DFC" w:rsidP="00C33834">
            <w:pPr>
              <w:pStyle w:val="Paragrafoelenco1"/>
              <w:ind w:left="0"/>
              <w:jc w:val="center"/>
              <w:rPr>
                <w:rFonts w:ascii="Arial" w:hAnsi="Arial" w:cs="Arial"/>
                <w:sz w:val="18"/>
                <w:szCs w:val="18"/>
              </w:rPr>
            </w:pPr>
            <w:r w:rsidRPr="00011F70">
              <w:rPr>
                <w:rFonts w:ascii="Arial" w:hAnsi="Arial" w:cs="Arial"/>
                <w:sz w:val="18"/>
                <w:szCs w:val="18"/>
              </w:rPr>
              <w:t>Colate di detrito</w:t>
            </w:r>
            <w:r>
              <w:rPr>
                <w:rFonts w:ascii="Arial" w:hAnsi="Arial" w:cs="Arial"/>
                <w:sz w:val="18"/>
                <w:szCs w:val="18"/>
              </w:rPr>
              <w:t xml:space="preserve"> 11'000 mc</w:t>
            </w:r>
          </w:p>
          <w:p w:rsidR="00956DFC" w:rsidRPr="00011F70" w:rsidRDefault="00956DFC" w:rsidP="00C33834">
            <w:pPr>
              <w:pStyle w:val="Paragrafoelenco1"/>
              <w:ind w:left="0"/>
              <w:jc w:val="center"/>
              <w:rPr>
                <w:rFonts w:ascii="Arial" w:hAnsi="Arial" w:cs="Arial"/>
                <w:sz w:val="18"/>
                <w:szCs w:val="18"/>
              </w:rPr>
            </w:pPr>
            <w:r w:rsidRPr="00011F70">
              <w:rPr>
                <w:rFonts w:ascii="Arial" w:hAnsi="Arial" w:cs="Arial"/>
                <w:sz w:val="18"/>
                <w:szCs w:val="18"/>
              </w:rPr>
              <w:t>Colate di detrito</w:t>
            </w:r>
            <w:r>
              <w:rPr>
                <w:rFonts w:ascii="Arial" w:hAnsi="Arial" w:cs="Arial"/>
                <w:sz w:val="18"/>
                <w:szCs w:val="18"/>
              </w:rPr>
              <w:t xml:space="preserve"> 35'000 mc</w:t>
            </w:r>
          </w:p>
        </w:tc>
        <w:tc>
          <w:tcPr>
            <w:tcW w:w="1985" w:type="dxa"/>
          </w:tcPr>
          <w:p w:rsidR="00956DFC" w:rsidRPr="00011F70" w:rsidRDefault="00956DFC" w:rsidP="00C33834">
            <w:pPr>
              <w:jc w:val="center"/>
              <w:rPr>
                <w:rFonts w:cs="Arial"/>
                <w:sz w:val="18"/>
                <w:szCs w:val="18"/>
              </w:rPr>
            </w:pPr>
          </w:p>
          <w:p w:rsidR="00956DFC" w:rsidRPr="00011F70" w:rsidRDefault="00956DFC" w:rsidP="00C33834">
            <w:pPr>
              <w:jc w:val="center"/>
              <w:rPr>
                <w:rFonts w:cs="Arial"/>
                <w:sz w:val="18"/>
                <w:szCs w:val="18"/>
              </w:rPr>
            </w:pPr>
            <w:r w:rsidRPr="00011F70">
              <w:rPr>
                <w:rFonts w:cs="Arial"/>
                <w:sz w:val="18"/>
                <w:szCs w:val="18"/>
              </w:rPr>
              <w:t>Seconda campagna di rilevamenti con radar interferometrico</w:t>
            </w:r>
          </w:p>
        </w:tc>
        <w:tc>
          <w:tcPr>
            <w:tcW w:w="3118" w:type="dxa"/>
          </w:tcPr>
          <w:p w:rsidR="00956DFC" w:rsidRPr="00011F70" w:rsidRDefault="00956DFC" w:rsidP="00C33834">
            <w:pPr>
              <w:jc w:val="center"/>
              <w:rPr>
                <w:rFonts w:cs="Arial"/>
                <w:sz w:val="18"/>
                <w:szCs w:val="18"/>
              </w:rPr>
            </w:pPr>
          </w:p>
          <w:p w:rsidR="00956DFC" w:rsidRPr="00011F70" w:rsidRDefault="00956DFC" w:rsidP="00C33834">
            <w:pPr>
              <w:pStyle w:val="Paragrafoelenco1"/>
              <w:ind w:left="142"/>
              <w:jc w:val="center"/>
              <w:rPr>
                <w:rFonts w:ascii="Arial" w:hAnsi="Arial" w:cs="Arial"/>
                <w:sz w:val="18"/>
                <w:szCs w:val="18"/>
              </w:rPr>
            </w:pPr>
          </w:p>
        </w:tc>
        <w:tc>
          <w:tcPr>
            <w:tcW w:w="1584" w:type="dxa"/>
          </w:tcPr>
          <w:p w:rsidR="00956DFC" w:rsidRPr="00011F70" w:rsidRDefault="00956DFC" w:rsidP="00C33834">
            <w:pPr>
              <w:jc w:val="center"/>
              <w:rPr>
                <w:rFonts w:cs="Arial"/>
                <w:sz w:val="18"/>
                <w:szCs w:val="18"/>
              </w:rPr>
            </w:pPr>
          </w:p>
        </w:tc>
      </w:tr>
      <w:tr w:rsidR="00956DFC" w:rsidRPr="00BD18E8" w:rsidTr="00C33834">
        <w:tc>
          <w:tcPr>
            <w:tcW w:w="817" w:type="dxa"/>
          </w:tcPr>
          <w:p w:rsidR="00956DFC" w:rsidRDefault="00956DFC" w:rsidP="00C33834">
            <w:pPr>
              <w:jc w:val="center"/>
              <w:rPr>
                <w:rFonts w:cs="Arial"/>
                <w:sz w:val="18"/>
                <w:szCs w:val="18"/>
              </w:rPr>
            </w:pPr>
            <w:r>
              <w:rPr>
                <w:rFonts w:cs="Arial"/>
                <w:sz w:val="18"/>
                <w:szCs w:val="18"/>
              </w:rPr>
              <w:t>2013</w:t>
            </w:r>
          </w:p>
          <w:p w:rsidR="00956DFC" w:rsidRDefault="00956DFC" w:rsidP="00C33834">
            <w:pPr>
              <w:jc w:val="center"/>
              <w:rPr>
                <w:rFonts w:cs="Arial"/>
                <w:sz w:val="18"/>
                <w:szCs w:val="18"/>
              </w:rPr>
            </w:pPr>
            <w:r>
              <w:rPr>
                <w:rFonts w:cs="Arial"/>
                <w:sz w:val="18"/>
                <w:szCs w:val="18"/>
              </w:rPr>
              <w:t>9.4</w:t>
            </w:r>
          </w:p>
        </w:tc>
        <w:tc>
          <w:tcPr>
            <w:tcW w:w="2268" w:type="dxa"/>
          </w:tcPr>
          <w:p w:rsidR="00956DFC" w:rsidRDefault="00956DFC" w:rsidP="00C33834">
            <w:pPr>
              <w:pStyle w:val="Paragrafoelenco1"/>
              <w:ind w:left="0"/>
              <w:jc w:val="center"/>
              <w:rPr>
                <w:rFonts w:ascii="Arial" w:eastAsia="Times New Roman" w:hAnsi="Arial" w:cs="Arial"/>
                <w:sz w:val="18"/>
                <w:szCs w:val="18"/>
              </w:rPr>
            </w:pPr>
          </w:p>
        </w:tc>
        <w:tc>
          <w:tcPr>
            <w:tcW w:w="1985" w:type="dxa"/>
          </w:tcPr>
          <w:p w:rsidR="00956DFC" w:rsidRDefault="00956DFC" w:rsidP="00C33834">
            <w:pPr>
              <w:jc w:val="center"/>
              <w:rPr>
                <w:rFonts w:cs="Arial"/>
                <w:sz w:val="18"/>
                <w:szCs w:val="18"/>
              </w:rPr>
            </w:pPr>
          </w:p>
        </w:tc>
        <w:tc>
          <w:tcPr>
            <w:tcW w:w="3118" w:type="dxa"/>
          </w:tcPr>
          <w:p w:rsidR="00956DFC" w:rsidRPr="00011F70" w:rsidRDefault="00956DFC" w:rsidP="00C33834">
            <w:pPr>
              <w:jc w:val="center"/>
              <w:rPr>
                <w:rFonts w:cs="Arial"/>
                <w:sz w:val="18"/>
                <w:szCs w:val="18"/>
              </w:rPr>
            </w:pPr>
            <w:r>
              <w:rPr>
                <w:rFonts w:cs="Arial"/>
                <w:sz w:val="18"/>
                <w:szCs w:val="18"/>
              </w:rPr>
              <w:t>Presentazione M 6779 con richiesta di un credito di 3’215031.-- per la delocalizzazione di 5 ditte</w:t>
            </w:r>
          </w:p>
        </w:tc>
        <w:tc>
          <w:tcPr>
            <w:tcW w:w="1584" w:type="dxa"/>
          </w:tcPr>
          <w:p w:rsidR="00956DFC" w:rsidRPr="00011F70" w:rsidRDefault="00956DFC" w:rsidP="00C33834">
            <w:pPr>
              <w:jc w:val="center"/>
              <w:rPr>
                <w:rFonts w:cs="Arial"/>
                <w:sz w:val="18"/>
                <w:szCs w:val="18"/>
              </w:rPr>
            </w:pPr>
          </w:p>
        </w:tc>
      </w:tr>
      <w:tr w:rsidR="00956DFC" w:rsidRPr="00BD18E8" w:rsidTr="00C33834">
        <w:tc>
          <w:tcPr>
            <w:tcW w:w="817" w:type="dxa"/>
          </w:tcPr>
          <w:p w:rsidR="00956DFC" w:rsidRDefault="00956DFC" w:rsidP="00C33834">
            <w:pPr>
              <w:jc w:val="center"/>
              <w:rPr>
                <w:rFonts w:cs="Arial"/>
                <w:sz w:val="18"/>
                <w:szCs w:val="18"/>
              </w:rPr>
            </w:pPr>
            <w:r>
              <w:rPr>
                <w:rFonts w:cs="Arial"/>
                <w:sz w:val="18"/>
                <w:szCs w:val="18"/>
              </w:rPr>
              <w:t>2013</w:t>
            </w:r>
          </w:p>
          <w:p w:rsidR="00956DFC" w:rsidRPr="00011F70" w:rsidRDefault="00956DFC" w:rsidP="00C33834">
            <w:pPr>
              <w:jc w:val="center"/>
              <w:rPr>
                <w:rFonts w:cs="Arial"/>
                <w:sz w:val="18"/>
                <w:szCs w:val="18"/>
              </w:rPr>
            </w:pPr>
            <w:r>
              <w:rPr>
                <w:rFonts w:cs="Arial"/>
                <w:sz w:val="18"/>
                <w:szCs w:val="18"/>
              </w:rPr>
              <w:t>9.9</w:t>
            </w:r>
          </w:p>
        </w:tc>
        <w:tc>
          <w:tcPr>
            <w:tcW w:w="2268" w:type="dxa"/>
          </w:tcPr>
          <w:p w:rsidR="00956DFC" w:rsidRDefault="00956DFC" w:rsidP="00C33834">
            <w:pPr>
              <w:pStyle w:val="Paragrafoelenco1"/>
              <w:ind w:left="0"/>
              <w:jc w:val="center"/>
              <w:rPr>
                <w:rFonts w:ascii="Arial" w:eastAsia="Times New Roman" w:hAnsi="Arial" w:cs="Arial"/>
                <w:sz w:val="18"/>
                <w:szCs w:val="18"/>
              </w:rPr>
            </w:pPr>
          </w:p>
          <w:p w:rsidR="00956DFC" w:rsidRDefault="00956DFC" w:rsidP="00C33834">
            <w:pPr>
              <w:pStyle w:val="Paragrafoelenco1"/>
              <w:ind w:left="0"/>
              <w:jc w:val="center"/>
              <w:rPr>
                <w:rFonts w:ascii="Arial" w:eastAsia="Times New Roman" w:hAnsi="Arial" w:cs="Arial"/>
                <w:sz w:val="18"/>
                <w:szCs w:val="18"/>
              </w:rPr>
            </w:pPr>
            <w:r>
              <w:rPr>
                <w:rFonts w:ascii="Arial" w:eastAsia="Times New Roman" w:hAnsi="Arial" w:cs="Arial"/>
                <w:sz w:val="18"/>
                <w:szCs w:val="18"/>
              </w:rPr>
              <w:t>2 distinte colate di 25'000 mc e 9'800 mc</w:t>
            </w:r>
          </w:p>
        </w:tc>
        <w:tc>
          <w:tcPr>
            <w:tcW w:w="1985" w:type="dxa"/>
          </w:tcPr>
          <w:p w:rsidR="00956DFC" w:rsidRPr="00011F70" w:rsidRDefault="00956DFC" w:rsidP="00C33834">
            <w:pPr>
              <w:jc w:val="center"/>
              <w:rPr>
                <w:rFonts w:cs="Arial"/>
                <w:sz w:val="18"/>
                <w:szCs w:val="18"/>
              </w:rPr>
            </w:pPr>
            <w:r>
              <w:rPr>
                <w:rFonts w:cs="Arial"/>
                <w:sz w:val="18"/>
                <w:szCs w:val="18"/>
              </w:rPr>
              <w:t>Intervento in monta-gna per indirizzare le colate verso la grande camera</w:t>
            </w:r>
          </w:p>
        </w:tc>
        <w:tc>
          <w:tcPr>
            <w:tcW w:w="3118" w:type="dxa"/>
          </w:tcPr>
          <w:p w:rsidR="00956DFC" w:rsidRPr="00011F70" w:rsidRDefault="00956DFC" w:rsidP="00C33834">
            <w:pPr>
              <w:jc w:val="center"/>
              <w:rPr>
                <w:rFonts w:cs="Arial"/>
                <w:sz w:val="18"/>
                <w:szCs w:val="18"/>
              </w:rPr>
            </w:pPr>
          </w:p>
        </w:tc>
        <w:tc>
          <w:tcPr>
            <w:tcW w:w="1584" w:type="dxa"/>
          </w:tcPr>
          <w:p w:rsidR="00956DFC" w:rsidRPr="00011F70" w:rsidRDefault="00956DFC" w:rsidP="00C33834">
            <w:pPr>
              <w:jc w:val="center"/>
              <w:rPr>
                <w:rFonts w:cs="Arial"/>
                <w:sz w:val="18"/>
                <w:szCs w:val="18"/>
              </w:rPr>
            </w:pPr>
          </w:p>
        </w:tc>
      </w:tr>
    </w:tbl>
    <w:p w:rsidR="00956DFC" w:rsidRPr="00EC6465" w:rsidRDefault="00956DFC" w:rsidP="00956DFC">
      <w:pPr>
        <w:rPr>
          <w:rFonts w:cs="Arial"/>
          <w:szCs w:val="24"/>
        </w:rPr>
      </w:pPr>
    </w:p>
    <w:p w:rsidR="00956DFC" w:rsidRDefault="00956DFC" w:rsidP="00956DFC">
      <w:pPr>
        <w:rPr>
          <w:rFonts w:cs="Arial"/>
        </w:rPr>
      </w:pPr>
      <w:r>
        <w:rPr>
          <w:rFonts w:cs="Arial"/>
        </w:rPr>
        <w:t xml:space="preserve">La delocalizzazione della zona industriale è iniziata nel 2013 nell’ambito delle misure da applicare e mettere in campo a tutela delle vite umane, nelle situazioni in cui la realizzazione di opere di premunizione non è possibile per ragioni di tipo tecnico o anche tecnico finanziario. La sorveglianza è garantita da un doppio monitoraggio, il controllo geodetico in continuo con teodolite robotizzato (14 mire geodetiche nella parte frontale) e quello tramite estensimetri posati all’interno delle fessure (9 sensori). Con il crollo di 300'000 mc del 2012 la problematica non può definirsi conclusa, perché sull’Alpe di Ròscioro sono ancora pericolanti ca. 400'000 mc malgrado gli spostamenti si siano rallentati grazie all’alleggerimento frontale. Unicamente i lembi dell’ammasso roccioso più prospiciente che ha subito il distacco indicano movimenti cumulati di alcuni decimetri e in un punto </w:t>
      </w:r>
      <w:r>
        <w:rPr>
          <w:rFonts w:cs="Arial"/>
        </w:rPr>
        <w:lastRenderedPageBreak/>
        <w:t>specifico di oltre 1 metro, facendo presagire un prossimo crollo frontale stimato in 30-50'000 mc.</w:t>
      </w:r>
    </w:p>
    <w:p w:rsidR="00956DFC" w:rsidRDefault="00956DFC" w:rsidP="00956DFC">
      <w:pPr>
        <w:rPr>
          <w:rFonts w:cs="Arial"/>
        </w:rPr>
      </w:pPr>
    </w:p>
    <w:p w:rsidR="00956DFC" w:rsidRDefault="00956DFC" w:rsidP="00956DFC">
      <w:pPr>
        <w:rPr>
          <w:rFonts w:cs="Arial"/>
        </w:rPr>
      </w:pPr>
      <w:r>
        <w:rPr>
          <w:rFonts w:cs="Arial"/>
        </w:rPr>
        <w:t>Per la gestione delle emergenze rimane in vigore l’organizzazione impostata dalla Sezione forestale e il gruppo tecnico Roscioro attualmente è denominato Gruppo tecnico frana Roscioro del quartiere di Preonzo.</w:t>
      </w:r>
    </w:p>
    <w:p w:rsidR="00956DFC" w:rsidRDefault="00956DFC" w:rsidP="00956DFC">
      <w:pPr>
        <w:rPr>
          <w:rFonts w:cs="Arial"/>
        </w:rPr>
      </w:pPr>
    </w:p>
    <w:p w:rsidR="00956DFC" w:rsidRPr="00350CFB" w:rsidRDefault="00956DFC" w:rsidP="00956DFC">
      <w:pPr>
        <w:rPr>
          <w:rFonts w:cs="Arial"/>
        </w:rPr>
      </w:pPr>
      <w:r w:rsidRPr="00350CFB">
        <w:rPr>
          <w:rFonts w:cs="Arial"/>
        </w:rPr>
        <w:t xml:space="preserve">In </w:t>
      </w:r>
      <w:r w:rsidR="00BB1674">
        <w:rPr>
          <w:rFonts w:cs="Arial"/>
        </w:rPr>
        <w:t>C</w:t>
      </w:r>
      <w:r w:rsidRPr="00350CFB">
        <w:rPr>
          <w:rFonts w:cs="Arial"/>
        </w:rPr>
        <w:t xml:space="preserve">ommissione è stato sollevato il tema della pianificazione che era stato presentato con il </w:t>
      </w:r>
      <w:r>
        <w:rPr>
          <w:rFonts w:cs="Arial"/>
        </w:rPr>
        <w:t>m</w:t>
      </w:r>
      <w:r w:rsidRPr="00350CFB">
        <w:rPr>
          <w:rFonts w:cs="Arial"/>
        </w:rPr>
        <w:t xml:space="preserve">essaggio </w:t>
      </w:r>
      <w:r>
        <w:rPr>
          <w:rFonts w:cs="Arial"/>
        </w:rPr>
        <w:t xml:space="preserve">n. </w:t>
      </w:r>
      <w:r w:rsidRPr="00350CFB">
        <w:rPr>
          <w:rFonts w:cs="Arial"/>
        </w:rPr>
        <w:t>6779</w:t>
      </w:r>
      <w:r>
        <w:rPr>
          <w:rFonts w:cs="Arial"/>
        </w:rPr>
        <w:t>,</w:t>
      </w:r>
      <w:r w:rsidRPr="00350CFB">
        <w:rPr>
          <w:rFonts w:cs="Arial"/>
        </w:rPr>
        <w:t xml:space="preserve"> di cui riprendiamo di seguito una breve cronistoria.</w:t>
      </w:r>
    </w:p>
    <w:p w:rsidR="00956DFC" w:rsidRPr="00350CFB" w:rsidRDefault="00956DFC" w:rsidP="00956DFC">
      <w:pPr>
        <w:rPr>
          <w:rFonts w:cs="Arial"/>
        </w:rPr>
      </w:pPr>
    </w:p>
    <w:p w:rsidR="00956DFC" w:rsidRPr="00350CFB" w:rsidRDefault="00956DFC" w:rsidP="00956DFC">
      <w:pPr>
        <w:numPr>
          <w:ilvl w:val="0"/>
          <w:numId w:val="14"/>
        </w:numPr>
        <w:rPr>
          <w:rFonts w:cs="Arial"/>
        </w:rPr>
      </w:pPr>
      <w:r w:rsidRPr="00350CFB">
        <w:rPr>
          <w:rFonts w:cs="Arial"/>
          <w:b/>
        </w:rPr>
        <w:t>3 dicembre 1993</w:t>
      </w:r>
      <w:r w:rsidRPr="00350CFB">
        <w:rPr>
          <w:rFonts w:cs="Arial"/>
        </w:rPr>
        <w:t xml:space="preserve"> - Esame preliminare della revisione del Piano regolatore di Preonzo</w:t>
      </w:r>
    </w:p>
    <w:p w:rsidR="00956DFC" w:rsidRPr="00350CFB" w:rsidRDefault="00956DFC" w:rsidP="00956DFC">
      <w:pPr>
        <w:spacing w:before="60"/>
        <w:ind w:left="284" w:hanging="284"/>
        <w:rPr>
          <w:rFonts w:cs="Arial"/>
        </w:rPr>
      </w:pPr>
      <w:r>
        <w:rPr>
          <w:rFonts w:cs="Arial"/>
        </w:rPr>
        <w:tab/>
      </w:r>
      <w:r w:rsidRPr="00350CFB">
        <w:rPr>
          <w:rFonts w:cs="Arial"/>
        </w:rPr>
        <w:t>Il Dipartimento del territorio esamina preliminarmente il progetto di revisione del Piano regolatore.</w:t>
      </w:r>
    </w:p>
    <w:p w:rsidR="00956DFC" w:rsidRPr="00350CFB" w:rsidRDefault="00956DFC" w:rsidP="009336CF">
      <w:pPr>
        <w:numPr>
          <w:ilvl w:val="0"/>
          <w:numId w:val="14"/>
        </w:numPr>
        <w:spacing w:before="160"/>
        <w:rPr>
          <w:rFonts w:cs="Arial"/>
        </w:rPr>
      </w:pPr>
      <w:r w:rsidRPr="00350CFB">
        <w:rPr>
          <w:rFonts w:cs="Arial"/>
          <w:b/>
        </w:rPr>
        <w:t>29 novembre 1995</w:t>
      </w:r>
      <w:r w:rsidRPr="00350CFB">
        <w:rPr>
          <w:rFonts w:cs="Arial"/>
        </w:rPr>
        <w:t xml:space="preserve"> - Approvazione del Piano regolatore di Preonzo</w:t>
      </w:r>
    </w:p>
    <w:p w:rsidR="00956DFC" w:rsidRPr="00350CFB" w:rsidRDefault="00956DFC" w:rsidP="00956DFC">
      <w:pPr>
        <w:spacing w:before="60"/>
        <w:ind w:left="284" w:hanging="284"/>
        <w:rPr>
          <w:rFonts w:cs="Arial"/>
        </w:rPr>
      </w:pPr>
      <w:r>
        <w:rPr>
          <w:rFonts w:cs="Arial"/>
        </w:rPr>
        <w:tab/>
      </w:r>
      <w:r w:rsidRPr="00350CFB">
        <w:rPr>
          <w:rFonts w:cs="Arial"/>
        </w:rPr>
        <w:t>Il Consiglio di Stato approva il Piano regolatore di Preonzo conformemente alla Legge federale sulla pianificazione del territorio (LPT), sostitu</w:t>
      </w:r>
      <w:r>
        <w:rPr>
          <w:rFonts w:cs="Arial"/>
        </w:rPr>
        <w:t xml:space="preserve">endo </w:t>
      </w:r>
      <w:r w:rsidRPr="00350CFB">
        <w:rPr>
          <w:rFonts w:cs="Arial"/>
        </w:rPr>
        <w:t>il PR del 1978.</w:t>
      </w:r>
    </w:p>
    <w:p w:rsidR="00956DFC" w:rsidRPr="00350CFB" w:rsidRDefault="00956DFC" w:rsidP="00956DFC">
      <w:pPr>
        <w:ind w:left="284" w:hanging="284"/>
        <w:rPr>
          <w:rFonts w:cs="Arial"/>
        </w:rPr>
      </w:pPr>
      <w:r>
        <w:rPr>
          <w:rFonts w:cs="Arial"/>
        </w:rPr>
        <w:tab/>
      </w:r>
      <w:r w:rsidRPr="00350CFB">
        <w:rPr>
          <w:rFonts w:cs="Arial"/>
        </w:rPr>
        <w:t>Il Piano regolatore adottato dal Comune inseriva in Zona industriale tutta l'area sotto</w:t>
      </w:r>
      <w:r>
        <w:rPr>
          <w:rFonts w:cs="Arial"/>
        </w:rPr>
        <w:t xml:space="preserve"> </w:t>
      </w:r>
      <w:r w:rsidRPr="00350CFB">
        <w:rPr>
          <w:rFonts w:cs="Arial"/>
        </w:rPr>
        <w:t>montagna in località Sgrussa</w:t>
      </w:r>
      <w:r>
        <w:rPr>
          <w:rFonts w:cs="Arial"/>
        </w:rPr>
        <w:t>,</w:t>
      </w:r>
      <w:r w:rsidRPr="00350CFB">
        <w:rPr>
          <w:rFonts w:cs="Arial"/>
        </w:rPr>
        <w:t xml:space="preserve"> compres</w:t>
      </w:r>
      <w:r>
        <w:rPr>
          <w:rFonts w:cs="Arial"/>
        </w:rPr>
        <w:t>i</w:t>
      </w:r>
      <w:r w:rsidRPr="00350CFB">
        <w:rPr>
          <w:rFonts w:cs="Arial"/>
        </w:rPr>
        <w:t xml:space="preserve"> tra la strada cantonale e il bosco.</w:t>
      </w:r>
    </w:p>
    <w:p w:rsidR="00956DFC" w:rsidRPr="00350CFB" w:rsidRDefault="00956DFC" w:rsidP="00956DFC">
      <w:pPr>
        <w:ind w:left="284" w:hanging="284"/>
        <w:rPr>
          <w:rFonts w:cs="Arial"/>
        </w:rPr>
      </w:pPr>
      <w:r>
        <w:rPr>
          <w:rFonts w:cs="Arial"/>
        </w:rPr>
        <w:lastRenderedPageBreak/>
        <w:tab/>
      </w:r>
      <w:r w:rsidRPr="00350CFB">
        <w:rPr>
          <w:rFonts w:cs="Arial"/>
        </w:rPr>
        <w:t>La risoluzione governativa di approvazione del PR rilevava la presenza di un pericolo naturale che colpisce tutta la Zona industriale ad eccezione di due fasce laterali. L'approvazione riportava graficamente le aree di pericolo naturale suddivise per grado di rischio, approvando quindi di fatto solo una parte della zona industriale.</w:t>
      </w:r>
    </w:p>
    <w:p w:rsidR="00956DFC" w:rsidRPr="00350CFB" w:rsidRDefault="00956DFC" w:rsidP="009336CF">
      <w:pPr>
        <w:numPr>
          <w:ilvl w:val="0"/>
          <w:numId w:val="14"/>
        </w:numPr>
        <w:spacing w:before="160"/>
        <w:rPr>
          <w:rFonts w:cs="Arial"/>
        </w:rPr>
      </w:pPr>
      <w:r w:rsidRPr="00350CFB">
        <w:rPr>
          <w:rFonts w:cs="Arial"/>
          <w:b/>
        </w:rPr>
        <w:t>18 dicembre 1996</w:t>
      </w:r>
      <w:r w:rsidRPr="00350CFB">
        <w:rPr>
          <w:rFonts w:cs="Arial"/>
        </w:rPr>
        <w:t xml:space="preserve"> - Approvazione della parte di Zona industriale sospesa precedentemente</w:t>
      </w:r>
    </w:p>
    <w:p w:rsidR="00956DFC" w:rsidRPr="00350CFB" w:rsidRDefault="00956DFC" w:rsidP="00956DFC">
      <w:pPr>
        <w:spacing w:before="60"/>
        <w:ind w:left="284" w:hanging="284"/>
        <w:rPr>
          <w:rFonts w:cs="Arial"/>
        </w:rPr>
      </w:pPr>
      <w:r>
        <w:rPr>
          <w:rFonts w:cs="Arial"/>
        </w:rPr>
        <w:tab/>
      </w:r>
      <w:r w:rsidRPr="00350CFB">
        <w:rPr>
          <w:rFonts w:cs="Arial"/>
        </w:rPr>
        <w:t xml:space="preserve">Il Consiglio di Stato approva il nuovo articolo delle Norme di attuazione relativo alla Zona industriale riadattato con la consulenza dell'Istituto geologico e idrogeologico cantonale e, conseguentemente, approva pure la parte di Zona industriale la cui decisione era stata sospesa il 29 novembre </w:t>
      </w:r>
      <w:smartTag w:uri="urn:schemas-microsoft-com:office:smarttags" w:element="metricconverter">
        <w:smartTagPr>
          <w:attr w:name="ProductID" w:val="1995. A"/>
        </w:smartTagPr>
        <w:r w:rsidRPr="00350CFB">
          <w:rPr>
            <w:rFonts w:cs="Arial"/>
          </w:rPr>
          <w:t>1995. A</w:t>
        </w:r>
      </w:smartTag>
      <w:r w:rsidRPr="00350CFB">
        <w:rPr>
          <w:rFonts w:cs="Arial"/>
        </w:rPr>
        <w:t xml:space="preserve"> questo momento, gran parte della Zona industriale è approvata.</w:t>
      </w:r>
    </w:p>
    <w:p w:rsidR="00956DFC" w:rsidRPr="00350CFB" w:rsidRDefault="00956DFC" w:rsidP="009336CF">
      <w:pPr>
        <w:numPr>
          <w:ilvl w:val="0"/>
          <w:numId w:val="14"/>
        </w:numPr>
        <w:spacing w:before="160"/>
        <w:rPr>
          <w:rFonts w:cs="Arial"/>
        </w:rPr>
      </w:pPr>
      <w:r w:rsidRPr="00350CFB">
        <w:rPr>
          <w:rFonts w:cs="Arial"/>
          <w:b/>
        </w:rPr>
        <w:t>13 maggio 1998</w:t>
      </w:r>
      <w:r w:rsidRPr="00350CFB">
        <w:rPr>
          <w:rFonts w:cs="Arial"/>
        </w:rPr>
        <w:t xml:space="preserve"> - Approvazione di una variante al PR relativa alla Zona industriale</w:t>
      </w:r>
    </w:p>
    <w:p w:rsidR="00956DFC" w:rsidRPr="00350CFB" w:rsidRDefault="00956DFC" w:rsidP="00956DFC">
      <w:pPr>
        <w:spacing w:before="60"/>
        <w:ind w:left="284" w:hanging="284"/>
        <w:rPr>
          <w:rFonts w:cs="Arial"/>
        </w:rPr>
      </w:pPr>
      <w:r>
        <w:rPr>
          <w:rFonts w:cs="Arial"/>
        </w:rPr>
        <w:tab/>
      </w:r>
      <w:r w:rsidRPr="00350CFB">
        <w:rPr>
          <w:rFonts w:cs="Arial"/>
        </w:rPr>
        <w:t>Contestualmente ad altri oggetti, il Consiglio di Stato approva il reintegro della Zona industriale non approvata il 29 novembre 1995, così come la modifica del relativo articolo NAPR. Con medesima risoluzione, il CdS modifica le indicazioni relative alle zone di pericolo riportate sui piani, anche in funzione della nuova camera di contenimento.</w:t>
      </w:r>
    </w:p>
    <w:p w:rsidR="009336CF" w:rsidRDefault="00956DFC" w:rsidP="009336CF">
      <w:pPr>
        <w:numPr>
          <w:ilvl w:val="0"/>
          <w:numId w:val="14"/>
        </w:numPr>
        <w:spacing w:before="160"/>
        <w:rPr>
          <w:rFonts w:cs="Arial"/>
        </w:rPr>
      </w:pPr>
      <w:r w:rsidRPr="00BB1674">
        <w:rPr>
          <w:rFonts w:cs="Arial"/>
          <w:b/>
        </w:rPr>
        <w:t>7 agosto 2002</w:t>
      </w:r>
    </w:p>
    <w:p w:rsidR="00956DFC" w:rsidRPr="00BB1674" w:rsidRDefault="00956DFC" w:rsidP="009336CF">
      <w:pPr>
        <w:spacing w:before="60"/>
        <w:ind w:left="284"/>
        <w:rPr>
          <w:rFonts w:cs="Arial"/>
        </w:rPr>
      </w:pPr>
      <w:r w:rsidRPr="00BB1674">
        <w:rPr>
          <w:rFonts w:cs="Arial"/>
        </w:rPr>
        <w:lastRenderedPageBreak/>
        <w:t>Il Dipartimento del territorio si esprime, su richiesta del Municipio, in merito all'edificabilità di un fondo situato all'interno della Zona industriale alla luce della negativa evoluzione geologica del pendio sovrastante. Il Dipartimento avvisa il Comune che, a seguito delle ultime valutazioni, occorre impedire l'aumento del rischio con l'insediamento di nuovi stabilimenti industriali e che, considerato come l'apparato normativo del Piano regolatore non è più confacente alla situazione, occorre prendere misure cautelative correggendo celermente il PR o istituendo una Zona di pianificazione. Il 4 dicembre 2002, Il Dipartimento rinnova l'invito al Comune a modificare il PR.</w:t>
      </w:r>
    </w:p>
    <w:p w:rsidR="00956DFC" w:rsidRPr="00350CFB" w:rsidRDefault="00956DFC" w:rsidP="009336CF">
      <w:pPr>
        <w:numPr>
          <w:ilvl w:val="0"/>
          <w:numId w:val="14"/>
        </w:numPr>
        <w:spacing w:before="160"/>
        <w:rPr>
          <w:rFonts w:cs="Arial"/>
          <w:b/>
        </w:rPr>
      </w:pPr>
      <w:r w:rsidRPr="00350CFB">
        <w:rPr>
          <w:rFonts w:cs="Arial"/>
          <w:b/>
        </w:rPr>
        <w:t>29 marzo 2011</w:t>
      </w:r>
    </w:p>
    <w:p w:rsidR="00956DFC" w:rsidRPr="00350CFB" w:rsidRDefault="00956DFC" w:rsidP="009336CF">
      <w:pPr>
        <w:spacing w:before="60"/>
        <w:ind w:left="284" w:hanging="284"/>
        <w:rPr>
          <w:rFonts w:cs="Arial"/>
        </w:rPr>
      </w:pPr>
      <w:r>
        <w:rPr>
          <w:rFonts w:cs="Arial"/>
        </w:rPr>
        <w:tab/>
      </w:r>
      <w:r w:rsidRPr="00350CFB">
        <w:rPr>
          <w:rFonts w:cs="Arial"/>
        </w:rPr>
        <w:t>Il Consiglio di Stato approva il Piano delle zone di pericolo (PZP) che concerne espressamente il comprensorio della zona industriale di Preonzo. Contemporaneamente, invita il Municipio di Preonzo a voler modificare il suo PR di conseguenza.</w:t>
      </w:r>
    </w:p>
    <w:p w:rsidR="00956DFC" w:rsidRPr="00350CFB" w:rsidRDefault="00956DFC" w:rsidP="00956DFC">
      <w:pPr>
        <w:rPr>
          <w:rFonts w:cs="Arial"/>
        </w:rPr>
      </w:pPr>
    </w:p>
    <w:p w:rsidR="00956DFC" w:rsidRPr="00350CFB" w:rsidRDefault="00956DFC" w:rsidP="00956DFC">
      <w:pPr>
        <w:rPr>
          <w:rFonts w:cs="Arial"/>
        </w:rPr>
      </w:pPr>
      <w:r w:rsidRPr="00350CFB">
        <w:rPr>
          <w:rFonts w:cs="Arial"/>
        </w:rPr>
        <w:t>Tenuto conto degli eventi naturali successivi all’approvazione del PZP da parte del Consiglio di Stato, si può senz’altro affermare che il suddetto Piano è da ritenere in continua evoluzione.</w:t>
      </w:r>
    </w:p>
    <w:p w:rsidR="00956DFC" w:rsidRPr="00350CFB" w:rsidRDefault="00956DFC" w:rsidP="00956DFC">
      <w:pPr>
        <w:rPr>
          <w:rFonts w:cs="Arial"/>
        </w:rPr>
      </w:pPr>
    </w:p>
    <w:p w:rsidR="00956DFC" w:rsidRPr="00350CFB" w:rsidRDefault="00956DFC" w:rsidP="00956DFC">
      <w:pPr>
        <w:rPr>
          <w:rFonts w:cs="Arial"/>
        </w:rPr>
      </w:pPr>
      <w:r w:rsidRPr="00350CFB">
        <w:rPr>
          <w:rFonts w:cs="Arial"/>
        </w:rPr>
        <w:lastRenderedPageBreak/>
        <w:t xml:space="preserve">Come si può osservare, quindi, la problematica del pericolo era conosciuta già negli anni </w:t>
      </w:r>
      <w:r>
        <w:rPr>
          <w:rFonts w:cs="Arial"/>
        </w:rPr>
        <w:t>Novanta,</w:t>
      </w:r>
      <w:r w:rsidRPr="00350CFB">
        <w:rPr>
          <w:rFonts w:cs="Arial"/>
        </w:rPr>
        <w:t xml:space="preserve"> ma il suo effettivo grado, alla luce delle conoscenze specifiche di quel tempo, non era stato ritenuto tale da impedire l’ampliamento della zona industriale.</w:t>
      </w:r>
    </w:p>
    <w:p w:rsidR="00956DFC" w:rsidRPr="00350CFB" w:rsidRDefault="00956DFC" w:rsidP="00956DFC">
      <w:pPr>
        <w:rPr>
          <w:rFonts w:cs="Arial"/>
        </w:rPr>
      </w:pPr>
    </w:p>
    <w:p w:rsidR="00956DFC" w:rsidRPr="00350CFB" w:rsidRDefault="00956DFC" w:rsidP="00956DFC">
      <w:pPr>
        <w:rPr>
          <w:rFonts w:cs="Arial"/>
        </w:rPr>
      </w:pPr>
      <w:r w:rsidRPr="00350CFB">
        <w:rPr>
          <w:rFonts w:cs="Arial"/>
        </w:rPr>
        <w:t xml:space="preserve">Nel rapporto al messaggio </w:t>
      </w:r>
      <w:r>
        <w:rPr>
          <w:rFonts w:cs="Arial"/>
        </w:rPr>
        <w:t xml:space="preserve">n. </w:t>
      </w:r>
      <w:r w:rsidRPr="00350CFB">
        <w:rPr>
          <w:rFonts w:cs="Arial"/>
        </w:rPr>
        <w:t xml:space="preserve">6779 l’allora </w:t>
      </w:r>
      <w:r>
        <w:rPr>
          <w:rFonts w:cs="Arial"/>
        </w:rPr>
        <w:t>C</w:t>
      </w:r>
      <w:r w:rsidRPr="00350CFB">
        <w:rPr>
          <w:rFonts w:cs="Arial"/>
        </w:rPr>
        <w:t>ommissione della gestione sulla questione riferiva quanto segue:</w:t>
      </w:r>
    </w:p>
    <w:p w:rsidR="00956DFC" w:rsidRPr="00B5090E" w:rsidRDefault="00956DFC" w:rsidP="00956DFC">
      <w:pPr>
        <w:rPr>
          <w:rFonts w:cs="Arial"/>
          <w:sz w:val="12"/>
          <w:szCs w:val="12"/>
        </w:rPr>
      </w:pPr>
    </w:p>
    <w:p w:rsidR="00956DFC" w:rsidRPr="00350CFB" w:rsidRDefault="00956DFC" w:rsidP="00956DFC">
      <w:pPr>
        <w:rPr>
          <w:rFonts w:cs="Arial"/>
          <w:i/>
        </w:rPr>
      </w:pPr>
      <w:r w:rsidRPr="00350CFB">
        <w:rPr>
          <w:rFonts w:cs="Arial"/>
        </w:rPr>
        <w:t>“</w:t>
      </w:r>
      <w:r w:rsidRPr="00350CFB">
        <w:rPr>
          <w:rFonts w:cs="Arial"/>
          <w:i/>
        </w:rPr>
        <w:t xml:space="preserve">La valutazione comparata di quanto esposto con dovizia di particolari nella parte introduttiva del messaggio può suscitare qualche interrogativo sulle scelte pianificatorie adottate nel corso degli anni. Dall'assenza iniziale di qualsiasi interrogativo al momento del primo insediamento, agli interrogativi che il Dipartimento prima e il Consiglio di Stato poi sembrano pur aver avuto in seguito, certamente sulla scorta delle indicazioni di carattere tecnico ricevute dai servizi. Interrogativi superati al momento in cui, nel 1998, la zona industriale è stata in pratica totalmente reintegrata, per poi arrendersi alle evidenze dei fatti perlomeno dal </w:t>
      </w:r>
      <w:smartTag w:uri="urn:schemas-microsoft-com:office:smarttags" w:element="metricconverter">
        <w:smartTagPr>
          <w:attr w:name="ProductID" w:val="2002 in"/>
        </w:smartTagPr>
        <w:r w:rsidRPr="00350CFB">
          <w:rPr>
            <w:rFonts w:cs="Arial"/>
            <w:i/>
          </w:rPr>
          <w:t>2002 in</w:t>
        </w:r>
      </w:smartTag>
      <w:r w:rsidRPr="00350CFB">
        <w:rPr>
          <w:rFonts w:cs="Arial"/>
          <w:i/>
        </w:rPr>
        <w:t xml:space="preserve"> avanti, non senza aver registrato, nel 2004 un ulteriore insediamento. </w:t>
      </w:r>
    </w:p>
    <w:p w:rsidR="00956DFC" w:rsidRPr="00350CFB" w:rsidRDefault="00956DFC" w:rsidP="00956DFC">
      <w:pPr>
        <w:rPr>
          <w:rFonts w:cs="Arial"/>
          <w:i/>
        </w:rPr>
      </w:pPr>
      <w:r w:rsidRPr="00350CFB">
        <w:rPr>
          <w:rFonts w:cs="Arial"/>
          <w:i/>
        </w:rPr>
        <w:t xml:space="preserve">Nelle varie circostanze in cui il Consiglio di Stato ha preso le sue decisioni, il pendolo della valutazione tra rischi e opportunità è oscillato da una parte e dall'altra in modo non risolutivo, anche perché gli aspetti economici in gioco per il Comune e per il Cantone stesso non erano certo insignificanti. È certamente anche molto più facile, ora che gli effetti parziali dello scoscendimento – di una metà circa della massa instabile – appaiono in tutta la loro evidenza, senza peraltro </w:t>
      </w:r>
      <w:r w:rsidRPr="00350CFB">
        <w:rPr>
          <w:rFonts w:cs="Arial"/>
          <w:i/>
        </w:rPr>
        <w:lastRenderedPageBreak/>
        <w:t>aver creato eccessivi danni alle cose e nessuno alle persone, tirare conclusioni e formulare giudizi.</w:t>
      </w:r>
    </w:p>
    <w:p w:rsidR="00956DFC" w:rsidRPr="00350CFB" w:rsidRDefault="00956DFC" w:rsidP="00956DFC">
      <w:pPr>
        <w:rPr>
          <w:rFonts w:cs="Arial"/>
          <w:i/>
        </w:rPr>
      </w:pPr>
      <w:smartTag w:uri="urn:schemas-microsoft-com:office:smarttags" w:element="PersonName">
        <w:smartTagPr>
          <w:attr w:name="ProductID" w:val="la Commissione"/>
        </w:smartTagPr>
        <w:r w:rsidRPr="00350CFB">
          <w:rPr>
            <w:rFonts w:cs="Arial"/>
            <w:i/>
          </w:rPr>
          <w:t>La Commissione</w:t>
        </w:r>
      </w:smartTag>
      <w:r w:rsidRPr="00350CFB">
        <w:rPr>
          <w:rFonts w:cs="Arial"/>
          <w:i/>
        </w:rPr>
        <w:t xml:space="preserve"> della gestione e delle finanze non intende pertanto dare una valutazione di quanto capitato nel passato, anche perché dovrebbe riportarsi allo stato delle conoscenze di carattere geologico in cui sono state prese determinate decisioni e, come già detto, al saldo tra rischi e opportunità, soprattutto di carattere finanziario. Osserva peraltro che questo saldo tra costi e benefici sembra risultare ancora positivo e che, nella valutazione, devono essere considerate anche le opere d'interesse pubblico, in particolare la strada cantonale, l'esigenza della cui protezione è indiscussa”.</w:t>
      </w:r>
    </w:p>
    <w:p w:rsidR="00956DFC" w:rsidRDefault="00956DFC" w:rsidP="00956DFC">
      <w:pPr>
        <w:rPr>
          <w:rFonts w:cs="Arial"/>
        </w:rPr>
      </w:pPr>
    </w:p>
    <w:p w:rsidR="00956DFC" w:rsidRPr="00350CFB" w:rsidRDefault="00956DFC" w:rsidP="00956DFC">
      <w:pPr>
        <w:rPr>
          <w:rFonts w:cs="Arial"/>
        </w:rPr>
      </w:pPr>
      <w:r w:rsidRPr="00350CFB">
        <w:rPr>
          <w:rFonts w:cs="Arial"/>
        </w:rPr>
        <w:t xml:space="preserve">Con l’approvazione del rapporto </w:t>
      </w:r>
      <w:r w:rsidR="00B5090E">
        <w:rPr>
          <w:rFonts w:cs="Arial"/>
        </w:rPr>
        <w:t>su</w:t>
      </w:r>
      <w:r w:rsidRPr="00350CFB">
        <w:rPr>
          <w:rFonts w:cs="Arial"/>
        </w:rPr>
        <w:t xml:space="preserve">l </w:t>
      </w:r>
      <w:r>
        <w:rPr>
          <w:rFonts w:cs="Arial"/>
        </w:rPr>
        <w:t>m</w:t>
      </w:r>
      <w:r w:rsidRPr="00350CFB">
        <w:rPr>
          <w:rFonts w:cs="Arial"/>
        </w:rPr>
        <w:t xml:space="preserve">essaggio </w:t>
      </w:r>
      <w:r>
        <w:rPr>
          <w:rFonts w:cs="Arial"/>
        </w:rPr>
        <w:t xml:space="preserve">n. </w:t>
      </w:r>
      <w:r w:rsidR="00B5090E">
        <w:rPr>
          <w:rFonts w:cs="Arial"/>
        </w:rPr>
        <w:t>6779 la Commissione a</w:t>
      </w:r>
      <w:r w:rsidRPr="00350CFB">
        <w:rPr>
          <w:rFonts w:cs="Arial"/>
        </w:rPr>
        <w:t>mbiente, territorio ed energia considera la questione evasa e conferma che, a posteriori, non è stata fatta la miglior scelta pianificatoria.</w:t>
      </w:r>
    </w:p>
    <w:p w:rsidR="00956DFC" w:rsidRDefault="00956DFC" w:rsidP="00956DFC">
      <w:pPr>
        <w:rPr>
          <w:rFonts w:cs="Arial"/>
        </w:rPr>
      </w:pPr>
    </w:p>
    <w:p w:rsidR="00956DFC" w:rsidRDefault="00956DFC" w:rsidP="00956DFC">
      <w:pPr>
        <w:rPr>
          <w:rFonts w:cs="Arial"/>
        </w:rPr>
      </w:pPr>
      <w:r>
        <w:rPr>
          <w:rFonts w:cs="Arial"/>
        </w:rPr>
        <w:br w:type="page"/>
      </w:r>
    </w:p>
    <w:p w:rsidR="00956DFC" w:rsidRPr="00EC6465" w:rsidRDefault="00956DFC" w:rsidP="00BB1674">
      <w:pPr>
        <w:pStyle w:val="Titolo1"/>
      </w:pPr>
      <w:r w:rsidRPr="00EC6465">
        <w:lastRenderedPageBreak/>
        <w:t>AVANZAMENTO DEI LAVORI ED ESTENSIONE DELLA DELOCALIZZAZIONE</w:t>
      </w:r>
    </w:p>
    <w:p w:rsidR="00956DFC" w:rsidRDefault="00956DFC" w:rsidP="00956DFC">
      <w:pPr>
        <w:pStyle w:val="NormaleWeb"/>
        <w:tabs>
          <w:tab w:val="left" w:pos="284"/>
          <w:tab w:val="left" w:pos="4536"/>
        </w:tabs>
        <w:spacing w:before="0" w:beforeAutospacing="0" w:after="0" w:afterAutospacing="0"/>
        <w:jc w:val="both"/>
        <w:rPr>
          <w:rFonts w:ascii="Arial" w:hAnsi="Arial" w:cs="Arial"/>
        </w:rPr>
      </w:pPr>
      <w:r>
        <w:rPr>
          <w:rFonts w:ascii="Arial" w:hAnsi="Arial" w:cs="Arial"/>
        </w:rPr>
        <w:t>Al momento dell’elaborazione del messaggio lo stato dei lavori era il seguente. La seguente tabella riassume i dati principali.</w:t>
      </w:r>
    </w:p>
    <w:p w:rsidR="00956DFC" w:rsidRPr="0087406D" w:rsidRDefault="00956DFC" w:rsidP="00956DFC">
      <w:pPr>
        <w:pStyle w:val="NormaleWeb"/>
        <w:tabs>
          <w:tab w:val="left" w:pos="284"/>
          <w:tab w:val="left" w:pos="4536"/>
        </w:tabs>
        <w:spacing w:before="0" w:beforeAutospacing="0" w:after="0" w:afterAutospacing="0"/>
        <w:jc w:val="both"/>
        <w:rPr>
          <w:rFonts w:ascii="Arial" w:hAnsi="Arial" w:cs="Arial"/>
          <w:sz w:val="36"/>
          <w:szCs w:val="36"/>
        </w:rPr>
      </w:pPr>
    </w:p>
    <w:tbl>
      <w:tblPr>
        <w:tblStyle w:val="Grigliatabella"/>
        <w:tblW w:w="9889" w:type="dxa"/>
        <w:tblLook w:val="04A0" w:firstRow="1" w:lastRow="0" w:firstColumn="1" w:lastColumn="0" w:noHBand="0" w:noVBand="1"/>
      </w:tblPr>
      <w:tblGrid>
        <w:gridCol w:w="2093"/>
        <w:gridCol w:w="2551"/>
        <w:gridCol w:w="1843"/>
        <w:gridCol w:w="1701"/>
        <w:gridCol w:w="1701"/>
      </w:tblGrid>
      <w:tr w:rsidR="00956DFC" w:rsidRPr="0087406D" w:rsidTr="00C33834">
        <w:tc>
          <w:tcPr>
            <w:tcW w:w="2093" w:type="dxa"/>
            <w:shd w:val="clear" w:color="auto" w:fill="FDE9D9" w:themeFill="accent6" w:themeFillTint="33"/>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Ditta</w:t>
            </w:r>
          </w:p>
        </w:tc>
        <w:tc>
          <w:tcPr>
            <w:tcW w:w="2551" w:type="dxa"/>
            <w:shd w:val="clear" w:color="auto" w:fill="FDE9D9" w:themeFill="accent6" w:themeFillTint="33"/>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Stato lavori</w:t>
            </w:r>
          </w:p>
        </w:tc>
        <w:tc>
          <w:tcPr>
            <w:tcW w:w="1843" w:type="dxa"/>
            <w:shd w:val="clear" w:color="auto" w:fill="FDE9D9" w:themeFill="accent6" w:themeFillTint="33"/>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Preventivo</w:t>
            </w:r>
          </w:p>
        </w:tc>
        <w:tc>
          <w:tcPr>
            <w:tcW w:w="1701" w:type="dxa"/>
            <w:shd w:val="clear" w:color="auto" w:fill="FDE9D9" w:themeFill="accent6" w:themeFillTint="33"/>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Consuntivo</w:t>
            </w:r>
          </w:p>
        </w:tc>
        <w:tc>
          <w:tcPr>
            <w:tcW w:w="1701" w:type="dxa"/>
            <w:shd w:val="clear" w:color="auto" w:fill="FDE9D9" w:themeFill="accent6" w:themeFillTint="33"/>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Saldo</w:t>
            </w:r>
          </w:p>
        </w:tc>
      </w:tr>
      <w:tr w:rsidR="00956DFC" w:rsidRPr="0087406D" w:rsidTr="00C33834">
        <w:tc>
          <w:tcPr>
            <w:tcW w:w="2093"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Artisa Group Holding SA</w:t>
            </w:r>
          </w:p>
        </w:tc>
        <w:tc>
          <w:tcPr>
            <w:tcW w:w="2551"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Lavori ultimati e collaudati nel 2015</w:t>
            </w:r>
          </w:p>
        </w:tc>
        <w:tc>
          <w:tcPr>
            <w:tcW w:w="1843"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8'301'300.00</w:t>
            </w:r>
          </w:p>
        </w:tc>
        <w:tc>
          <w:tcPr>
            <w:tcW w:w="1701"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7'821'965.45</w:t>
            </w:r>
          </w:p>
        </w:tc>
        <w:tc>
          <w:tcPr>
            <w:tcW w:w="1701"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479'334.55</w:t>
            </w:r>
          </w:p>
        </w:tc>
      </w:tr>
      <w:tr w:rsidR="00956DFC" w:rsidRPr="0087406D" w:rsidTr="00C33834">
        <w:tc>
          <w:tcPr>
            <w:tcW w:w="2093"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Della Cassina SA</w:t>
            </w:r>
          </w:p>
        </w:tc>
        <w:tc>
          <w:tcPr>
            <w:tcW w:w="2551"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Lavori ultimati e collaudati il 29.3.2019</w:t>
            </w:r>
          </w:p>
        </w:tc>
        <w:tc>
          <w:tcPr>
            <w:tcW w:w="1843"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2'859'600.00</w:t>
            </w:r>
          </w:p>
        </w:tc>
        <w:tc>
          <w:tcPr>
            <w:tcW w:w="1701"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2'702'281.20</w:t>
            </w:r>
          </w:p>
        </w:tc>
        <w:tc>
          <w:tcPr>
            <w:tcW w:w="1701"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157'318.80</w:t>
            </w:r>
          </w:p>
        </w:tc>
      </w:tr>
      <w:tr w:rsidR="00956DFC" w:rsidRPr="0087406D" w:rsidTr="00C33834">
        <w:tc>
          <w:tcPr>
            <w:tcW w:w="2093"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Premel SA</w:t>
            </w:r>
          </w:p>
        </w:tc>
        <w:tc>
          <w:tcPr>
            <w:tcW w:w="2551"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Lavori ultimati nel 2014</w:t>
            </w:r>
          </w:p>
        </w:tc>
        <w:tc>
          <w:tcPr>
            <w:tcW w:w="1843"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151'492.55</w:t>
            </w:r>
          </w:p>
        </w:tc>
        <w:tc>
          <w:tcPr>
            <w:tcW w:w="1701"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150'710.55</w:t>
            </w:r>
          </w:p>
        </w:tc>
        <w:tc>
          <w:tcPr>
            <w:tcW w:w="1701"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782.00</w:t>
            </w:r>
          </w:p>
        </w:tc>
      </w:tr>
      <w:tr w:rsidR="00956DFC" w:rsidRPr="0087406D" w:rsidTr="00C33834">
        <w:tc>
          <w:tcPr>
            <w:tcW w:w="2093"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Bellinzona – eX Preonzo</w:t>
            </w:r>
          </w:p>
        </w:tc>
        <w:tc>
          <w:tcPr>
            <w:tcW w:w="2551"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Lavori di sistemazione terreno in corso</w:t>
            </w:r>
          </w:p>
        </w:tc>
        <w:tc>
          <w:tcPr>
            <w:tcW w:w="1843"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880'171.45</w:t>
            </w:r>
          </w:p>
        </w:tc>
        <w:tc>
          <w:tcPr>
            <w:tcW w:w="1701"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967'357.10</w:t>
            </w:r>
          </w:p>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Parziale</w:t>
            </w:r>
          </w:p>
        </w:tc>
        <w:tc>
          <w:tcPr>
            <w:tcW w:w="1701"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-87'357.10</w:t>
            </w:r>
          </w:p>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Non definitivo</w:t>
            </w:r>
          </w:p>
        </w:tc>
      </w:tr>
      <w:tr w:rsidR="00956DFC" w:rsidRPr="0087406D" w:rsidTr="00C33834">
        <w:tc>
          <w:tcPr>
            <w:tcW w:w="2093"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Bellinzona – ex Gerre SA (Petrolchimica)</w:t>
            </w:r>
          </w:p>
        </w:tc>
        <w:tc>
          <w:tcPr>
            <w:tcW w:w="2551"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Bellinzona subentrato come committente, il preventivo è stato aggiornato per i costi di smantellamento considerato che è sito inquinato. I costi di bonifica stimati a 20-25 mio saranno oggetto di un altro messaggio</w:t>
            </w:r>
          </w:p>
        </w:tc>
        <w:tc>
          <w:tcPr>
            <w:tcW w:w="1843"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667'560.00</w:t>
            </w:r>
          </w:p>
        </w:tc>
        <w:tc>
          <w:tcPr>
            <w:tcW w:w="1701"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1'055'863.00</w:t>
            </w:r>
          </w:p>
        </w:tc>
        <w:tc>
          <w:tcPr>
            <w:tcW w:w="1701" w:type="dxa"/>
          </w:tcPr>
          <w:p w:rsidR="00956DFC" w:rsidRPr="0087406D" w:rsidRDefault="00956DFC" w:rsidP="00C33834">
            <w:pPr>
              <w:pStyle w:val="NormaleWeb"/>
              <w:tabs>
                <w:tab w:val="left" w:pos="284"/>
                <w:tab w:val="left" w:pos="4536"/>
              </w:tabs>
              <w:spacing w:before="120" w:beforeAutospacing="0" w:after="0" w:afterAutospacing="0"/>
              <w:ind w:right="-1"/>
              <w:jc w:val="center"/>
              <w:rPr>
                <w:rFonts w:ascii="Arial" w:hAnsi="Arial" w:cs="Arial"/>
                <w:sz w:val="22"/>
                <w:szCs w:val="22"/>
              </w:rPr>
            </w:pPr>
            <w:r w:rsidRPr="0087406D">
              <w:rPr>
                <w:rFonts w:ascii="Arial" w:hAnsi="Arial" w:cs="Arial"/>
                <w:sz w:val="22"/>
                <w:szCs w:val="22"/>
              </w:rPr>
              <w:t>-388’303.00</w:t>
            </w:r>
          </w:p>
        </w:tc>
      </w:tr>
    </w:tbl>
    <w:p w:rsidR="00956DFC" w:rsidRPr="0087406D" w:rsidRDefault="00956DFC" w:rsidP="00956DFC">
      <w:pPr>
        <w:pStyle w:val="NormaleWeb"/>
        <w:tabs>
          <w:tab w:val="left" w:pos="284"/>
          <w:tab w:val="left" w:pos="4536"/>
        </w:tabs>
        <w:spacing w:before="0" w:beforeAutospacing="0" w:after="0" w:afterAutospacing="0"/>
        <w:jc w:val="both"/>
        <w:rPr>
          <w:rFonts w:ascii="Arial" w:hAnsi="Arial" w:cs="Arial"/>
          <w:sz w:val="36"/>
          <w:szCs w:val="36"/>
        </w:rPr>
      </w:pPr>
    </w:p>
    <w:bookmarkEnd w:id="2"/>
    <w:bookmarkEnd w:id="3"/>
    <w:bookmarkEnd w:id="4"/>
    <w:bookmarkEnd w:id="5"/>
    <w:p w:rsidR="00956DFC" w:rsidRDefault="00956DFC" w:rsidP="00956DFC">
      <w:pPr>
        <w:pStyle w:val="NormaleWeb"/>
        <w:spacing w:before="0" w:beforeAutospacing="0" w:after="0" w:afterAutospacing="0"/>
        <w:jc w:val="both"/>
        <w:rPr>
          <w:rFonts w:ascii="Arial" w:hAnsi="Arial" w:cs="Arial"/>
        </w:rPr>
      </w:pPr>
      <w:r>
        <w:rPr>
          <w:rFonts w:ascii="Arial" w:hAnsi="Arial" w:cs="Arial"/>
        </w:rPr>
        <w:t>La Betra è stata fondata nel 1994, ha la propria sede a Preonzo e impiega 18 collaboratori. Dispone di una flotta di autocarri, escavatori, pala gommata, vaglio e frantoio ed è attiva nel settore dei trasporti di ogni genere, nell’esecuzione di scavi, nel servizio invernale, nei movimenti di terra, e in altri lavori affini.</w:t>
      </w:r>
    </w:p>
    <w:p w:rsidR="00956DFC" w:rsidRDefault="00956DFC" w:rsidP="00956DFC">
      <w:pPr>
        <w:tabs>
          <w:tab w:val="left" w:pos="360"/>
        </w:tabs>
        <w:rPr>
          <w:rFonts w:cs="Arial"/>
        </w:rPr>
      </w:pPr>
      <w:r w:rsidRPr="00CF229B">
        <w:rPr>
          <w:rFonts w:cs="Arial"/>
        </w:rPr>
        <w:lastRenderedPageBreak/>
        <w:t xml:space="preserve">La </w:t>
      </w:r>
      <w:r>
        <w:rPr>
          <w:rFonts w:cs="Arial"/>
        </w:rPr>
        <w:t xml:space="preserve">situazione della </w:t>
      </w:r>
      <w:r w:rsidRPr="00CF229B">
        <w:rPr>
          <w:rFonts w:cs="Arial"/>
        </w:rPr>
        <w:t>ditta Betra SA insediata</w:t>
      </w:r>
      <w:r>
        <w:rPr>
          <w:rFonts w:cs="Arial"/>
        </w:rPr>
        <w:t xml:space="preserve"> a valle della frana </w:t>
      </w:r>
      <w:r w:rsidRPr="00CF229B">
        <w:rPr>
          <w:rFonts w:cs="Arial"/>
        </w:rPr>
        <w:t xml:space="preserve">in una zona di pericolo con grado alto e residuo non le consente di </w:t>
      </w:r>
      <w:r>
        <w:rPr>
          <w:rFonts w:cs="Arial"/>
        </w:rPr>
        <w:t xml:space="preserve">dare una continuità alla sua </w:t>
      </w:r>
      <w:r w:rsidRPr="00CF229B">
        <w:rPr>
          <w:rFonts w:cs="Arial"/>
        </w:rPr>
        <w:t>attività industriale</w:t>
      </w:r>
      <w:r>
        <w:rPr>
          <w:rFonts w:cs="Arial"/>
        </w:rPr>
        <w:t xml:space="preserve"> in quanto non può procedere ad investimenti per sviluppare ulteriormente la sua attività (ampliamenti, ammodernamenti, etc.) ed è sempre in balia all’evoluzione del movimento franoso. Considerato il valore di stima delle strutture esistenti e i lavori oggetto di questo messaggio concernenti la demolizione, lo smaltimento delle sue strutture e la sistemazione dei terreni occupati, il costo preventivato è </w:t>
      </w:r>
      <w:r w:rsidRPr="00A42A2B">
        <w:rPr>
          <w:rFonts w:cs="Arial"/>
        </w:rPr>
        <w:t xml:space="preserve">di </w:t>
      </w:r>
      <w:r>
        <w:rPr>
          <w:rFonts w:cs="Arial"/>
        </w:rPr>
        <w:t>fr.</w:t>
      </w:r>
      <w:r w:rsidRPr="00A42A2B">
        <w:rPr>
          <w:rFonts w:cs="Arial"/>
        </w:rPr>
        <w:t xml:space="preserve"> 4'527'551.--. </w:t>
      </w:r>
    </w:p>
    <w:p w:rsidR="00956DFC" w:rsidRDefault="00956DFC" w:rsidP="00956DFC">
      <w:pPr>
        <w:tabs>
          <w:tab w:val="left" w:pos="360"/>
        </w:tabs>
        <w:rPr>
          <w:rFonts w:cs="Arial"/>
        </w:rPr>
      </w:pPr>
      <w:r>
        <w:rPr>
          <w:rFonts w:cs="Arial"/>
        </w:rPr>
        <w:t>L’estensione del progetto di delocalizzazione volontaria è stato discusso con l’ispettore federale delle foreste e l’Ufficio federale dell’ambiente ha confermato con una presa di posizione la sua adesione con un contributo federale del 45% come per il progetto iniziale.</w:t>
      </w:r>
    </w:p>
    <w:p w:rsidR="00956DFC" w:rsidRPr="00350CFB" w:rsidRDefault="00956DFC" w:rsidP="00956DFC">
      <w:pPr>
        <w:tabs>
          <w:tab w:val="left" w:pos="360"/>
        </w:tabs>
        <w:rPr>
          <w:rFonts w:cs="Arial"/>
        </w:rPr>
      </w:pPr>
    </w:p>
    <w:p w:rsidR="00956DFC" w:rsidRPr="00350CFB" w:rsidRDefault="00956DFC" w:rsidP="00956DFC">
      <w:pPr>
        <w:tabs>
          <w:tab w:val="left" w:pos="360"/>
        </w:tabs>
        <w:rPr>
          <w:rFonts w:cs="Arial"/>
        </w:rPr>
      </w:pPr>
      <w:r w:rsidRPr="00350CFB">
        <w:rPr>
          <w:rFonts w:cs="Arial"/>
        </w:rPr>
        <w:t>Dal momento in cui la Betra SA ha manifestato la propria intenzione di delocalizzare, il Consiglio di Stato, per tramite della Sezione forestale, ha preso contatto con la Ecotechnology per sondare le loro intenzioni. La stessa ha confermato la propria volontà di restare in loco fino alla fine del ciclo vitale dei macchinari. La loro attività, che necessita di grandi capannoni, in futuro verrà, molto probabilmente, delocalizzata all’estero.</w:t>
      </w:r>
    </w:p>
    <w:p w:rsidR="00956DFC" w:rsidRPr="00350CFB" w:rsidRDefault="00956DFC" w:rsidP="00956DFC">
      <w:pPr>
        <w:tabs>
          <w:tab w:val="left" w:pos="360"/>
        </w:tabs>
        <w:rPr>
          <w:rFonts w:cs="Arial"/>
        </w:rPr>
      </w:pPr>
    </w:p>
    <w:p w:rsidR="00BB1674" w:rsidRDefault="00BB1674">
      <w:pPr>
        <w:rPr>
          <w:b/>
          <w:caps/>
          <w:szCs w:val="24"/>
          <w:lang w:val="it-IT" w:eastAsia="it-IT"/>
        </w:rPr>
      </w:pPr>
      <w:r>
        <w:br w:type="page"/>
      </w:r>
    </w:p>
    <w:p w:rsidR="00956DFC" w:rsidRPr="00EC6465" w:rsidRDefault="00956DFC" w:rsidP="00BB1674">
      <w:pPr>
        <w:pStyle w:val="Titolo1"/>
      </w:pPr>
      <w:r w:rsidRPr="00EC6465">
        <w:lastRenderedPageBreak/>
        <w:t>PREVENTIVO DI SPESA AGGIORNATO</w:t>
      </w:r>
    </w:p>
    <w:p w:rsidR="00956DFC" w:rsidRDefault="00956DFC" w:rsidP="00956DFC">
      <w:pPr>
        <w:rPr>
          <w:rFonts w:cs="Arial"/>
        </w:rPr>
      </w:pPr>
      <w:r>
        <w:rPr>
          <w:rFonts w:cs="Arial"/>
        </w:rPr>
        <w:t xml:space="preserve">La commissione ha accertato che la tipologia d’aiuto stabilito nell’ambito del progetto di </w:t>
      </w:r>
      <w:r w:rsidRPr="008D7327">
        <w:rPr>
          <w:rFonts w:cs="Arial"/>
        </w:rPr>
        <w:t>delocalizzazione v</w:t>
      </w:r>
      <w:r>
        <w:rPr>
          <w:rFonts w:cs="Arial"/>
        </w:rPr>
        <w:t xml:space="preserve">olontaria delle aziende presenti </w:t>
      </w:r>
      <w:r w:rsidRPr="008D7327">
        <w:rPr>
          <w:rFonts w:cs="Arial"/>
        </w:rPr>
        <w:t>nella zona industriale di Preonzo</w:t>
      </w:r>
      <w:r>
        <w:rPr>
          <w:rFonts w:cs="Arial"/>
        </w:rPr>
        <w:t xml:space="preserve"> approvato nel 2013 e tutt’ora in corso è stata ripresa per questo complemento con la delocalizzazione della Ditta Betra SA. Per la Ditta Betra SA è stata allestita una perizia dettagliata che determinasse il valore reale delle infrastrutture esistenti, come pure dei preventivi, calcolati in modo dettagliato con le rispettive posizioni di capitolato (CPN), riguardanti la demolizione e lo sgombero </w:t>
      </w:r>
      <w:r w:rsidRPr="00BC62A5">
        <w:rPr>
          <w:rFonts w:cs="Arial"/>
        </w:rPr>
        <w:t>delle infrastrutture attuali, come pure gli oneri per l’allestimento della domanda di costruzione per la nuova edificazione.</w:t>
      </w:r>
      <w:r>
        <w:rPr>
          <w:rFonts w:cs="Arial"/>
        </w:rPr>
        <w:t xml:space="preserve"> Si è potuto verificare </w:t>
      </w:r>
      <w:r w:rsidRPr="004B7AB3">
        <w:rPr>
          <w:rFonts w:cs="Arial"/>
        </w:rPr>
        <w:t>che sono stati conteggiati unicamente i costi riconoscibili e di conseguenza alcune spese come le misure urgenti per la struttura esistente, la domanda di costruzione preliminare per la struttura esistente, le misure transitorie, l’acquisto del nuovo terreno, gli investimenti per</w:t>
      </w:r>
      <w:r>
        <w:rPr>
          <w:rFonts w:cs="Arial"/>
        </w:rPr>
        <w:t xml:space="preserve"> l’acquisto e/o la realizzazione della nuova struttura, il trascolo, non sono stati riconosciuti.</w:t>
      </w:r>
    </w:p>
    <w:p w:rsidR="00956DFC" w:rsidRDefault="00956DFC" w:rsidP="00956DFC">
      <w:pPr>
        <w:rPr>
          <w:rFonts w:cs="Arial"/>
        </w:rPr>
      </w:pPr>
      <w:r>
        <w:rPr>
          <w:rFonts w:cs="Arial"/>
        </w:rPr>
        <w:t>Di seguito viene presentata la situazione riguardante la ditta Betra SA, con indicati i costi computabili ed il relativo calcolo del sussidio cantonale e federale.</w:t>
      </w:r>
    </w:p>
    <w:p w:rsidR="00956DFC" w:rsidRPr="00EC6465" w:rsidRDefault="00956DFC" w:rsidP="00956DFC">
      <w:pPr>
        <w:outlineLvl w:val="0"/>
        <w:rPr>
          <w:rFonts w:cs="Arial"/>
          <w:szCs w:val="24"/>
          <w:highlight w:val="yellow"/>
        </w:rPr>
      </w:pPr>
    </w:p>
    <w:tbl>
      <w:tblPr>
        <w:tblW w:w="9356" w:type="dxa"/>
        <w:tblInd w:w="70" w:type="dxa"/>
        <w:tblLayout w:type="fixed"/>
        <w:tblCellMar>
          <w:left w:w="70" w:type="dxa"/>
          <w:right w:w="70" w:type="dxa"/>
        </w:tblCellMar>
        <w:tblLook w:val="0000" w:firstRow="0" w:lastRow="0" w:firstColumn="0" w:lastColumn="0" w:noHBand="0" w:noVBand="0"/>
      </w:tblPr>
      <w:tblGrid>
        <w:gridCol w:w="2268"/>
        <w:gridCol w:w="1418"/>
        <w:gridCol w:w="1701"/>
        <w:gridCol w:w="709"/>
        <w:gridCol w:w="1417"/>
        <w:gridCol w:w="1843"/>
      </w:tblGrid>
      <w:tr w:rsidR="00956DFC" w:rsidRPr="003A6BC2" w:rsidTr="00C33834">
        <w:trPr>
          <w:trHeight w:val="587"/>
        </w:trPr>
        <w:tc>
          <w:tcPr>
            <w:tcW w:w="9356" w:type="dxa"/>
            <w:gridSpan w:val="6"/>
            <w:tcBorders>
              <w:top w:val="single" w:sz="4" w:space="0" w:color="auto"/>
              <w:left w:val="single" w:sz="4" w:space="0" w:color="auto"/>
              <w:bottom w:val="nil"/>
              <w:right w:val="single" w:sz="4" w:space="0" w:color="auto"/>
            </w:tcBorders>
            <w:shd w:val="clear" w:color="auto" w:fill="FDE9D9" w:themeFill="accent6" w:themeFillTint="33"/>
            <w:vAlign w:val="center"/>
          </w:tcPr>
          <w:p w:rsidR="00956DFC" w:rsidRPr="00EA06F6" w:rsidRDefault="00956DFC" w:rsidP="00C33834">
            <w:pPr>
              <w:rPr>
                <w:rFonts w:cs="Arial"/>
                <w:b/>
              </w:rPr>
            </w:pPr>
            <w:r w:rsidRPr="00EA06F6">
              <w:rPr>
                <w:rFonts w:cs="Arial"/>
                <w:b/>
              </w:rPr>
              <w:t>BETRA SA</w:t>
            </w:r>
          </w:p>
        </w:tc>
      </w:tr>
      <w:tr w:rsidR="00956DFC" w:rsidRPr="003A6BC2" w:rsidTr="00C33834">
        <w:trPr>
          <w:trHeight w:val="717"/>
        </w:trPr>
        <w:tc>
          <w:tcPr>
            <w:tcW w:w="2268" w:type="dxa"/>
            <w:tcBorders>
              <w:top w:val="single" w:sz="4" w:space="0" w:color="auto"/>
              <w:left w:val="single" w:sz="4" w:space="0" w:color="auto"/>
              <w:bottom w:val="nil"/>
              <w:right w:val="single" w:sz="4" w:space="0" w:color="auto"/>
            </w:tcBorders>
            <w:shd w:val="clear" w:color="auto" w:fill="auto"/>
            <w:vAlign w:val="center"/>
          </w:tcPr>
          <w:p w:rsidR="00956DFC" w:rsidRPr="003A6BC2" w:rsidRDefault="00956DFC" w:rsidP="00C33834">
            <w:pPr>
              <w:jc w:val="center"/>
              <w:rPr>
                <w:rFonts w:cs="Arial"/>
                <w:sz w:val="20"/>
              </w:rPr>
            </w:pPr>
            <w:r w:rsidRPr="003A6BC2">
              <w:rPr>
                <w:rFonts w:cs="Arial"/>
                <w:sz w:val="20"/>
              </w:rPr>
              <w:t>Descrizione</w:t>
            </w:r>
          </w:p>
        </w:tc>
        <w:tc>
          <w:tcPr>
            <w:tcW w:w="1418" w:type="dxa"/>
            <w:tcBorders>
              <w:top w:val="single" w:sz="4" w:space="0" w:color="auto"/>
              <w:left w:val="nil"/>
              <w:bottom w:val="nil"/>
              <w:right w:val="single" w:sz="4" w:space="0" w:color="auto"/>
            </w:tcBorders>
            <w:shd w:val="clear" w:color="auto" w:fill="auto"/>
            <w:noWrap/>
            <w:vAlign w:val="center"/>
          </w:tcPr>
          <w:p w:rsidR="00956DFC" w:rsidRDefault="00956DFC" w:rsidP="00C33834">
            <w:pPr>
              <w:jc w:val="center"/>
              <w:rPr>
                <w:rFonts w:cs="Arial"/>
                <w:sz w:val="20"/>
              </w:rPr>
            </w:pPr>
            <w:r w:rsidRPr="003A6BC2">
              <w:rPr>
                <w:rFonts w:cs="Arial"/>
                <w:sz w:val="20"/>
              </w:rPr>
              <w:t>Mappali</w:t>
            </w:r>
          </w:p>
          <w:p w:rsidR="00956DFC" w:rsidRPr="003A6BC2" w:rsidRDefault="00956DFC" w:rsidP="00C33834">
            <w:pPr>
              <w:jc w:val="center"/>
              <w:rPr>
                <w:rFonts w:cs="Arial"/>
                <w:sz w:val="20"/>
              </w:rPr>
            </w:pPr>
            <w:r>
              <w:rPr>
                <w:rFonts w:cs="Arial"/>
                <w:sz w:val="20"/>
              </w:rPr>
              <w:t>RFD</w:t>
            </w:r>
          </w:p>
        </w:tc>
        <w:tc>
          <w:tcPr>
            <w:tcW w:w="1701" w:type="dxa"/>
            <w:tcBorders>
              <w:top w:val="single" w:sz="4" w:space="0" w:color="auto"/>
              <w:left w:val="nil"/>
              <w:bottom w:val="single" w:sz="4" w:space="0" w:color="auto"/>
              <w:right w:val="single" w:sz="4" w:space="0" w:color="auto"/>
            </w:tcBorders>
            <w:shd w:val="clear" w:color="auto" w:fill="auto"/>
            <w:vAlign w:val="center"/>
          </w:tcPr>
          <w:p w:rsidR="00956DFC" w:rsidRPr="003A6BC2" w:rsidRDefault="00956DFC" w:rsidP="00C33834">
            <w:pPr>
              <w:jc w:val="center"/>
              <w:rPr>
                <w:rFonts w:cs="Arial"/>
                <w:sz w:val="20"/>
              </w:rPr>
            </w:pPr>
            <w:r w:rsidRPr="003A6BC2">
              <w:rPr>
                <w:rFonts w:cs="Arial"/>
                <w:sz w:val="20"/>
              </w:rPr>
              <w:t>Volume</w:t>
            </w:r>
            <w:r w:rsidRPr="003A6BC2">
              <w:rPr>
                <w:rFonts w:cs="Arial"/>
                <w:sz w:val="20"/>
              </w:rPr>
              <w:br/>
              <w:t>Costi riconosciuti</w:t>
            </w:r>
            <w:r w:rsidRPr="003A6BC2">
              <w:rPr>
                <w:rFonts w:cs="Arial"/>
                <w:sz w:val="20"/>
              </w:rPr>
              <w:br/>
              <w:t>(IVA compresa)</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956DFC" w:rsidRPr="003A6BC2" w:rsidRDefault="00956DFC" w:rsidP="00C33834">
            <w:pPr>
              <w:jc w:val="center"/>
              <w:rPr>
                <w:rFonts w:cs="Arial"/>
                <w:sz w:val="20"/>
              </w:rPr>
            </w:pPr>
            <w:r w:rsidRPr="003A6BC2">
              <w:rPr>
                <w:rFonts w:cs="Arial"/>
                <w:sz w:val="20"/>
              </w:rPr>
              <w:t>Sussidio</w:t>
            </w:r>
            <w:r w:rsidRPr="003A6BC2">
              <w:rPr>
                <w:rFonts w:cs="Arial"/>
                <w:sz w:val="20"/>
              </w:rPr>
              <w:br/>
              <w:t>TI + CH</w:t>
            </w:r>
            <w:r w:rsidRPr="003A6BC2">
              <w:rPr>
                <w:rFonts w:cs="Arial"/>
                <w:sz w:val="20"/>
              </w:rPr>
              <w:br/>
              <w:t>(IVA compresa)</w:t>
            </w:r>
          </w:p>
        </w:tc>
        <w:tc>
          <w:tcPr>
            <w:tcW w:w="1843" w:type="dxa"/>
            <w:tcBorders>
              <w:top w:val="single" w:sz="4" w:space="0" w:color="auto"/>
              <w:left w:val="nil"/>
              <w:bottom w:val="nil"/>
              <w:right w:val="single" w:sz="4" w:space="0" w:color="auto"/>
            </w:tcBorders>
            <w:shd w:val="clear" w:color="auto" w:fill="auto"/>
            <w:noWrap/>
            <w:vAlign w:val="center"/>
          </w:tcPr>
          <w:p w:rsidR="00956DFC" w:rsidRPr="003A6BC2" w:rsidRDefault="00956DFC" w:rsidP="00C33834">
            <w:pPr>
              <w:jc w:val="center"/>
              <w:rPr>
                <w:rFonts w:cs="Arial"/>
                <w:sz w:val="20"/>
              </w:rPr>
            </w:pPr>
            <w:r w:rsidRPr="003A6BC2">
              <w:rPr>
                <w:rFonts w:cs="Arial"/>
                <w:sz w:val="20"/>
              </w:rPr>
              <w:t>Osservazioni</w:t>
            </w:r>
          </w:p>
        </w:tc>
      </w:tr>
      <w:tr w:rsidR="00956DFC" w:rsidRPr="00C64BC3" w:rsidTr="00C33834">
        <w:trPr>
          <w:trHeight w:val="220"/>
        </w:trPr>
        <w:tc>
          <w:tcPr>
            <w:tcW w:w="2268" w:type="dxa"/>
            <w:tcBorders>
              <w:top w:val="nil"/>
              <w:left w:val="single" w:sz="4" w:space="0" w:color="auto"/>
              <w:bottom w:val="single" w:sz="4" w:space="0" w:color="auto"/>
              <w:right w:val="single" w:sz="4" w:space="0" w:color="auto"/>
            </w:tcBorders>
            <w:shd w:val="clear" w:color="auto" w:fill="auto"/>
            <w:vAlign w:val="bottom"/>
          </w:tcPr>
          <w:p w:rsidR="00956DFC" w:rsidRPr="00DB708B" w:rsidRDefault="00956DFC" w:rsidP="00C33834">
            <w:pPr>
              <w:jc w:val="center"/>
              <w:rPr>
                <w:rFonts w:cs="Arial"/>
                <w:sz w:val="20"/>
              </w:rPr>
            </w:pPr>
            <w:r w:rsidRPr="00DB708B">
              <w:rPr>
                <w:rFonts w:cs="Arial"/>
                <w:sz w:val="20"/>
              </w:rPr>
              <w:t> </w:t>
            </w:r>
          </w:p>
        </w:tc>
        <w:tc>
          <w:tcPr>
            <w:tcW w:w="1418" w:type="dxa"/>
            <w:tcBorders>
              <w:top w:val="nil"/>
              <w:left w:val="nil"/>
              <w:bottom w:val="single" w:sz="4" w:space="0" w:color="auto"/>
              <w:right w:val="single" w:sz="4" w:space="0" w:color="auto"/>
            </w:tcBorders>
            <w:shd w:val="clear" w:color="auto" w:fill="auto"/>
            <w:noWrap/>
            <w:vAlign w:val="bottom"/>
          </w:tcPr>
          <w:p w:rsidR="00956DFC" w:rsidRPr="00A11400" w:rsidRDefault="00956DFC" w:rsidP="00C33834">
            <w:pPr>
              <w:jc w:val="center"/>
              <w:rPr>
                <w:rFonts w:cs="Arial"/>
                <w:sz w:val="20"/>
              </w:rPr>
            </w:pPr>
            <w:r w:rsidRPr="00A11400">
              <w:rPr>
                <w:rFonts w:cs="Arial"/>
                <w:sz w:val="20"/>
              </w:rPr>
              <w:t> </w:t>
            </w:r>
          </w:p>
        </w:tc>
        <w:tc>
          <w:tcPr>
            <w:tcW w:w="1701" w:type="dxa"/>
            <w:tcBorders>
              <w:top w:val="single" w:sz="4" w:space="0" w:color="auto"/>
              <w:left w:val="nil"/>
              <w:bottom w:val="single" w:sz="4" w:space="0" w:color="auto"/>
              <w:right w:val="single" w:sz="4" w:space="0" w:color="auto"/>
            </w:tcBorders>
            <w:shd w:val="clear" w:color="auto" w:fill="auto"/>
            <w:vAlign w:val="center"/>
          </w:tcPr>
          <w:p w:rsidR="00956DFC" w:rsidRPr="003A6BC2" w:rsidRDefault="00956DFC" w:rsidP="00C33834">
            <w:pPr>
              <w:jc w:val="center"/>
              <w:rPr>
                <w:rFonts w:cs="Arial"/>
                <w:sz w:val="20"/>
              </w:rPr>
            </w:pPr>
            <w:r w:rsidRPr="003A6BC2">
              <w:rPr>
                <w:rFonts w:cs="Arial"/>
                <w:sz w:val="20"/>
              </w:rPr>
              <w:t>[</w:t>
            </w:r>
            <w:r>
              <w:rPr>
                <w:rFonts w:cs="Arial"/>
                <w:sz w:val="20"/>
              </w:rPr>
              <w:t>fr.</w:t>
            </w:r>
            <w:r w:rsidRPr="003A6BC2">
              <w:rPr>
                <w:rFonts w:cs="Arial"/>
                <w:sz w:val="20"/>
              </w:rPr>
              <w:t>]</w:t>
            </w:r>
          </w:p>
        </w:tc>
        <w:tc>
          <w:tcPr>
            <w:tcW w:w="709" w:type="dxa"/>
            <w:tcBorders>
              <w:top w:val="single" w:sz="4" w:space="0" w:color="auto"/>
              <w:left w:val="nil"/>
              <w:bottom w:val="single" w:sz="4" w:space="0" w:color="auto"/>
              <w:right w:val="single" w:sz="4" w:space="0" w:color="auto"/>
            </w:tcBorders>
            <w:shd w:val="clear" w:color="auto" w:fill="auto"/>
            <w:vAlign w:val="center"/>
          </w:tcPr>
          <w:p w:rsidR="00956DFC" w:rsidRPr="003A6BC2" w:rsidRDefault="00956DFC" w:rsidP="00C33834">
            <w:pPr>
              <w:jc w:val="center"/>
              <w:rPr>
                <w:rFonts w:cs="Arial"/>
                <w:sz w:val="20"/>
              </w:rPr>
            </w:pPr>
            <w:r w:rsidRPr="003A6BC2">
              <w:rPr>
                <w:rFonts w:cs="Arial"/>
                <w:sz w:val="20"/>
              </w:rPr>
              <w:t>[%]</w:t>
            </w:r>
          </w:p>
        </w:tc>
        <w:tc>
          <w:tcPr>
            <w:tcW w:w="1417" w:type="dxa"/>
            <w:tcBorders>
              <w:top w:val="single" w:sz="4" w:space="0" w:color="auto"/>
              <w:left w:val="nil"/>
              <w:bottom w:val="single" w:sz="4" w:space="0" w:color="auto"/>
              <w:right w:val="single" w:sz="4" w:space="0" w:color="auto"/>
            </w:tcBorders>
            <w:shd w:val="clear" w:color="auto" w:fill="auto"/>
            <w:vAlign w:val="center"/>
          </w:tcPr>
          <w:p w:rsidR="00956DFC" w:rsidRPr="003A6BC2" w:rsidRDefault="00956DFC" w:rsidP="00C33834">
            <w:pPr>
              <w:jc w:val="center"/>
              <w:rPr>
                <w:rFonts w:cs="Arial"/>
                <w:sz w:val="20"/>
              </w:rPr>
            </w:pPr>
            <w:r w:rsidRPr="003A6BC2">
              <w:rPr>
                <w:rFonts w:cs="Arial"/>
                <w:sz w:val="20"/>
              </w:rPr>
              <w:t>[</w:t>
            </w:r>
            <w:r>
              <w:rPr>
                <w:rFonts w:cs="Arial"/>
                <w:sz w:val="20"/>
              </w:rPr>
              <w:t>fr.</w:t>
            </w:r>
            <w:r w:rsidRPr="003A6BC2">
              <w:rPr>
                <w:rFonts w:cs="Arial"/>
                <w:sz w:val="20"/>
              </w:rPr>
              <w:t>]</w:t>
            </w:r>
          </w:p>
        </w:tc>
        <w:tc>
          <w:tcPr>
            <w:tcW w:w="1843" w:type="dxa"/>
            <w:tcBorders>
              <w:top w:val="nil"/>
              <w:left w:val="nil"/>
              <w:bottom w:val="single" w:sz="4" w:space="0" w:color="auto"/>
              <w:right w:val="single" w:sz="4" w:space="0" w:color="auto"/>
            </w:tcBorders>
            <w:shd w:val="clear" w:color="auto" w:fill="auto"/>
            <w:noWrap/>
            <w:vAlign w:val="bottom"/>
          </w:tcPr>
          <w:p w:rsidR="00956DFC" w:rsidRPr="003A6BC2" w:rsidRDefault="00956DFC" w:rsidP="00C33834">
            <w:pPr>
              <w:jc w:val="center"/>
              <w:rPr>
                <w:rFonts w:cs="Arial"/>
                <w:sz w:val="20"/>
              </w:rPr>
            </w:pPr>
            <w:r w:rsidRPr="003A6BC2">
              <w:rPr>
                <w:rFonts w:cs="Arial"/>
                <w:sz w:val="20"/>
              </w:rPr>
              <w:t> </w:t>
            </w:r>
          </w:p>
        </w:tc>
      </w:tr>
      <w:tr w:rsidR="00956DFC" w:rsidRPr="00C64BC3" w:rsidTr="00C33834">
        <w:trPr>
          <w:trHeight w:val="930"/>
        </w:trPr>
        <w:tc>
          <w:tcPr>
            <w:tcW w:w="2268" w:type="dxa"/>
            <w:tcBorders>
              <w:top w:val="nil"/>
              <w:left w:val="single" w:sz="4" w:space="0" w:color="auto"/>
              <w:bottom w:val="single" w:sz="4" w:space="0" w:color="auto"/>
              <w:right w:val="single" w:sz="4" w:space="0" w:color="auto"/>
            </w:tcBorders>
            <w:shd w:val="clear" w:color="auto" w:fill="auto"/>
            <w:vAlign w:val="center"/>
          </w:tcPr>
          <w:p w:rsidR="00956DFC" w:rsidRPr="00DB708B" w:rsidRDefault="00956DFC" w:rsidP="00C33834">
            <w:pPr>
              <w:jc w:val="left"/>
              <w:rPr>
                <w:rFonts w:cs="Arial"/>
                <w:sz w:val="20"/>
              </w:rPr>
            </w:pPr>
            <w:r w:rsidRPr="00DB708B">
              <w:rPr>
                <w:rFonts w:cs="Arial"/>
                <w:sz w:val="20"/>
              </w:rPr>
              <w:lastRenderedPageBreak/>
              <w:t>Demolizione</w:t>
            </w:r>
            <w:r>
              <w:rPr>
                <w:rFonts w:cs="Arial"/>
                <w:sz w:val="20"/>
              </w:rPr>
              <w:t xml:space="preserve">, progettazione e direzione lavori </w:t>
            </w:r>
          </w:p>
          <w:p w:rsidR="00956DFC" w:rsidRPr="00C64BC3" w:rsidRDefault="00956DFC" w:rsidP="00C33834">
            <w:pPr>
              <w:jc w:val="left"/>
              <w:rPr>
                <w:rFonts w:cs="Arial"/>
                <w:sz w:val="20"/>
                <w:highlight w:val="yellow"/>
              </w:rPr>
            </w:pPr>
            <w:r>
              <w:rPr>
                <w:rFonts w:cs="Arial"/>
                <w:sz w:val="20"/>
              </w:rPr>
              <w:t>(</w:t>
            </w:r>
            <w:r w:rsidRPr="00DB708B">
              <w:rPr>
                <w:rFonts w:cs="Arial"/>
                <w:sz w:val="20"/>
              </w:rPr>
              <w:t>IVA</w:t>
            </w:r>
            <w:r>
              <w:rPr>
                <w:rFonts w:cs="Arial"/>
                <w:sz w:val="20"/>
              </w:rPr>
              <w:t xml:space="preserve"> </w:t>
            </w:r>
            <w:r w:rsidRPr="00DB708B">
              <w:rPr>
                <w:rFonts w:cs="Arial"/>
                <w:sz w:val="20"/>
              </w:rPr>
              <w:t xml:space="preserve"> 7.7%</w:t>
            </w:r>
            <w:r>
              <w:rPr>
                <w:rFonts w:cs="Arial"/>
                <w:sz w:val="20"/>
              </w:rPr>
              <w:t>)</w:t>
            </w:r>
          </w:p>
        </w:tc>
        <w:tc>
          <w:tcPr>
            <w:tcW w:w="1418" w:type="dxa"/>
            <w:vMerge w:val="restart"/>
            <w:tcBorders>
              <w:top w:val="nil"/>
              <w:left w:val="nil"/>
              <w:right w:val="single" w:sz="4" w:space="0" w:color="auto"/>
            </w:tcBorders>
            <w:shd w:val="clear" w:color="auto" w:fill="auto"/>
            <w:noWrap/>
            <w:vAlign w:val="center"/>
          </w:tcPr>
          <w:p w:rsidR="00956DFC" w:rsidRDefault="00956DFC" w:rsidP="00C33834">
            <w:pPr>
              <w:jc w:val="center"/>
              <w:rPr>
                <w:rFonts w:cs="Arial"/>
                <w:sz w:val="20"/>
              </w:rPr>
            </w:pPr>
            <w:r>
              <w:rPr>
                <w:rFonts w:cs="Arial"/>
                <w:sz w:val="20"/>
              </w:rPr>
              <w:t xml:space="preserve">n° 832 (839) </w:t>
            </w:r>
          </w:p>
          <w:p w:rsidR="00956DFC" w:rsidRPr="00A11400" w:rsidRDefault="00956DFC" w:rsidP="00C33834">
            <w:pPr>
              <w:jc w:val="center"/>
              <w:rPr>
                <w:rFonts w:cs="Arial"/>
                <w:sz w:val="20"/>
              </w:rPr>
            </w:pPr>
            <w:r>
              <w:rPr>
                <w:rFonts w:cs="Arial"/>
                <w:sz w:val="20"/>
              </w:rPr>
              <w:t>n° 1015</w:t>
            </w:r>
          </w:p>
          <w:p w:rsidR="00956DFC" w:rsidRPr="00A11400" w:rsidRDefault="00956DFC" w:rsidP="00C33834">
            <w:pPr>
              <w:jc w:val="center"/>
              <w:rPr>
                <w:rFonts w:cs="Arial"/>
                <w:sz w:val="20"/>
              </w:rPr>
            </w:pPr>
            <w:r>
              <w:rPr>
                <w:rFonts w:cs="Arial"/>
                <w:sz w:val="20"/>
              </w:rPr>
              <w:t>n° 1016</w:t>
            </w:r>
          </w:p>
        </w:tc>
        <w:tc>
          <w:tcPr>
            <w:tcW w:w="1701" w:type="dxa"/>
            <w:tcBorders>
              <w:top w:val="nil"/>
              <w:left w:val="nil"/>
              <w:bottom w:val="single" w:sz="4" w:space="0" w:color="auto"/>
              <w:right w:val="single" w:sz="4" w:space="0" w:color="auto"/>
            </w:tcBorders>
            <w:shd w:val="clear" w:color="auto" w:fill="auto"/>
            <w:noWrap/>
            <w:vAlign w:val="center"/>
          </w:tcPr>
          <w:p w:rsidR="00956DFC" w:rsidRPr="007D19DC" w:rsidRDefault="00956DFC" w:rsidP="00C33834">
            <w:pPr>
              <w:jc w:val="center"/>
              <w:rPr>
                <w:rFonts w:cs="Arial"/>
                <w:sz w:val="20"/>
              </w:rPr>
            </w:pPr>
            <w:r w:rsidRPr="007D19DC">
              <w:rPr>
                <w:rFonts w:cs="Arial"/>
                <w:sz w:val="20"/>
              </w:rPr>
              <w:t>1'163’943.00</w:t>
            </w:r>
          </w:p>
          <w:p w:rsidR="00956DFC" w:rsidRPr="007D19DC" w:rsidRDefault="00956DFC" w:rsidP="00C33834">
            <w:pPr>
              <w:jc w:val="center"/>
              <w:rPr>
                <w:rFonts w:cs="Arial"/>
                <w:sz w:val="20"/>
                <w:u w:val="single"/>
              </w:rPr>
            </w:pPr>
            <w:r>
              <w:rPr>
                <w:rFonts w:cs="Arial"/>
                <w:sz w:val="20"/>
                <w:u w:val="single"/>
              </w:rPr>
              <w:t xml:space="preserve">  </w:t>
            </w:r>
            <w:r w:rsidRPr="007D19DC">
              <w:rPr>
                <w:rFonts w:cs="Arial"/>
                <w:sz w:val="20"/>
                <w:u w:val="single"/>
              </w:rPr>
              <w:t>193'444.00</w:t>
            </w:r>
          </w:p>
          <w:p w:rsidR="00956DFC" w:rsidRPr="007D19DC" w:rsidRDefault="00956DFC" w:rsidP="00C33834">
            <w:pPr>
              <w:jc w:val="center"/>
              <w:rPr>
                <w:rFonts w:cs="Arial"/>
                <w:sz w:val="20"/>
              </w:rPr>
            </w:pPr>
            <w:r w:rsidRPr="007D19DC">
              <w:rPr>
                <w:rFonts w:cs="Arial"/>
                <w:sz w:val="20"/>
              </w:rPr>
              <w:t>1'357’387.00</w:t>
            </w:r>
          </w:p>
        </w:tc>
        <w:tc>
          <w:tcPr>
            <w:tcW w:w="709" w:type="dxa"/>
            <w:tcBorders>
              <w:top w:val="nil"/>
              <w:left w:val="nil"/>
              <w:bottom w:val="single" w:sz="4" w:space="0" w:color="auto"/>
              <w:right w:val="single" w:sz="4" w:space="0" w:color="auto"/>
            </w:tcBorders>
            <w:shd w:val="clear" w:color="auto" w:fill="auto"/>
            <w:vAlign w:val="center"/>
          </w:tcPr>
          <w:p w:rsidR="00956DFC" w:rsidRPr="007D19DC" w:rsidRDefault="00956DFC" w:rsidP="00C33834">
            <w:pPr>
              <w:jc w:val="center"/>
              <w:rPr>
                <w:rFonts w:cs="Arial"/>
                <w:sz w:val="20"/>
              </w:rPr>
            </w:pPr>
            <w:r w:rsidRPr="007D19DC">
              <w:rPr>
                <w:rFonts w:cs="Arial"/>
                <w:sz w:val="20"/>
              </w:rPr>
              <w:t>70%</w:t>
            </w:r>
          </w:p>
        </w:tc>
        <w:tc>
          <w:tcPr>
            <w:tcW w:w="1417" w:type="dxa"/>
            <w:tcBorders>
              <w:top w:val="nil"/>
              <w:left w:val="nil"/>
              <w:bottom w:val="single" w:sz="4" w:space="0" w:color="auto"/>
              <w:right w:val="single" w:sz="4" w:space="0" w:color="auto"/>
            </w:tcBorders>
            <w:shd w:val="clear" w:color="auto" w:fill="auto"/>
            <w:vAlign w:val="center"/>
          </w:tcPr>
          <w:p w:rsidR="00956DFC" w:rsidRPr="006F3B2D" w:rsidRDefault="00956DFC" w:rsidP="00C33834">
            <w:pPr>
              <w:jc w:val="center"/>
              <w:rPr>
                <w:rFonts w:cs="Arial"/>
                <w:sz w:val="20"/>
              </w:rPr>
            </w:pPr>
            <w:r w:rsidRPr="006F3B2D">
              <w:rPr>
                <w:rFonts w:cs="Arial"/>
                <w:sz w:val="20"/>
              </w:rPr>
              <w:t>950'170.90</w:t>
            </w:r>
          </w:p>
        </w:tc>
        <w:tc>
          <w:tcPr>
            <w:tcW w:w="1843" w:type="dxa"/>
            <w:vMerge w:val="restart"/>
            <w:tcBorders>
              <w:top w:val="nil"/>
              <w:left w:val="nil"/>
              <w:right w:val="single" w:sz="4" w:space="0" w:color="auto"/>
            </w:tcBorders>
            <w:shd w:val="clear" w:color="auto" w:fill="auto"/>
            <w:noWrap/>
            <w:vAlign w:val="center"/>
          </w:tcPr>
          <w:p w:rsidR="00956DFC" w:rsidRPr="003A6BC2" w:rsidRDefault="00956DFC" w:rsidP="00C33834">
            <w:pPr>
              <w:rPr>
                <w:rFonts w:cs="Arial"/>
                <w:sz w:val="20"/>
              </w:rPr>
            </w:pPr>
            <w:r w:rsidRPr="003A6BC2">
              <w:rPr>
                <w:rFonts w:cs="Arial"/>
                <w:sz w:val="20"/>
              </w:rPr>
              <w:t xml:space="preserve">Mappale. </w:t>
            </w:r>
            <w:r>
              <w:rPr>
                <w:rFonts w:cs="Arial"/>
                <w:sz w:val="20"/>
              </w:rPr>
              <w:t>n°</w:t>
            </w:r>
            <w:r w:rsidRPr="003A6BC2">
              <w:rPr>
                <w:rFonts w:cs="Arial"/>
                <w:sz w:val="20"/>
              </w:rPr>
              <w:t xml:space="preserve"> 832 (839) RFD con diritto di superficie</w:t>
            </w:r>
          </w:p>
        </w:tc>
      </w:tr>
      <w:tr w:rsidR="00956DFC" w:rsidRPr="00C64BC3" w:rsidTr="00C33834">
        <w:trPr>
          <w:trHeight w:val="930"/>
        </w:trPr>
        <w:tc>
          <w:tcPr>
            <w:tcW w:w="2268" w:type="dxa"/>
            <w:tcBorders>
              <w:top w:val="nil"/>
              <w:left w:val="single" w:sz="4" w:space="0" w:color="auto"/>
              <w:bottom w:val="single" w:sz="4" w:space="0" w:color="auto"/>
              <w:right w:val="single" w:sz="4" w:space="0" w:color="auto"/>
            </w:tcBorders>
            <w:shd w:val="clear" w:color="auto" w:fill="auto"/>
            <w:vAlign w:val="bottom"/>
          </w:tcPr>
          <w:p w:rsidR="00956DFC" w:rsidRPr="00C64BC3" w:rsidRDefault="00956DFC" w:rsidP="00C33834">
            <w:pPr>
              <w:jc w:val="left"/>
              <w:rPr>
                <w:rFonts w:cs="Arial"/>
                <w:sz w:val="20"/>
                <w:highlight w:val="yellow"/>
              </w:rPr>
            </w:pPr>
            <w:r w:rsidRPr="003A6BC2">
              <w:rPr>
                <w:rFonts w:cs="Arial"/>
                <w:sz w:val="20"/>
              </w:rPr>
              <w:t xml:space="preserve">Perizia di Stima </w:t>
            </w:r>
            <w:r w:rsidRPr="003A6BC2">
              <w:rPr>
                <w:rFonts w:cs="Arial"/>
                <w:sz w:val="16"/>
                <w:szCs w:val="16"/>
              </w:rPr>
              <w:t>(valore intrinseco= Reale della struttura esistente)</w:t>
            </w:r>
            <w:r w:rsidRPr="003A6BC2">
              <w:rPr>
                <w:rFonts w:cs="Arial"/>
                <w:sz w:val="16"/>
                <w:szCs w:val="16"/>
              </w:rPr>
              <w:br/>
              <w:t>Att.: Non è il valore commerciale o di reddito</w:t>
            </w:r>
          </w:p>
        </w:tc>
        <w:tc>
          <w:tcPr>
            <w:tcW w:w="1418" w:type="dxa"/>
            <w:vMerge/>
            <w:tcBorders>
              <w:left w:val="nil"/>
              <w:bottom w:val="single" w:sz="4" w:space="0" w:color="auto"/>
              <w:right w:val="single" w:sz="4" w:space="0" w:color="auto"/>
            </w:tcBorders>
            <w:shd w:val="clear" w:color="auto" w:fill="auto"/>
            <w:noWrap/>
            <w:vAlign w:val="bottom"/>
          </w:tcPr>
          <w:p w:rsidR="00956DFC" w:rsidRPr="00A11400" w:rsidRDefault="00956DFC" w:rsidP="00C33834">
            <w:pPr>
              <w:rPr>
                <w:rFonts w:cs="Arial"/>
                <w:sz w:val="20"/>
              </w:rPr>
            </w:pPr>
          </w:p>
        </w:tc>
        <w:tc>
          <w:tcPr>
            <w:tcW w:w="1701" w:type="dxa"/>
            <w:tcBorders>
              <w:top w:val="nil"/>
              <w:left w:val="nil"/>
              <w:bottom w:val="single" w:sz="4" w:space="0" w:color="auto"/>
              <w:right w:val="single" w:sz="4" w:space="0" w:color="auto"/>
            </w:tcBorders>
            <w:shd w:val="clear" w:color="auto" w:fill="auto"/>
            <w:noWrap/>
            <w:vAlign w:val="center"/>
          </w:tcPr>
          <w:p w:rsidR="00956DFC" w:rsidRPr="00B90817" w:rsidRDefault="00956DFC" w:rsidP="00C33834">
            <w:pPr>
              <w:jc w:val="center"/>
              <w:rPr>
                <w:rFonts w:cs="Arial"/>
                <w:sz w:val="20"/>
              </w:rPr>
            </w:pPr>
            <w:r w:rsidRPr="00B90817">
              <w:rPr>
                <w:rFonts w:cs="Arial"/>
                <w:sz w:val="20"/>
              </w:rPr>
              <w:t>2'755</w:t>
            </w:r>
            <w:r>
              <w:rPr>
                <w:rFonts w:cs="Arial"/>
                <w:sz w:val="20"/>
              </w:rPr>
              <w:t>'</w:t>
            </w:r>
            <w:r w:rsidRPr="00B90817">
              <w:rPr>
                <w:rFonts w:cs="Arial"/>
                <w:sz w:val="20"/>
              </w:rPr>
              <w:t>300</w:t>
            </w:r>
            <w:r>
              <w:rPr>
                <w:rFonts w:cs="Arial"/>
                <w:sz w:val="20"/>
              </w:rPr>
              <w:t>.00</w:t>
            </w:r>
          </w:p>
        </w:tc>
        <w:tc>
          <w:tcPr>
            <w:tcW w:w="709" w:type="dxa"/>
            <w:tcBorders>
              <w:top w:val="nil"/>
              <w:left w:val="nil"/>
              <w:bottom w:val="single" w:sz="4" w:space="0" w:color="auto"/>
              <w:right w:val="single" w:sz="4" w:space="0" w:color="auto"/>
            </w:tcBorders>
            <w:shd w:val="clear" w:color="auto" w:fill="auto"/>
            <w:vAlign w:val="center"/>
          </w:tcPr>
          <w:p w:rsidR="00956DFC" w:rsidRPr="00B90817" w:rsidRDefault="00956DFC" w:rsidP="00C33834">
            <w:pPr>
              <w:jc w:val="center"/>
              <w:rPr>
                <w:rFonts w:cs="Arial"/>
                <w:sz w:val="20"/>
              </w:rPr>
            </w:pPr>
            <w:r w:rsidRPr="00B90817">
              <w:rPr>
                <w:rFonts w:cs="Arial"/>
                <w:sz w:val="20"/>
              </w:rPr>
              <w:t>70%</w:t>
            </w:r>
          </w:p>
        </w:tc>
        <w:tc>
          <w:tcPr>
            <w:tcW w:w="1417" w:type="dxa"/>
            <w:tcBorders>
              <w:top w:val="nil"/>
              <w:left w:val="nil"/>
              <w:bottom w:val="single" w:sz="4" w:space="0" w:color="auto"/>
              <w:right w:val="single" w:sz="4" w:space="0" w:color="auto"/>
            </w:tcBorders>
            <w:shd w:val="clear" w:color="auto" w:fill="auto"/>
            <w:vAlign w:val="center"/>
          </w:tcPr>
          <w:p w:rsidR="00956DFC" w:rsidRPr="006F3B2D" w:rsidRDefault="00956DFC" w:rsidP="00C33834">
            <w:pPr>
              <w:jc w:val="center"/>
              <w:rPr>
                <w:rFonts w:cs="Arial"/>
                <w:sz w:val="20"/>
              </w:rPr>
            </w:pPr>
            <w:r>
              <w:rPr>
                <w:rFonts w:cs="Arial"/>
                <w:sz w:val="20"/>
              </w:rPr>
              <w:t>1'928'710.00</w:t>
            </w:r>
          </w:p>
        </w:tc>
        <w:tc>
          <w:tcPr>
            <w:tcW w:w="1843" w:type="dxa"/>
            <w:vMerge/>
            <w:tcBorders>
              <w:left w:val="nil"/>
              <w:bottom w:val="single" w:sz="4" w:space="0" w:color="auto"/>
              <w:right w:val="single" w:sz="4" w:space="0" w:color="auto"/>
            </w:tcBorders>
            <w:shd w:val="clear" w:color="auto" w:fill="auto"/>
            <w:noWrap/>
            <w:vAlign w:val="bottom"/>
          </w:tcPr>
          <w:p w:rsidR="00956DFC" w:rsidRPr="00C64BC3" w:rsidRDefault="00956DFC" w:rsidP="00C33834">
            <w:pPr>
              <w:jc w:val="center"/>
              <w:rPr>
                <w:rFonts w:cs="Arial"/>
                <w:sz w:val="20"/>
                <w:highlight w:val="yellow"/>
              </w:rPr>
            </w:pPr>
          </w:p>
        </w:tc>
      </w:tr>
      <w:tr w:rsidR="00956DFC" w:rsidRPr="00C64BC3" w:rsidTr="00C33834">
        <w:trPr>
          <w:trHeight w:val="930"/>
        </w:trPr>
        <w:tc>
          <w:tcPr>
            <w:tcW w:w="2268" w:type="dxa"/>
            <w:tcBorders>
              <w:top w:val="nil"/>
              <w:left w:val="single" w:sz="4" w:space="0" w:color="auto"/>
              <w:bottom w:val="single" w:sz="4" w:space="0" w:color="auto"/>
              <w:right w:val="single" w:sz="4" w:space="0" w:color="auto"/>
            </w:tcBorders>
            <w:shd w:val="clear" w:color="auto" w:fill="auto"/>
            <w:vAlign w:val="center"/>
          </w:tcPr>
          <w:p w:rsidR="00956DFC" w:rsidRPr="00DB708B" w:rsidRDefault="00956DFC" w:rsidP="00C33834">
            <w:pPr>
              <w:jc w:val="left"/>
              <w:rPr>
                <w:rFonts w:cs="Arial"/>
                <w:sz w:val="20"/>
              </w:rPr>
            </w:pPr>
            <w:r>
              <w:rPr>
                <w:rFonts w:cs="Arial"/>
                <w:sz w:val="20"/>
              </w:rPr>
              <w:t xml:space="preserve">Onorario di </w:t>
            </w:r>
            <w:r w:rsidRPr="00DB708B">
              <w:rPr>
                <w:rFonts w:cs="Arial"/>
                <w:sz w:val="20"/>
              </w:rPr>
              <w:t xml:space="preserve">progettazione </w:t>
            </w:r>
            <w:r>
              <w:rPr>
                <w:rFonts w:cs="Arial"/>
                <w:sz w:val="20"/>
              </w:rPr>
              <w:t>per nuovo</w:t>
            </w:r>
            <w:r w:rsidRPr="00DB708B">
              <w:rPr>
                <w:rFonts w:cs="Arial"/>
                <w:sz w:val="20"/>
              </w:rPr>
              <w:t xml:space="preserve"> stabile</w:t>
            </w:r>
            <w:r>
              <w:rPr>
                <w:rFonts w:cs="Arial"/>
                <w:sz w:val="20"/>
              </w:rPr>
              <w:t xml:space="preserve"> fino all’ottenimento della licenza edilizia</w:t>
            </w:r>
          </w:p>
          <w:p w:rsidR="00956DFC" w:rsidRPr="005D16E5" w:rsidRDefault="00956DFC" w:rsidP="00C33834">
            <w:pPr>
              <w:jc w:val="left"/>
              <w:rPr>
                <w:rFonts w:cs="Arial"/>
                <w:sz w:val="20"/>
              </w:rPr>
            </w:pPr>
            <w:r>
              <w:rPr>
                <w:rFonts w:cs="Arial"/>
                <w:sz w:val="20"/>
              </w:rPr>
              <w:t xml:space="preserve">(IVA </w:t>
            </w:r>
            <w:r w:rsidRPr="00DB708B">
              <w:rPr>
                <w:rFonts w:cs="Arial"/>
                <w:sz w:val="20"/>
              </w:rPr>
              <w:t>7.7%</w:t>
            </w:r>
            <w:r>
              <w:rPr>
                <w:rFonts w:cs="Arial"/>
                <w:sz w:val="20"/>
              </w:rPr>
              <w:t>)</w:t>
            </w:r>
          </w:p>
        </w:tc>
        <w:tc>
          <w:tcPr>
            <w:tcW w:w="1418" w:type="dxa"/>
            <w:tcBorders>
              <w:top w:val="nil"/>
              <w:left w:val="nil"/>
              <w:bottom w:val="single" w:sz="4" w:space="0" w:color="auto"/>
              <w:right w:val="single" w:sz="4" w:space="0" w:color="auto"/>
            </w:tcBorders>
            <w:shd w:val="clear" w:color="auto" w:fill="auto"/>
            <w:noWrap/>
            <w:vAlign w:val="center"/>
          </w:tcPr>
          <w:p w:rsidR="00956DFC" w:rsidRPr="006F3B2D" w:rsidRDefault="00956DFC" w:rsidP="00C33834">
            <w:pPr>
              <w:jc w:val="center"/>
              <w:rPr>
                <w:rFonts w:cs="Arial"/>
                <w:sz w:val="20"/>
              </w:rPr>
            </w:pPr>
            <w:r w:rsidRPr="006F3B2D">
              <w:rPr>
                <w:rFonts w:cs="Arial"/>
                <w:sz w:val="20"/>
              </w:rPr>
              <w:t>/</w:t>
            </w:r>
          </w:p>
        </w:tc>
        <w:tc>
          <w:tcPr>
            <w:tcW w:w="1701" w:type="dxa"/>
            <w:tcBorders>
              <w:top w:val="nil"/>
              <w:left w:val="nil"/>
              <w:bottom w:val="single" w:sz="4" w:space="0" w:color="auto"/>
              <w:right w:val="single" w:sz="4" w:space="0" w:color="auto"/>
            </w:tcBorders>
            <w:shd w:val="clear" w:color="auto" w:fill="auto"/>
            <w:noWrap/>
            <w:vAlign w:val="center"/>
          </w:tcPr>
          <w:p w:rsidR="00956DFC" w:rsidRPr="00C64BC3" w:rsidRDefault="00956DFC" w:rsidP="00C33834">
            <w:pPr>
              <w:jc w:val="center"/>
              <w:rPr>
                <w:rFonts w:cs="Arial"/>
                <w:sz w:val="20"/>
                <w:highlight w:val="yellow"/>
              </w:rPr>
            </w:pPr>
            <w:r w:rsidRPr="007D19DC">
              <w:rPr>
                <w:rFonts w:cs="Arial"/>
                <w:sz w:val="20"/>
              </w:rPr>
              <w:t>253'</w:t>
            </w:r>
            <w:r>
              <w:rPr>
                <w:rFonts w:cs="Arial"/>
                <w:sz w:val="20"/>
              </w:rPr>
              <w:t>750</w:t>
            </w:r>
            <w:r w:rsidRPr="007D19DC">
              <w:rPr>
                <w:rFonts w:cs="Arial"/>
                <w:sz w:val="20"/>
              </w:rPr>
              <w:t>.</w:t>
            </w:r>
            <w:r>
              <w:rPr>
                <w:rFonts w:cs="Arial"/>
                <w:sz w:val="20"/>
              </w:rPr>
              <w:t>00</w:t>
            </w:r>
          </w:p>
        </w:tc>
        <w:tc>
          <w:tcPr>
            <w:tcW w:w="709" w:type="dxa"/>
            <w:tcBorders>
              <w:top w:val="nil"/>
              <w:left w:val="nil"/>
              <w:bottom w:val="single" w:sz="4" w:space="0" w:color="auto"/>
              <w:right w:val="single" w:sz="4" w:space="0" w:color="auto"/>
            </w:tcBorders>
            <w:shd w:val="clear" w:color="auto" w:fill="auto"/>
            <w:vAlign w:val="center"/>
          </w:tcPr>
          <w:p w:rsidR="00956DFC" w:rsidRDefault="00956DFC" w:rsidP="00C33834">
            <w:pPr>
              <w:jc w:val="center"/>
            </w:pPr>
            <w:r w:rsidRPr="00E911D0">
              <w:rPr>
                <w:rFonts w:cs="Arial"/>
                <w:sz w:val="20"/>
              </w:rPr>
              <w:t>70%</w:t>
            </w:r>
          </w:p>
        </w:tc>
        <w:tc>
          <w:tcPr>
            <w:tcW w:w="1417" w:type="dxa"/>
            <w:tcBorders>
              <w:top w:val="nil"/>
              <w:left w:val="nil"/>
              <w:bottom w:val="single" w:sz="4" w:space="0" w:color="auto"/>
              <w:right w:val="single" w:sz="4" w:space="0" w:color="auto"/>
            </w:tcBorders>
            <w:shd w:val="clear" w:color="auto" w:fill="auto"/>
            <w:vAlign w:val="center"/>
          </w:tcPr>
          <w:p w:rsidR="00956DFC" w:rsidRPr="006F3B2D" w:rsidRDefault="00956DFC" w:rsidP="00C33834">
            <w:pPr>
              <w:jc w:val="center"/>
              <w:rPr>
                <w:rFonts w:cs="Arial"/>
                <w:sz w:val="20"/>
              </w:rPr>
            </w:pPr>
            <w:r>
              <w:rPr>
                <w:rFonts w:cs="Arial"/>
                <w:sz w:val="20"/>
              </w:rPr>
              <w:t>177'625.00</w:t>
            </w:r>
          </w:p>
        </w:tc>
        <w:tc>
          <w:tcPr>
            <w:tcW w:w="1843" w:type="dxa"/>
            <w:tcBorders>
              <w:top w:val="nil"/>
              <w:left w:val="nil"/>
              <w:bottom w:val="single" w:sz="4" w:space="0" w:color="auto"/>
              <w:right w:val="single" w:sz="4" w:space="0" w:color="auto"/>
            </w:tcBorders>
            <w:shd w:val="clear" w:color="auto" w:fill="auto"/>
            <w:noWrap/>
            <w:vAlign w:val="center"/>
          </w:tcPr>
          <w:p w:rsidR="00956DFC" w:rsidRPr="006F3B2D" w:rsidRDefault="00956DFC" w:rsidP="00C33834">
            <w:pPr>
              <w:jc w:val="center"/>
              <w:rPr>
                <w:rFonts w:cs="Arial"/>
                <w:sz w:val="20"/>
              </w:rPr>
            </w:pPr>
            <w:r w:rsidRPr="006F3B2D">
              <w:rPr>
                <w:rFonts w:cs="Arial"/>
                <w:sz w:val="20"/>
              </w:rPr>
              <w:t>/</w:t>
            </w:r>
          </w:p>
        </w:tc>
      </w:tr>
      <w:tr w:rsidR="00956DFC" w:rsidRPr="00C64BC3" w:rsidTr="00C33834">
        <w:trPr>
          <w:trHeight w:val="811"/>
        </w:trPr>
        <w:tc>
          <w:tcPr>
            <w:tcW w:w="2268" w:type="dxa"/>
            <w:tcBorders>
              <w:top w:val="nil"/>
              <w:left w:val="single" w:sz="4" w:space="0" w:color="auto"/>
              <w:bottom w:val="single" w:sz="4" w:space="0" w:color="auto"/>
              <w:right w:val="single" w:sz="4" w:space="0" w:color="auto"/>
            </w:tcBorders>
            <w:shd w:val="clear" w:color="auto" w:fill="auto"/>
            <w:vAlign w:val="center"/>
          </w:tcPr>
          <w:p w:rsidR="00956DFC" w:rsidRPr="005D16E5" w:rsidRDefault="00956DFC" w:rsidP="00C33834">
            <w:pPr>
              <w:jc w:val="left"/>
              <w:rPr>
                <w:rFonts w:cs="Arial"/>
                <w:sz w:val="20"/>
              </w:rPr>
            </w:pPr>
            <w:r w:rsidRPr="005D16E5">
              <w:rPr>
                <w:rFonts w:cs="Arial"/>
                <w:sz w:val="20"/>
              </w:rPr>
              <w:t>Imprevisti</w:t>
            </w:r>
            <w:r>
              <w:rPr>
                <w:rFonts w:cs="Arial"/>
                <w:sz w:val="20"/>
              </w:rPr>
              <w:t xml:space="preserve"> per demolizione e onorari diversi</w:t>
            </w:r>
            <w:r w:rsidRPr="005D16E5">
              <w:rPr>
                <w:rFonts w:cs="Arial"/>
                <w:sz w:val="20"/>
              </w:rPr>
              <w:t xml:space="preserve"> (10%)</w:t>
            </w:r>
            <w:r>
              <w:rPr>
                <w:rFonts w:cs="Arial"/>
                <w:sz w:val="20"/>
              </w:rPr>
              <w:t>, escluso valore di stima</w:t>
            </w:r>
          </w:p>
        </w:tc>
        <w:tc>
          <w:tcPr>
            <w:tcW w:w="1418" w:type="dxa"/>
            <w:tcBorders>
              <w:top w:val="nil"/>
              <w:left w:val="nil"/>
              <w:bottom w:val="single" w:sz="4" w:space="0" w:color="auto"/>
              <w:right w:val="single" w:sz="4" w:space="0" w:color="auto"/>
            </w:tcBorders>
            <w:shd w:val="clear" w:color="auto" w:fill="auto"/>
            <w:noWrap/>
            <w:vAlign w:val="center"/>
          </w:tcPr>
          <w:p w:rsidR="00956DFC" w:rsidRPr="006F3B2D" w:rsidRDefault="00956DFC" w:rsidP="00C33834">
            <w:pPr>
              <w:jc w:val="center"/>
              <w:rPr>
                <w:rFonts w:cs="Arial"/>
                <w:sz w:val="20"/>
              </w:rPr>
            </w:pPr>
            <w:r w:rsidRPr="006F3B2D">
              <w:rPr>
                <w:rFonts w:cs="Arial"/>
                <w:sz w:val="20"/>
              </w:rPr>
              <w:t>/</w:t>
            </w:r>
          </w:p>
        </w:tc>
        <w:tc>
          <w:tcPr>
            <w:tcW w:w="1701" w:type="dxa"/>
            <w:tcBorders>
              <w:top w:val="nil"/>
              <w:left w:val="nil"/>
              <w:bottom w:val="single" w:sz="4" w:space="0" w:color="auto"/>
              <w:right w:val="single" w:sz="4" w:space="0" w:color="auto"/>
            </w:tcBorders>
            <w:shd w:val="clear" w:color="auto" w:fill="auto"/>
            <w:noWrap/>
            <w:vAlign w:val="center"/>
          </w:tcPr>
          <w:p w:rsidR="00956DFC" w:rsidRPr="00C64BC3" w:rsidRDefault="00956DFC" w:rsidP="00C33834">
            <w:pPr>
              <w:jc w:val="center"/>
              <w:rPr>
                <w:rFonts w:cs="Arial"/>
                <w:sz w:val="20"/>
                <w:highlight w:val="yellow"/>
              </w:rPr>
            </w:pPr>
            <w:r>
              <w:rPr>
                <w:rFonts w:cs="Arial"/>
                <w:sz w:val="20"/>
              </w:rPr>
              <w:t>161’114</w:t>
            </w:r>
            <w:r w:rsidRPr="00C6080F">
              <w:rPr>
                <w:rFonts w:cs="Arial"/>
                <w:sz w:val="20"/>
              </w:rPr>
              <w:t>.00</w:t>
            </w:r>
          </w:p>
        </w:tc>
        <w:tc>
          <w:tcPr>
            <w:tcW w:w="709" w:type="dxa"/>
            <w:tcBorders>
              <w:top w:val="nil"/>
              <w:left w:val="nil"/>
              <w:bottom w:val="single" w:sz="4" w:space="0" w:color="auto"/>
              <w:right w:val="single" w:sz="4" w:space="0" w:color="auto"/>
            </w:tcBorders>
            <w:shd w:val="clear" w:color="auto" w:fill="auto"/>
            <w:vAlign w:val="center"/>
          </w:tcPr>
          <w:p w:rsidR="00956DFC" w:rsidRDefault="00956DFC" w:rsidP="00C33834">
            <w:pPr>
              <w:jc w:val="center"/>
            </w:pPr>
            <w:r w:rsidRPr="00E911D0">
              <w:rPr>
                <w:rFonts w:cs="Arial"/>
                <w:sz w:val="20"/>
              </w:rPr>
              <w:t>70%</w:t>
            </w:r>
          </w:p>
        </w:tc>
        <w:tc>
          <w:tcPr>
            <w:tcW w:w="1417" w:type="dxa"/>
            <w:tcBorders>
              <w:top w:val="nil"/>
              <w:left w:val="nil"/>
              <w:bottom w:val="single" w:sz="4" w:space="0" w:color="auto"/>
              <w:right w:val="single" w:sz="4" w:space="0" w:color="auto"/>
            </w:tcBorders>
            <w:shd w:val="clear" w:color="auto" w:fill="auto"/>
            <w:vAlign w:val="center"/>
          </w:tcPr>
          <w:p w:rsidR="00956DFC" w:rsidRPr="006F3B2D" w:rsidRDefault="00956DFC" w:rsidP="00C33834">
            <w:pPr>
              <w:jc w:val="center"/>
              <w:rPr>
                <w:rFonts w:cs="Arial"/>
                <w:sz w:val="20"/>
              </w:rPr>
            </w:pPr>
            <w:r>
              <w:rPr>
                <w:rFonts w:cs="Arial"/>
                <w:sz w:val="20"/>
              </w:rPr>
              <w:t>112'779.80</w:t>
            </w:r>
          </w:p>
        </w:tc>
        <w:tc>
          <w:tcPr>
            <w:tcW w:w="1843" w:type="dxa"/>
            <w:tcBorders>
              <w:top w:val="nil"/>
              <w:left w:val="nil"/>
              <w:bottom w:val="single" w:sz="4" w:space="0" w:color="auto"/>
              <w:right w:val="single" w:sz="4" w:space="0" w:color="auto"/>
            </w:tcBorders>
            <w:shd w:val="clear" w:color="auto" w:fill="auto"/>
            <w:noWrap/>
            <w:vAlign w:val="center"/>
          </w:tcPr>
          <w:p w:rsidR="00956DFC" w:rsidRPr="006F3B2D" w:rsidRDefault="00956DFC" w:rsidP="00C33834">
            <w:pPr>
              <w:jc w:val="center"/>
              <w:rPr>
                <w:rFonts w:cs="Arial"/>
                <w:sz w:val="20"/>
              </w:rPr>
            </w:pPr>
            <w:r w:rsidRPr="006F3B2D">
              <w:rPr>
                <w:rFonts w:cs="Arial"/>
                <w:sz w:val="20"/>
              </w:rPr>
              <w:t>/</w:t>
            </w:r>
          </w:p>
        </w:tc>
      </w:tr>
      <w:tr w:rsidR="00956DFC" w:rsidTr="00C33834">
        <w:trPr>
          <w:trHeight w:val="315"/>
        </w:trPr>
        <w:tc>
          <w:tcPr>
            <w:tcW w:w="36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956DFC" w:rsidRPr="006F3B2D" w:rsidRDefault="00956DFC" w:rsidP="00C33834">
            <w:pPr>
              <w:jc w:val="center"/>
              <w:rPr>
                <w:rFonts w:cs="Arial"/>
                <w:b/>
                <w:bCs/>
                <w:sz w:val="20"/>
              </w:rPr>
            </w:pPr>
            <w:r w:rsidRPr="006F3B2D">
              <w:rPr>
                <w:rFonts w:cs="Arial"/>
                <w:b/>
                <w:bCs/>
                <w:sz w:val="20"/>
              </w:rPr>
              <w:t>Totale</w:t>
            </w:r>
          </w:p>
        </w:tc>
        <w:tc>
          <w:tcPr>
            <w:tcW w:w="1701" w:type="dxa"/>
            <w:tcBorders>
              <w:top w:val="single" w:sz="4" w:space="0" w:color="auto"/>
              <w:left w:val="nil"/>
              <w:bottom w:val="single" w:sz="4" w:space="0" w:color="auto"/>
              <w:right w:val="single" w:sz="4" w:space="0" w:color="auto"/>
            </w:tcBorders>
            <w:shd w:val="clear" w:color="auto" w:fill="auto"/>
            <w:noWrap/>
            <w:vAlign w:val="center"/>
          </w:tcPr>
          <w:p w:rsidR="00956DFC" w:rsidRPr="006F3B2D" w:rsidRDefault="00956DFC" w:rsidP="00C33834">
            <w:pPr>
              <w:jc w:val="center"/>
              <w:rPr>
                <w:rFonts w:cs="Arial"/>
                <w:b/>
                <w:bCs/>
                <w:sz w:val="20"/>
              </w:rPr>
            </w:pPr>
            <w:r w:rsidRPr="006F3B2D">
              <w:rPr>
                <w:rFonts w:cs="Arial"/>
                <w:b/>
                <w:bCs/>
                <w:sz w:val="20"/>
              </w:rPr>
              <w:t>4'527’551.00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956DFC" w:rsidRPr="006F3B2D" w:rsidRDefault="00956DFC" w:rsidP="00C33834">
            <w:pPr>
              <w:jc w:val="center"/>
              <w:rPr>
                <w:rFonts w:cs="Arial"/>
                <w:b/>
                <w:bCs/>
                <w:sz w:val="20"/>
              </w:rPr>
            </w:pPr>
            <w:r>
              <w:rPr>
                <w:rFonts w:cs="Arial"/>
                <w:b/>
                <w:bCs/>
                <w:sz w:val="20"/>
              </w:rPr>
              <w:t>70%</w:t>
            </w:r>
          </w:p>
        </w:tc>
        <w:tc>
          <w:tcPr>
            <w:tcW w:w="1417" w:type="dxa"/>
            <w:tcBorders>
              <w:top w:val="single" w:sz="4" w:space="0" w:color="auto"/>
              <w:left w:val="nil"/>
              <w:bottom w:val="single" w:sz="4" w:space="0" w:color="auto"/>
              <w:right w:val="single" w:sz="4" w:space="0" w:color="auto"/>
            </w:tcBorders>
            <w:shd w:val="clear" w:color="auto" w:fill="auto"/>
            <w:vAlign w:val="center"/>
          </w:tcPr>
          <w:p w:rsidR="00956DFC" w:rsidRPr="006F3B2D" w:rsidRDefault="00956DFC" w:rsidP="00C33834">
            <w:pPr>
              <w:jc w:val="center"/>
              <w:rPr>
                <w:rFonts w:cs="Arial"/>
                <w:b/>
                <w:bCs/>
                <w:sz w:val="20"/>
              </w:rPr>
            </w:pPr>
            <w:r w:rsidRPr="006F3B2D">
              <w:rPr>
                <w:rFonts w:cs="Arial"/>
                <w:b/>
                <w:bCs/>
                <w:sz w:val="20"/>
              </w:rPr>
              <w:t>3'169'285.70</w:t>
            </w: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956DFC" w:rsidRPr="009957AA" w:rsidRDefault="00956DFC" w:rsidP="00C33834">
            <w:pPr>
              <w:jc w:val="center"/>
              <w:rPr>
                <w:rFonts w:cs="Arial"/>
                <w:b/>
                <w:bCs/>
                <w:sz w:val="20"/>
              </w:rPr>
            </w:pPr>
            <w:r>
              <w:rPr>
                <w:rFonts w:cs="Arial"/>
                <w:b/>
                <w:bCs/>
                <w:sz w:val="20"/>
              </w:rPr>
              <w:t>/</w:t>
            </w:r>
          </w:p>
        </w:tc>
      </w:tr>
    </w:tbl>
    <w:p w:rsidR="00956DFC" w:rsidRPr="00BC62A5" w:rsidRDefault="00956DFC" w:rsidP="00956DFC">
      <w:pPr>
        <w:pStyle w:val="NormaleWeb"/>
        <w:tabs>
          <w:tab w:val="left" w:pos="284"/>
          <w:tab w:val="left" w:pos="4536"/>
        </w:tabs>
        <w:spacing w:before="0" w:beforeAutospacing="0" w:after="0" w:afterAutospacing="0"/>
        <w:jc w:val="both"/>
        <w:rPr>
          <w:rFonts w:ascii="Arial" w:hAnsi="Arial" w:cs="Arial"/>
        </w:rPr>
      </w:pPr>
    </w:p>
    <w:p w:rsidR="00956DFC" w:rsidRDefault="00956DFC" w:rsidP="00956DFC">
      <w:pPr>
        <w:rPr>
          <w:rFonts w:cs="Arial"/>
          <w:bCs/>
          <w:color w:val="1C1C1C"/>
        </w:rPr>
      </w:pPr>
      <w:r>
        <w:rPr>
          <w:rFonts w:cs="Arial"/>
          <w:bCs/>
          <w:color w:val="1C1C1C"/>
        </w:rPr>
        <w:t>È stato allestito un piano dei pagamenti con gli importi e le tempistiche e i lavori saranno soggetti alla Legge sulle Commesse pubbliche. Terminata la delocalizzazione della Betra SA, in loco rimarrà solo una ditta e più precisamente la Ecotechnology, di cui abbiamo riferito precedentemente.</w:t>
      </w:r>
    </w:p>
    <w:p w:rsidR="00956DFC" w:rsidRDefault="00956DFC" w:rsidP="00956DFC">
      <w:pPr>
        <w:rPr>
          <w:rFonts w:cs="Arial"/>
          <w:bCs/>
          <w:color w:val="1C1C1C"/>
        </w:rPr>
      </w:pPr>
    </w:p>
    <w:p w:rsidR="00956DFC" w:rsidRDefault="00956DFC" w:rsidP="00956DFC">
      <w:pPr>
        <w:rPr>
          <w:rFonts w:cs="Arial"/>
          <w:bCs/>
          <w:color w:val="1C1C1C"/>
        </w:rPr>
      </w:pPr>
    </w:p>
    <w:p w:rsidR="00BB1674" w:rsidRDefault="00BB1674">
      <w:pPr>
        <w:rPr>
          <w:b/>
          <w:caps/>
          <w:szCs w:val="24"/>
          <w:lang w:val="it-IT" w:eastAsia="it-IT"/>
        </w:rPr>
      </w:pPr>
      <w:r>
        <w:br w:type="page"/>
      </w:r>
    </w:p>
    <w:p w:rsidR="00956DFC" w:rsidRPr="00EC6465" w:rsidRDefault="00956DFC" w:rsidP="00BB1674">
      <w:pPr>
        <w:pStyle w:val="Titolo1"/>
      </w:pPr>
      <w:r w:rsidRPr="00EC6465">
        <w:lastRenderedPageBreak/>
        <w:t>PIANO DI FINANZIAMENTO E RELAZIONI CON LE LINEE DIRETTIVE</w:t>
      </w:r>
    </w:p>
    <w:p w:rsidR="00956DFC" w:rsidRPr="003E47AE" w:rsidRDefault="00956DFC" w:rsidP="00956DFC">
      <w:pPr>
        <w:tabs>
          <w:tab w:val="left" w:pos="360"/>
        </w:tabs>
        <w:rPr>
          <w:rFonts w:cs="Arial"/>
        </w:rPr>
      </w:pPr>
      <w:r>
        <w:rPr>
          <w:rFonts w:cs="Arial"/>
          <w:bCs/>
          <w:color w:val="1C1C1C"/>
        </w:rPr>
        <w:t xml:space="preserve">La Betra SA è il committente per la propria delocalizzazione e dovrà garantire la copertura dei costi residui tramite </w:t>
      </w:r>
      <w:r w:rsidR="009336CF">
        <w:rPr>
          <w:rFonts w:cs="Arial"/>
          <w:bCs/>
          <w:color w:val="1C1C1C"/>
        </w:rPr>
        <w:t>autofinanziamenti</w:t>
      </w:r>
      <w:r>
        <w:rPr>
          <w:rFonts w:cs="Arial"/>
          <w:bCs/>
          <w:color w:val="1C1C1C"/>
        </w:rPr>
        <w:t xml:space="preserve"> interni o prestiti bancari. </w:t>
      </w:r>
      <w:r>
        <w:rPr>
          <w:rFonts w:cs="Arial"/>
        </w:rPr>
        <w:t xml:space="preserve">Con l’elaborazione del progetto complementare, il preventivo globale è stato aggiornato considerando lo stato d’avanzamento dei lavori ed in particolare i </w:t>
      </w:r>
      <w:r w:rsidRPr="003E47AE">
        <w:rPr>
          <w:rFonts w:cs="Arial"/>
        </w:rPr>
        <w:t>consuntivi delle aziende che hanno ultimat</w:t>
      </w:r>
      <w:r>
        <w:rPr>
          <w:rFonts w:cs="Arial"/>
        </w:rPr>
        <w:t>o</w:t>
      </w:r>
      <w:r w:rsidRPr="003E47AE">
        <w:rPr>
          <w:rFonts w:cs="Arial"/>
        </w:rPr>
        <w:t xml:space="preserve"> i lavori.</w:t>
      </w:r>
    </w:p>
    <w:p w:rsidR="00956DFC" w:rsidRDefault="00956DFC" w:rsidP="00956DFC">
      <w:pPr>
        <w:tabs>
          <w:tab w:val="left" w:pos="360"/>
        </w:tabs>
        <w:rPr>
          <w:rFonts w:cs="Arial"/>
        </w:rPr>
      </w:pPr>
      <w:r w:rsidRPr="003E47AE">
        <w:rPr>
          <w:rFonts w:cs="Arial"/>
        </w:rPr>
        <w:t xml:space="preserve">Di fronte ad un preventivo iniziale di </w:t>
      </w:r>
      <w:r>
        <w:rPr>
          <w:rFonts w:cs="Arial"/>
        </w:rPr>
        <w:t>fr.</w:t>
      </w:r>
      <w:r w:rsidRPr="003E47AE">
        <w:rPr>
          <w:rFonts w:cs="Arial"/>
        </w:rPr>
        <w:t xml:space="preserve"> 12'860’124.-- per la delocalizzazione </w:t>
      </w:r>
      <w:r>
        <w:rPr>
          <w:rFonts w:cs="Arial"/>
        </w:rPr>
        <w:t xml:space="preserve">parziale </w:t>
      </w:r>
      <w:r w:rsidRPr="003E47AE">
        <w:rPr>
          <w:rFonts w:cs="Arial"/>
        </w:rPr>
        <w:t>della zona industriale di Preonzo, a seguito della richiesta della ditta Betra SA l’importo supplementare, sulla base del preventivo aggiornato (tenuto conto dei consuntivi delle aziende che hanno ultimat</w:t>
      </w:r>
      <w:r>
        <w:rPr>
          <w:rFonts w:cs="Arial"/>
        </w:rPr>
        <w:t>o</w:t>
      </w:r>
      <w:r w:rsidRPr="003E47AE">
        <w:rPr>
          <w:rFonts w:cs="Arial"/>
        </w:rPr>
        <w:t xml:space="preserve"> i lavori</w:t>
      </w:r>
      <w:r>
        <w:rPr>
          <w:rFonts w:cs="Arial"/>
        </w:rPr>
        <w:t xml:space="preserve"> e dei lavori ancora da eseguire</w:t>
      </w:r>
      <w:r w:rsidRPr="003E47AE">
        <w:rPr>
          <w:rFonts w:cs="Arial"/>
        </w:rPr>
        <w:t xml:space="preserve">), ammonta a </w:t>
      </w:r>
      <w:r w:rsidR="00F75A09">
        <w:rPr>
          <w:rFonts w:cs="Arial"/>
        </w:rPr>
        <w:br/>
      </w:r>
      <w:r>
        <w:rPr>
          <w:rFonts w:cs="Arial"/>
        </w:rPr>
        <w:t xml:space="preserve">fr. </w:t>
      </w:r>
      <w:r w:rsidRPr="003E47AE">
        <w:rPr>
          <w:rFonts w:cs="Arial"/>
        </w:rPr>
        <w:t xml:space="preserve">4'365'775.70 per un costo totale di </w:t>
      </w:r>
      <w:r>
        <w:rPr>
          <w:rFonts w:cs="Arial"/>
        </w:rPr>
        <w:t>fr.</w:t>
      </w:r>
      <w:r w:rsidRPr="003E47AE">
        <w:rPr>
          <w:rFonts w:cs="Arial"/>
        </w:rPr>
        <w:t xml:space="preserve"> 17'225'899.70</w:t>
      </w:r>
      <w:r>
        <w:rPr>
          <w:rFonts w:cs="Arial"/>
        </w:rPr>
        <w:t>.</w:t>
      </w:r>
    </w:p>
    <w:p w:rsidR="00956DFC" w:rsidRDefault="00956DFC" w:rsidP="00956DFC">
      <w:pPr>
        <w:tabs>
          <w:tab w:val="left" w:pos="360"/>
        </w:tabs>
        <w:rPr>
          <w:rFonts w:cs="Arial"/>
        </w:rPr>
      </w:pPr>
      <w:r w:rsidRPr="00A364AA">
        <w:rPr>
          <w:rFonts w:cs="Arial"/>
        </w:rPr>
        <w:t xml:space="preserve">Con il messaggio e relativo </w:t>
      </w:r>
      <w:r>
        <w:rPr>
          <w:rFonts w:cs="Arial"/>
        </w:rPr>
        <w:t>d</w:t>
      </w:r>
      <w:r w:rsidRPr="00A364AA">
        <w:rPr>
          <w:rFonts w:cs="Arial"/>
        </w:rPr>
        <w:t xml:space="preserve">ecreto legislativo </w:t>
      </w:r>
      <w:r>
        <w:rPr>
          <w:rFonts w:cs="Arial"/>
        </w:rPr>
        <w:t>il Consiglio di stato chiede</w:t>
      </w:r>
      <w:r w:rsidRPr="00A364AA">
        <w:rPr>
          <w:rFonts w:cs="Arial"/>
        </w:rPr>
        <w:t xml:space="preserve"> lo stanziamento di un sussidio cantonale del 25% dei costi riconosciuti, per un </w:t>
      </w:r>
      <w:r w:rsidRPr="00B3707E">
        <w:rPr>
          <w:rFonts w:cs="Arial"/>
        </w:rPr>
        <w:t xml:space="preserve">importo </w:t>
      </w:r>
      <w:r>
        <w:rPr>
          <w:rFonts w:cs="Arial"/>
        </w:rPr>
        <w:t xml:space="preserve">supplementare </w:t>
      </w:r>
      <w:r w:rsidRPr="00B3707E">
        <w:rPr>
          <w:rFonts w:cs="Arial"/>
        </w:rPr>
        <w:t xml:space="preserve">di </w:t>
      </w:r>
      <w:r w:rsidR="00F75A09">
        <w:rPr>
          <w:rFonts w:cs="Arial"/>
        </w:rPr>
        <w:br/>
      </w:r>
      <w:r>
        <w:rPr>
          <w:rFonts w:cs="Arial"/>
        </w:rPr>
        <w:t>fr.</w:t>
      </w:r>
      <w:r w:rsidRPr="003E47AE">
        <w:rPr>
          <w:rFonts w:cs="Arial"/>
        </w:rPr>
        <w:t xml:space="preserve"> 1'091'444.--.</w:t>
      </w:r>
    </w:p>
    <w:p w:rsidR="00956DFC" w:rsidRPr="00E949E2" w:rsidRDefault="00956DFC" w:rsidP="00956DFC">
      <w:pPr>
        <w:tabs>
          <w:tab w:val="left" w:pos="360"/>
        </w:tabs>
        <w:rPr>
          <w:rFonts w:cs="Arial"/>
        </w:rPr>
      </w:pPr>
      <w:r w:rsidRPr="00F85DB7">
        <w:rPr>
          <w:rFonts w:cs="Arial"/>
        </w:rPr>
        <w:t xml:space="preserve">La spesa complessiva supplementare legata alla delocalizzazione parziale delle Aziende, di cui in </w:t>
      </w:r>
      <w:r w:rsidRPr="00BF46CB">
        <w:rPr>
          <w:rFonts w:cs="Arial"/>
        </w:rPr>
        <w:t xml:space="preserve">particolare </w:t>
      </w:r>
      <w:r>
        <w:rPr>
          <w:rFonts w:cs="Arial"/>
        </w:rPr>
        <w:t>fr.</w:t>
      </w:r>
      <w:r w:rsidRPr="00BF46CB">
        <w:rPr>
          <w:rFonts w:cs="Arial"/>
        </w:rPr>
        <w:t xml:space="preserve"> 1'091'444.--</w:t>
      </w:r>
      <w:r>
        <w:rPr>
          <w:rFonts w:cs="Arial"/>
        </w:rPr>
        <w:t xml:space="preserve"> </w:t>
      </w:r>
      <w:r w:rsidRPr="00E949E2">
        <w:rPr>
          <w:rFonts w:cs="Arial"/>
        </w:rPr>
        <w:t xml:space="preserve">di contributi </w:t>
      </w:r>
      <w:smartTag w:uri="urn:schemas-microsoft-com:office:smarttags" w:element="PersonName">
        <w:r w:rsidRPr="00E949E2">
          <w:rPr>
            <w:rFonts w:cs="Arial"/>
          </w:rPr>
          <w:t>can</w:t>
        </w:r>
      </w:smartTag>
      <w:r w:rsidRPr="00E949E2">
        <w:rPr>
          <w:rFonts w:cs="Arial"/>
        </w:rPr>
        <w:t>tonali quale sussidio, è prevista nel piano finanziario del settore 55 (Economia forestale).</w:t>
      </w:r>
    </w:p>
    <w:p w:rsidR="00956DFC" w:rsidRDefault="00956DFC" w:rsidP="00956DFC">
      <w:pPr>
        <w:tabs>
          <w:tab w:val="left" w:pos="360"/>
        </w:tabs>
        <w:rPr>
          <w:rFonts w:cs="Arial"/>
        </w:rPr>
      </w:pPr>
      <w:r w:rsidRPr="00F85DB7">
        <w:rPr>
          <w:rFonts w:cs="Arial"/>
        </w:rPr>
        <w:t xml:space="preserve">Il sussidio </w:t>
      </w:r>
      <w:r>
        <w:rPr>
          <w:rFonts w:cs="Arial"/>
        </w:rPr>
        <w:t xml:space="preserve">cantonale </w:t>
      </w:r>
      <w:r w:rsidRPr="00BF46CB">
        <w:rPr>
          <w:rFonts w:cs="Arial"/>
        </w:rPr>
        <w:t xml:space="preserve">supplementare di </w:t>
      </w:r>
      <w:r>
        <w:rPr>
          <w:rFonts w:cs="Arial"/>
        </w:rPr>
        <w:t>fr.</w:t>
      </w:r>
      <w:r w:rsidRPr="00BF46CB">
        <w:rPr>
          <w:rFonts w:cs="Arial"/>
        </w:rPr>
        <w:t xml:space="preserve"> 1'091'444.--</w:t>
      </w:r>
      <w:r>
        <w:rPr>
          <w:rFonts w:cs="Arial"/>
        </w:rPr>
        <w:t xml:space="preserve"> </w:t>
      </w:r>
      <w:r w:rsidRPr="00BF46CB">
        <w:rPr>
          <w:rFonts w:cs="Arial"/>
        </w:rPr>
        <w:t>andrà</w:t>
      </w:r>
      <w:r w:rsidRPr="00F85DB7">
        <w:rPr>
          <w:rFonts w:cs="Arial"/>
        </w:rPr>
        <w:t xml:space="preserve"> a </w:t>
      </w:r>
      <w:r>
        <w:rPr>
          <w:rFonts w:cs="Arial"/>
        </w:rPr>
        <w:t>carico della voce contabile 56200</w:t>
      </w:r>
      <w:r w:rsidRPr="00F85DB7">
        <w:rPr>
          <w:rFonts w:cs="Arial"/>
        </w:rPr>
        <w:t>013</w:t>
      </w:r>
      <w:r>
        <w:rPr>
          <w:rFonts w:cs="Arial"/>
        </w:rPr>
        <w:t>,</w:t>
      </w:r>
      <w:r w:rsidRPr="00F85DB7">
        <w:rPr>
          <w:rFonts w:cs="Arial"/>
        </w:rPr>
        <w:t xml:space="preserve"> CRB 741</w:t>
      </w:r>
      <w:r>
        <w:rPr>
          <w:rFonts w:cs="Arial"/>
        </w:rPr>
        <w:t xml:space="preserve">, WBS 741 51 2012 (PF 552 2 </w:t>
      </w:r>
      <w:r w:rsidRPr="00F85DB7">
        <w:rPr>
          <w:rFonts w:cs="Arial"/>
        </w:rPr>
        <w:t>2)</w:t>
      </w:r>
      <w:r>
        <w:rPr>
          <w:rFonts w:cs="Arial"/>
        </w:rPr>
        <w:t>.</w:t>
      </w:r>
    </w:p>
    <w:p w:rsidR="00956DFC" w:rsidRPr="003E47AE" w:rsidRDefault="00956DFC" w:rsidP="00956DFC">
      <w:pPr>
        <w:tabs>
          <w:tab w:val="left" w:pos="360"/>
        </w:tabs>
        <w:rPr>
          <w:rFonts w:cs="Arial"/>
        </w:rPr>
      </w:pPr>
    </w:p>
    <w:p w:rsidR="00956DFC" w:rsidRDefault="00956DFC" w:rsidP="00956DFC">
      <w:pPr>
        <w:rPr>
          <w:rFonts w:cs="Arial"/>
          <w:bCs/>
          <w:color w:val="1C1C1C"/>
        </w:rPr>
      </w:pPr>
    </w:p>
    <w:p w:rsidR="00956DFC" w:rsidRPr="00EC6465" w:rsidRDefault="00956DFC" w:rsidP="00BB1674">
      <w:pPr>
        <w:pStyle w:val="Titolo1"/>
      </w:pPr>
      <w:r w:rsidRPr="00EC6465">
        <w:t>CONCLUSIONI</w:t>
      </w:r>
    </w:p>
    <w:p w:rsidR="00956DFC" w:rsidRPr="00D2222D" w:rsidRDefault="00956DFC" w:rsidP="00956DFC">
      <w:pPr>
        <w:rPr>
          <w:rFonts w:cs="Arial"/>
        </w:rPr>
      </w:pPr>
      <w:r>
        <w:t xml:space="preserve">Con la delocalizzazione proposta si riesce a ridurre ulteriormente il rischio presente sull’area industriale di Preonzo. </w:t>
      </w:r>
      <w:r w:rsidRPr="00D2222D">
        <w:rPr>
          <w:rFonts w:cs="Arial"/>
        </w:rPr>
        <w:t xml:space="preserve">Al termine di questa delocalizzazione </w:t>
      </w:r>
      <w:r>
        <w:rPr>
          <w:rFonts w:cs="Arial"/>
        </w:rPr>
        <w:t>rimarrà ancora operativa</w:t>
      </w:r>
      <w:r w:rsidRPr="00D2222D">
        <w:rPr>
          <w:rFonts w:cs="Arial"/>
        </w:rPr>
        <w:t xml:space="preserve"> un’azienda nella zona industriale, con relative persone esposte al </w:t>
      </w:r>
      <w:r>
        <w:rPr>
          <w:rFonts w:cs="Arial"/>
        </w:rPr>
        <w:t>pericolo. L</w:t>
      </w:r>
      <w:r w:rsidRPr="00D2222D">
        <w:rPr>
          <w:rFonts w:cs="Arial"/>
        </w:rPr>
        <w:t>a concretizzazione del presente progetto di delocalizzazione, unitamente al monitoraggio della frana che continuerà in futuro anche a tutela della strada cantonale e dell’autostrada, permetteranno di diminuire ulteriormente il rischio.</w:t>
      </w:r>
    </w:p>
    <w:p w:rsidR="00956DFC" w:rsidRDefault="00956DFC" w:rsidP="00956DFC"/>
    <w:p w:rsidR="00BB1674" w:rsidRDefault="00BB1674" w:rsidP="00956DFC"/>
    <w:p w:rsidR="00956DFC" w:rsidRDefault="00956DFC" w:rsidP="00956DFC">
      <w:pPr>
        <w:jc w:val="center"/>
        <w:rPr>
          <w:sz w:val="28"/>
        </w:rPr>
      </w:pP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r>
        <w:rPr>
          <w:sz w:val="28"/>
        </w:rPr>
        <w:t xml:space="preserve"> </w:t>
      </w:r>
      <w:r>
        <w:rPr>
          <w:sz w:val="28"/>
        </w:rPr>
        <w:fldChar w:fldCharType="begin"/>
      </w:r>
      <w:r>
        <w:rPr>
          <w:sz w:val="28"/>
        </w:rPr>
        <w:instrText>SYMBOL 175 \f "Wingdings"</w:instrText>
      </w:r>
      <w:r>
        <w:rPr>
          <w:sz w:val="28"/>
        </w:rPr>
        <w:fldChar w:fldCharType="end"/>
      </w:r>
    </w:p>
    <w:p w:rsidR="00956DFC" w:rsidRDefault="00956DFC" w:rsidP="00956DFC"/>
    <w:p w:rsidR="00956DFC" w:rsidRDefault="00956DFC" w:rsidP="00956DFC">
      <w:pPr>
        <w:rPr>
          <w:rFonts w:cs="Arial"/>
          <w:bCs/>
          <w:color w:val="1C1C1C"/>
        </w:rPr>
      </w:pPr>
    </w:p>
    <w:p w:rsidR="00956DFC" w:rsidRDefault="00956DFC" w:rsidP="00956DFC">
      <w:r>
        <w:t>Per questi motivi si propone al Gran Consiglio di accogliere il messaggio n. 7808 e il decreto legislativo così come proposto dal Consiglio di Stato e di approvare il relativo credito.</w:t>
      </w:r>
    </w:p>
    <w:p w:rsidR="00956DFC" w:rsidRDefault="00956DFC" w:rsidP="00956DFC">
      <w:pPr>
        <w:autoSpaceDE w:val="0"/>
        <w:autoSpaceDN w:val="0"/>
        <w:adjustRightInd w:val="0"/>
        <w:rPr>
          <w:rFonts w:cs="Arial"/>
          <w:szCs w:val="24"/>
        </w:rPr>
      </w:pPr>
    </w:p>
    <w:p w:rsidR="00956DFC" w:rsidRDefault="00956DFC" w:rsidP="00956DFC">
      <w:pPr>
        <w:rPr>
          <w:rFonts w:cs="Arial"/>
          <w:szCs w:val="24"/>
        </w:rPr>
      </w:pPr>
    </w:p>
    <w:p w:rsidR="00956DFC" w:rsidRDefault="00956DFC" w:rsidP="00956DFC">
      <w:pPr>
        <w:spacing w:after="120"/>
        <w:rPr>
          <w:rFonts w:cs="Arial"/>
          <w:szCs w:val="24"/>
        </w:rPr>
      </w:pPr>
      <w:r>
        <w:rPr>
          <w:rFonts w:cs="Arial"/>
          <w:szCs w:val="24"/>
        </w:rPr>
        <w:t>Per la Commissione ambiente territorio energia</w:t>
      </w:r>
      <w:r w:rsidR="00BB1674">
        <w:rPr>
          <w:rFonts w:cs="Arial"/>
          <w:szCs w:val="24"/>
        </w:rPr>
        <w:t>:</w:t>
      </w:r>
    </w:p>
    <w:p w:rsidR="00956DFC" w:rsidRDefault="00956DFC" w:rsidP="00956DFC">
      <w:pPr>
        <w:rPr>
          <w:rFonts w:cs="Arial"/>
          <w:szCs w:val="24"/>
        </w:rPr>
      </w:pPr>
      <w:r>
        <w:rPr>
          <w:rFonts w:cs="Arial"/>
          <w:szCs w:val="24"/>
        </w:rPr>
        <w:t>Henrik Bang, relatore</w:t>
      </w:r>
    </w:p>
    <w:p w:rsidR="009336CF" w:rsidRDefault="009336CF" w:rsidP="009336CF">
      <w:r>
        <w:t xml:space="preserve">Alberti - Badasci - </w:t>
      </w:r>
      <w:r w:rsidRPr="00F75A09">
        <w:t>Battaglioni -</w:t>
      </w:r>
      <w:r>
        <w:t xml:space="preserve"> Berardi - </w:t>
      </w:r>
    </w:p>
    <w:p w:rsidR="009336CF" w:rsidRDefault="009336CF" w:rsidP="009336CF">
      <w:r>
        <w:lastRenderedPageBreak/>
        <w:t xml:space="preserve">Buri - Cedraschi - Gaffuri - Garbani Nerini - </w:t>
      </w:r>
    </w:p>
    <w:p w:rsidR="009336CF" w:rsidRDefault="009336CF" w:rsidP="009336CF">
      <w:r>
        <w:t xml:space="preserve">Genini - Pinoja - Schnellmann - </w:t>
      </w:r>
    </w:p>
    <w:p w:rsidR="009336CF" w:rsidRDefault="00FA6262" w:rsidP="009336CF">
      <w:r>
        <w:t xml:space="preserve">Schoenenberger - </w:t>
      </w:r>
      <w:r w:rsidR="009336CF">
        <w:t>Tonini</w:t>
      </w:r>
    </w:p>
    <w:p w:rsidR="00956DFC" w:rsidRDefault="00956DFC" w:rsidP="00956DFC">
      <w:pPr>
        <w:pStyle w:val="NormaleWeb"/>
        <w:spacing w:before="0" w:beforeAutospacing="0" w:after="0" w:afterAutospacing="0"/>
        <w:jc w:val="both"/>
        <w:rPr>
          <w:rFonts w:ascii="Arial" w:hAnsi="Arial" w:cs="Arial"/>
        </w:rPr>
      </w:pPr>
    </w:p>
    <w:bookmarkEnd w:id="1"/>
    <w:sectPr w:rsidR="00956DFC" w:rsidSect="008B4137">
      <w:footerReference w:type="default" r:id="rId8"/>
      <w:pgSz w:w="11906" w:h="16838"/>
      <w:pgMar w:top="1418"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CB634F" w:rsidRPr="00CB634F">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2CA4290"/>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12B7F7A"/>
    <w:multiLevelType w:val="hybridMultilevel"/>
    <w:tmpl w:val="B2561610"/>
    <w:lvl w:ilvl="0" w:tplc="EDC09C02">
      <w:start w:val="1"/>
      <w:numFmt w:val="bullet"/>
      <w:lvlText w:val=""/>
      <w:lvlJc w:val="left"/>
      <w:pPr>
        <w:tabs>
          <w:tab w:val="num" w:pos="284"/>
        </w:tabs>
        <w:ind w:left="284" w:hanging="284"/>
      </w:pPr>
      <w:rPr>
        <w:rFonts w:ascii="Symbol" w:hAnsi="Symbol" w:hint="default"/>
        <w:color w:val="auto"/>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15A916B4"/>
    <w:multiLevelType w:val="hybridMultilevel"/>
    <w:tmpl w:val="71241184"/>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1F2453EC"/>
    <w:multiLevelType w:val="hybridMultilevel"/>
    <w:tmpl w:val="BBE02A84"/>
    <w:lvl w:ilvl="0" w:tplc="8988A65E">
      <w:start w:val="1"/>
      <w:numFmt w:val="bullet"/>
      <w:lvlText w:val="-"/>
      <w:lvlJc w:val="left"/>
      <w:pPr>
        <w:ind w:left="720" w:hanging="360"/>
      </w:pPr>
      <w:rPr>
        <w:rFonts w:ascii="Arial" w:hAnsi="Arial" w:hint="default"/>
      </w:rPr>
    </w:lvl>
    <w:lvl w:ilvl="1" w:tplc="8988A65E">
      <w:start w:val="1"/>
      <w:numFmt w:val="bullet"/>
      <w:lvlText w:val="-"/>
      <w:lvlJc w:val="left"/>
      <w:pPr>
        <w:ind w:left="1440" w:hanging="360"/>
      </w:pPr>
      <w:rPr>
        <w:rFonts w:ascii="Arial" w:hAnsi="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15:restartNumberingAfterBreak="0">
    <w:nsid w:val="24B620B9"/>
    <w:multiLevelType w:val="multilevel"/>
    <w:tmpl w:val="23A25EF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44901A79"/>
    <w:multiLevelType w:val="hybridMultilevel"/>
    <w:tmpl w:val="9F786C86"/>
    <w:lvl w:ilvl="0" w:tplc="3996A1A0">
      <w:numFmt w:val="bullet"/>
      <w:lvlText w:val="-"/>
      <w:lvlJc w:val="left"/>
      <w:pPr>
        <w:ind w:left="720" w:hanging="360"/>
      </w:pPr>
      <w:rPr>
        <w:rFonts w:ascii="Arial" w:eastAsia="Times New Roman" w:hAnsi="Arial" w:cs="Arial" w:hint="default"/>
      </w:rPr>
    </w:lvl>
    <w:lvl w:ilvl="1" w:tplc="AAA05160">
      <w:numFmt w:val="bullet"/>
      <w:lvlText w:val="−"/>
      <w:lvlJc w:val="left"/>
      <w:pPr>
        <w:ind w:left="1440" w:hanging="360"/>
      </w:pPr>
      <w:rPr>
        <w:rFonts w:ascii="Arial" w:eastAsia="Times New Roman" w:hAnsi="Arial" w:cs="Arial"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4E6C56DE"/>
    <w:multiLevelType w:val="hybridMultilevel"/>
    <w:tmpl w:val="76E6FA42"/>
    <w:lvl w:ilvl="0" w:tplc="04100001">
      <w:start w:val="1"/>
      <w:numFmt w:val="bullet"/>
      <w:lvlText w:val=""/>
      <w:lvlJc w:val="left"/>
      <w:pPr>
        <w:ind w:left="850" w:hanging="360"/>
      </w:pPr>
      <w:rPr>
        <w:rFonts w:ascii="Symbol" w:hAnsi="Symbol" w:hint="default"/>
      </w:rPr>
    </w:lvl>
    <w:lvl w:ilvl="1" w:tplc="04100003" w:tentative="1">
      <w:start w:val="1"/>
      <w:numFmt w:val="bullet"/>
      <w:lvlText w:val="o"/>
      <w:lvlJc w:val="left"/>
      <w:pPr>
        <w:ind w:left="1570" w:hanging="360"/>
      </w:pPr>
      <w:rPr>
        <w:rFonts w:ascii="Courier New" w:hAnsi="Courier New" w:hint="default"/>
      </w:rPr>
    </w:lvl>
    <w:lvl w:ilvl="2" w:tplc="04100005" w:tentative="1">
      <w:start w:val="1"/>
      <w:numFmt w:val="bullet"/>
      <w:lvlText w:val=""/>
      <w:lvlJc w:val="left"/>
      <w:pPr>
        <w:ind w:left="2290" w:hanging="360"/>
      </w:pPr>
      <w:rPr>
        <w:rFonts w:ascii="Wingdings" w:hAnsi="Wingdings" w:hint="default"/>
      </w:rPr>
    </w:lvl>
    <w:lvl w:ilvl="3" w:tplc="04100001" w:tentative="1">
      <w:start w:val="1"/>
      <w:numFmt w:val="bullet"/>
      <w:lvlText w:val=""/>
      <w:lvlJc w:val="left"/>
      <w:pPr>
        <w:ind w:left="3010" w:hanging="360"/>
      </w:pPr>
      <w:rPr>
        <w:rFonts w:ascii="Symbol" w:hAnsi="Symbol" w:hint="default"/>
      </w:rPr>
    </w:lvl>
    <w:lvl w:ilvl="4" w:tplc="04100003" w:tentative="1">
      <w:start w:val="1"/>
      <w:numFmt w:val="bullet"/>
      <w:lvlText w:val="o"/>
      <w:lvlJc w:val="left"/>
      <w:pPr>
        <w:ind w:left="3730" w:hanging="360"/>
      </w:pPr>
      <w:rPr>
        <w:rFonts w:ascii="Courier New" w:hAnsi="Courier New" w:hint="default"/>
      </w:rPr>
    </w:lvl>
    <w:lvl w:ilvl="5" w:tplc="04100005" w:tentative="1">
      <w:start w:val="1"/>
      <w:numFmt w:val="bullet"/>
      <w:lvlText w:val=""/>
      <w:lvlJc w:val="left"/>
      <w:pPr>
        <w:ind w:left="4450" w:hanging="360"/>
      </w:pPr>
      <w:rPr>
        <w:rFonts w:ascii="Wingdings" w:hAnsi="Wingdings" w:hint="default"/>
      </w:rPr>
    </w:lvl>
    <w:lvl w:ilvl="6" w:tplc="04100001" w:tentative="1">
      <w:start w:val="1"/>
      <w:numFmt w:val="bullet"/>
      <w:lvlText w:val=""/>
      <w:lvlJc w:val="left"/>
      <w:pPr>
        <w:ind w:left="5170" w:hanging="360"/>
      </w:pPr>
      <w:rPr>
        <w:rFonts w:ascii="Symbol" w:hAnsi="Symbol" w:hint="default"/>
      </w:rPr>
    </w:lvl>
    <w:lvl w:ilvl="7" w:tplc="04100003" w:tentative="1">
      <w:start w:val="1"/>
      <w:numFmt w:val="bullet"/>
      <w:lvlText w:val="o"/>
      <w:lvlJc w:val="left"/>
      <w:pPr>
        <w:ind w:left="5890" w:hanging="360"/>
      </w:pPr>
      <w:rPr>
        <w:rFonts w:ascii="Courier New" w:hAnsi="Courier New" w:hint="default"/>
      </w:rPr>
    </w:lvl>
    <w:lvl w:ilvl="8" w:tplc="04100005" w:tentative="1">
      <w:start w:val="1"/>
      <w:numFmt w:val="bullet"/>
      <w:lvlText w:val=""/>
      <w:lvlJc w:val="left"/>
      <w:pPr>
        <w:ind w:left="6610" w:hanging="360"/>
      </w:pPr>
      <w:rPr>
        <w:rFonts w:ascii="Wingdings" w:hAnsi="Wingdings" w:hint="default"/>
      </w:rPr>
    </w:lvl>
  </w:abstractNum>
  <w:abstractNum w:abstractNumId="8" w15:restartNumberingAfterBreak="0">
    <w:nsid w:val="554E66A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A1F66EE"/>
    <w:multiLevelType w:val="hybridMultilevel"/>
    <w:tmpl w:val="2556DA38"/>
    <w:lvl w:ilvl="0" w:tplc="3996A1A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72A623D6"/>
    <w:multiLevelType w:val="hybridMultilevel"/>
    <w:tmpl w:val="660A06E4"/>
    <w:lvl w:ilvl="0" w:tplc="0810000F">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2"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0"/>
  </w:num>
  <w:num w:numId="2">
    <w:abstractNumId w:val="10"/>
  </w:num>
  <w:num w:numId="3">
    <w:abstractNumId w:val="12"/>
  </w:num>
  <w:num w:numId="4">
    <w:abstractNumId w:val="2"/>
  </w:num>
  <w:num w:numId="5">
    <w:abstractNumId w:val="6"/>
  </w:num>
  <w:num w:numId="6">
    <w:abstractNumId w:val="0"/>
  </w:num>
  <w:num w:numId="7">
    <w:abstractNumId w:val="11"/>
  </w:num>
  <w:num w:numId="8">
    <w:abstractNumId w:val="3"/>
  </w:num>
  <w:num w:numId="9">
    <w:abstractNumId w:val="9"/>
  </w:num>
  <w:num w:numId="10">
    <w:abstractNumId w:val="8"/>
  </w:num>
  <w:num w:numId="11">
    <w:abstractNumId w:val="4"/>
  </w:num>
  <w:num w:numId="12">
    <w:abstractNumId w:val="5"/>
  </w:num>
  <w:num w:numId="13">
    <w:abstractNumId w:val="7"/>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1574D7"/>
    <w:rsid w:val="00260C8C"/>
    <w:rsid w:val="002677DC"/>
    <w:rsid w:val="002E5E40"/>
    <w:rsid w:val="0052425A"/>
    <w:rsid w:val="00586A8D"/>
    <w:rsid w:val="006C17AA"/>
    <w:rsid w:val="006D7A3B"/>
    <w:rsid w:val="006E4AE2"/>
    <w:rsid w:val="007352D3"/>
    <w:rsid w:val="007B5462"/>
    <w:rsid w:val="008034BD"/>
    <w:rsid w:val="0087406D"/>
    <w:rsid w:val="00876352"/>
    <w:rsid w:val="008B2655"/>
    <w:rsid w:val="008B4137"/>
    <w:rsid w:val="008C767A"/>
    <w:rsid w:val="008E77C6"/>
    <w:rsid w:val="009336CF"/>
    <w:rsid w:val="00956DFC"/>
    <w:rsid w:val="009770BB"/>
    <w:rsid w:val="009E008D"/>
    <w:rsid w:val="00A5465F"/>
    <w:rsid w:val="00A77678"/>
    <w:rsid w:val="00B5090E"/>
    <w:rsid w:val="00B860C2"/>
    <w:rsid w:val="00BB1674"/>
    <w:rsid w:val="00BC4C95"/>
    <w:rsid w:val="00BD5944"/>
    <w:rsid w:val="00C75DAE"/>
    <w:rsid w:val="00C96E29"/>
    <w:rsid w:val="00CB634F"/>
    <w:rsid w:val="00CF6858"/>
    <w:rsid w:val="00D377B5"/>
    <w:rsid w:val="00D93B31"/>
    <w:rsid w:val="00E505DB"/>
    <w:rsid w:val="00E765A9"/>
    <w:rsid w:val="00F75A09"/>
    <w:rsid w:val="00FA6262"/>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5:docId w15:val="{19E9646C-59C7-45B8-9788-2339018EE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table" w:styleId="Grigliatabella">
    <w:name w:val="Table Grid"/>
    <w:basedOn w:val="Tabellanormale"/>
    <w:rsid w:val="00260C8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basedOn w:val="Normale"/>
    <w:link w:val="CorpotestoCarattere"/>
    <w:rsid w:val="001574D7"/>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1574D7"/>
    <w:rPr>
      <w:rFonts w:ascii="Arial" w:eastAsia="Times New Roman" w:hAnsi="Arial" w:cs="Times New Roman"/>
      <w:sz w:val="24"/>
      <w:szCs w:val="20"/>
      <w:lang w:val="it-IT" w:eastAsia="it-IT"/>
    </w:rPr>
  </w:style>
  <w:style w:type="paragraph" w:customStyle="1" w:styleId="Default">
    <w:name w:val="Default"/>
    <w:rsid w:val="006E4AE2"/>
    <w:pPr>
      <w:autoSpaceDE w:val="0"/>
      <w:autoSpaceDN w:val="0"/>
      <w:adjustRightInd w:val="0"/>
      <w:jc w:val="left"/>
    </w:pPr>
    <w:rPr>
      <w:rFonts w:ascii="Arial" w:eastAsia="Times New Roman" w:hAnsi="Arial" w:cs="Arial"/>
      <w:color w:val="000000"/>
      <w:sz w:val="24"/>
      <w:szCs w:val="24"/>
      <w:lang w:eastAsia="it-CH"/>
    </w:rPr>
  </w:style>
  <w:style w:type="paragraph" w:styleId="Puntoelenco">
    <w:name w:val="List Bullet"/>
    <w:basedOn w:val="Normale"/>
    <w:uiPriority w:val="99"/>
    <w:unhideWhenUsed/>
    <w:rsid w:val="006E4AE2"/>
    <w:pPr>
      <w:widowControl w:val="0"/>
      <w:numPr>
        <w:numId w:val="6"/>
      </w:numPr>
      <w:contextualSpacing/>
    </w:pPr>
    <w:rPr>
      <w:rFonts w:eastAsia="Arial" w:cs="Arial"/>
      <w:color w:val="000000"/>
      <w:szCs w:val="24"/>
      <w:lang w:eastAsia="it-CH"/>
    </w:rPr>
  </w:style>
  <w:style w:type="paragraph" w:styleId="Testofumetto">
    <w:name w:val="Balloon Text"/>
    <w:basedOn w:val="Normale"/>
    <w:link w:val="TestofumettoCarattere"/>
    <w:uiPriority w:val="99"/>
    <w:semiHidden/>
    <w:unhideWhenUsed/>
    <w:rsid w:val="00B860C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860C2"/>
    <w:rPr>
      <w:rFonts w:ascii="Tahoma" w:hAnsi="Tahoma" w:cs="Tahoma"/>
      <w:sz w:val="16"/>
      <w:szCs w:val="16"/>
    </w:rPr>
  </w:style>
  <w:style w:type="paragraph" w:styleId="NormaleWeb">
    <w:name w:val="Normal (Web)"/>
    <w:basedOn w:val="Normale"/>
    <w:uiPriority w:val="99"/>
    <w:rsid w:val="00956DFC"/>
    <w:pPr>
      <w:spacing w:before="100" w:beforeAutospacing="1" w:after="100" w:afterAutospacing="1"/>
      <w:jc w:val="left"/>
    </w:pPr>
    <w:rPr>
      <w:rFonts w:ascii="Times New Roman" w:eastAsia="Times New Roman" w:hAnsi="Times New Roman" w:cs="Times New Roman"/>
      <w:szCs w:val="24"/>
      <w:lang w:val="it-IT" w:eastAsia="it-IT"/>
    </w:rPr>
  </w:style>
  <w:style w:type="paragraph" w:customStyle="1" w:styleId="Paragrafoelenco1">
    <w:name w:val="Paragrafo elenco1"/>
    <w:basedOn w:val="Normale"/>
    <w:rsid w:val="00956DFC"/>
    <w:pPr>
      <w:ind w:left="720"/>
      <w:contextualSpacing/>
      <w:jc w:val="left"/>
    </w:pPr>
    <w:rPr>
      <w:rFonts w:ascii="Cambria" w:eastAsia="MS Mincho" w:hAnsi="Cambria" w:cs="Times New Roman"/>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46CB04-FA3F-4936-95C2-BF82247A9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3059</Words>
  <Characters>17441</Characters>
  <Application>Microsoft Office Word</Application>
  <DocSecurity>4</DocSecurity>
  <Lines>145</Lines>
  <Paragraphs>40</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20460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Righetti Paolo</cp:lastModifiedBy>
  <cp:revision>2</cp:revision>
  <cp:lastPrinted>2020-09-09T09:22:00Z</cp:lastPrinted>
  <dcterms:created xsi:type="dcterms:W3CDTF">2020-09-09T10:20:00Z</dcterms:created>
  <dcterms:modified xsi:type="dcterms:W3CDTF">2020-09-09T10:20:00Z</dcterms:modified>
</cp:coreProperties>
</file>