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47683E" w:rsidP="00B860C2">
      <w:r w:rsidRPr="00162C49"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E6727D" w:rsidRDefault="00E6727D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51B11" w:rsidRDefault="00B51B11" w:rsidP="00B51B11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0" w:name="_Toc532286235"/>
      <w:r>
        <w:rPr>
          <w:rFonts w:cs="Arial"/>
          <w:b/>
          <w:sz w:val="32"/>
          <w:szCs w:val="32"/>
        </w:rPr>
        <w:t>7809</w:t>
      </w:r>
      <w:r w:rsidRPr="008B4137">
        <w:rPr>
          <w:rFonts w:cs="Arial"/>
          <w:b/>
          <w:sz w:val="32"/>
          <w:szCs w:val="32"/>
        </w:rPr>
        <w:t xml:space="preserve"> R</w:t>
      </w:r>
      <w:r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10 settembre 2020</w:t>
      </w:r>
      <w:r w:rsidRPr="008B4137">
        <w:rPr>
          <w:rFonts w:cs="Arial"/>
          <w:sz w:val="28"/>
          <w:szCs w:val="28"/>
        </w:rPr>
        <w:tab/>
      </w:r>
      <w:r w:rsidRPr="003F3883">
        <w:rPr>
          <w:rFonts w:eastAsia="Calibri" w:cs="Times New Roman"/>
          <w:sz w:val="28"/>
          <w:szCs w:val="28"/>
        </w:rPr>
        <w:t xml:space="preserve">SANITÀ E </w:t>
      </w:r>
      <w:r w:rsidR="00367FEA">
        <w:rPr>
          <w:rFonts w:eastAsia="Calibri" w:cs="Times New Roman"/>
          <w:sz w:val="28"/>
          <w:szCs w:val="28"/>
        </w:rPr>
        <w:t>SOCIALITÀ</w:t>
      </w: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  <w:bookmarkStart w:id="1" w:name="_GoBack"/>
      <w:bookmarkEnd w:id="1"/>
    </w:p>
    <w:p w:rsidR="00B51B11" w:rsidRPr="008B4137" w:rsidRDefault="00B51B11" w:rsidP="00B51B11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3F3883">
        <w:rPr>
          <w:rFonts w:eastAsia="Calibri" w:cs="Arial"/>
          <w:b/>
          <w:sz w:val="28"/>
          <w:szCs w:val="28"/>
        </w:rPr>
        <w:t>sanità e sicurezza sociale</w:t>
      </w:r>
    </w:p>
    <w:p w:rsidR="00B51B11" w:rsidRPr="008B2655" w:rsidRDefault="00B51B11" w:rsidP="00B51B11">
      <w:pPr>
        <w:rPr>
          <w:rFonts w:cs="Arial"/>
          <w:b/>
          <w:sz w:val="26"/>
          <w:szCs w:val="26"/>
        </w:rPr>
      </w:pPr>
      <w:r w:rsidRPr="003F3883">
        <w:rPr>
          <w:rFonts w:eastAsia="Calibri" w:cs="Arial"/>
          <w:b/>
          <w:sz w:val="28"/>
          <w:szCs w:val="28"/>
        </w:rPr>
        <w:t xml:space="preserve">sul messaggio </w:t>
      </w:r>
      <w:r>
        <w:rPr>
          <w:rFonts w:eastAsia="Calibri" w:cs="Arial"/>
          <w:b/>
          <w:sz w:val="28"/>
          <w:szCs w:val="28"/>
        </w:rPr>
        <w:t xml:space="preserve">29 aprile </w:t>
      </w:r>
      <w:r w:rsidRPr="003F3883">
        <w:rPr>
          <w:rFonts w:eastAsia="Calibri" w:cs="Times New Roman"/>
          <w:b/>
          <w:sz w:val="28"/>
          <w:szCs w:val="28"/>
        </w:rPr>
        <w:t>20</w:t>
      </w:r>
      <w:r>
        <w:rPr>
          <w:rFonts w:eastAsia="Calibri" w:cs="Times New Roman"/>
          <w:b/>
          <w:sz w:val="28"/>
          <w:szCs w:val="28"/>
        </w:rPr>
        <w:t>20</w:t>
      </w:r>
      <w:r w:rsidRPr="003F3883">
        <w:rPr>
          <w:rFonts w:eastAsia="Calibri" w:cs="Times New Roman"/>
          <w:b/>
          <w:sz w:val="28"/>
          <w:szCs w:val="28"/>
        </w:rPr>
        <w:t xml:space="preserve"> </w:t>
      </w:r>
      <w:r w:rsidR="00E6727D">
        <w:rPr>
          <w:rFonts w:eastAsia="Calibri" w:cs="Times New Roman"/>
          <w:b/>
          <w:sz w:val="28"/>
          <w:szCs w:val="28"/>
        </w:rPr>
        <w:t>concernente la m</w:t>
      </w:r>
      <w:r w:rsidRPr="003F3883">
        <w:rPr>
          <w:rFonts w:eastAsia="Calibri" w:cs="Times New Roman"/>
          <w:b/>
          <w:sz w:val="28"/>
          <w:szCs w:val="28"/>
        </w:rPr>
        <w:t>odifica del modello di finanziamento degli assegni familiari delle persone senza attività lucrativa</w:t>
      </w: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>Salutiamo la proposta del Consigli</w:t>
      </w:r>
      <w:r>
        <w:rPr>
          <w:rFonts w:cs="Arial"/>
          <w:szCs w:val="24"/>
        </w:rPr>
        <w:t>o di Stato, contenuta nel m</w:t>
      </w:r>
      <w:r w:rsidRPr="003F3883">
        <w:rPr>
          <w:rFonts w:cs="Arial"/>
          <w:szCs w:val="24"/>
        </w:rPr>
        <w:t xml:space="preserve">essaggio </w:t>
      </w:r>
      <w:r>
        <w:rPr>
          <w:rFonts w:cs="Arial"/>
          <w:szCs w:val="24"/>
        </w:rPr>
        <w:t xml:space="preserve">n. </w:t>
      </w:r>
      <w:r w:rsidRPr="003F3883">
        <w:rPr>
          <w:rFonts w:cs="Arial"/>
          <w:szCs w:val="24"/>
        </w:rPr>
        <w:t>7809</w:t>
      </w:r>
      <w:r>
        <w:rPr>
          <w:rFonts w:cs="Arial"/>
          <w:szCs w:val="24"/>
        </w:rPr>
        <w:t>,</w:t>
      </w:r>
      <w:r w:rsidRPr="003F3883">
        <w:rPr>
          <w:rFonts w:cs="Arial"/>
          <w:szCs w:val="24"/>
        </w:rPr>
        <w:t xml:space="preserve"> che finalmente permette di stabilizzare l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aliquota contributiva delle persone s</w:t>
      </w:r>
      <w:r>
        <w:rPr>
          <w:rFonts w:cs="Arial"/>
          <w:szCs w:val="24"/>
        </w:rPr>
        <w:t xml:space="preserve">enza attività lucrativa al 25% </w:t>
      </w:r>
      <w:r w:rsidRPr="003F3883">
        <w:rPr>
          <w:rFonts w:cs="Arial"/>
          <w:szCs w:val="24"/>
        </w:rPr>
        <w:t>del contributo AVS</w:t>
      </w:r>
      <w:r>
        <w:rPr>
          <w:rFonts w:cs="Arial"/>
          <w:szCs w:val="24"/>
        </w:rPr>
        <w:t>,</w:t>
      </w:r>
      <w:r w:rsidRPr="003F3883">
        <w:rPr>
          <w:rFonts w:cs="Arial"/>
          <w:szCs w:val="24"/>
        </w:rPr>
        <w:t xml:space="preserve"> garantendo nel contempo la copertura della spesa di finanziamento della copertura e la necessità di costituire una riserva, prevista dalla Legge.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>La partecipazione del Cantone colloca quest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ultimo con altri 4 Cantoni che oggi agiscono nel medesimo modo con una partecipazione parziale.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 xml:space="preserve">Oggi: </w:t>
      </w:r>
      <w:r w:rsidRPr="004405C2">
        <w:rPr>
          <w:rFonts w:cs="Arial"/>
          <w:szCs w:val="24"/>
        </w:rPr>
        <w:t>i</w:t>
      </w:r>
      <w:r w:rsidRPr="003F3883">
        <w:rPr>
          <w:rFonts w:cs="Arial"/>
          <w:szCs w:val="24"/>
        </w:rPr>
        <w:t>l Canton</w:t>
      </w:r>
      <w:r>
        <w:rPr>
          <w:rFonts w:cs="Arial"/>
          <w:szCs w:val="24"/>
        </w:rPr>
        <w:t>e</w:t>
      </w:r>
      <w:r w:rsidRPr="003F3883">
        <w:rPr>
          <w:rFonts w:cs="Arial"/>
          <w:szCs w:val="24"/>
        </w:rPr>
        <w:t xml:space="preserve"> Ticino finanzia gli assegni famigliari per figli e formazione, per persone senza attività lucrativa, tramite il sistema retributivo PURO, in ottemperanza all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autonomia de</w:t>
      </w:r>
      <w:r>
        <w:rPr>
          <w:rFonts w:cs="Arial"/>
          <w:szCs w:val="24"/>
        </w:rPr>
        <w:t>cisionale concessa dalla Legge federale (</w:t>
      </w:r>
      <w:r w:rsidRPr="003F3883">
        <w:rPr>
          <w:rFonts w:cs="Arial"/>
          <w:szCs w:val="24"/>
        </w:rPr>
        <w:t>LAFam).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>Questo sistema contributivo è stato</w:t>
      </w:r>
      <w:r>
        <w:rPr>
          <w:rFonts w:cs="Arial"/>
          <w:szCs w:val="24"/>
        </w:rPr>
        <w:t xml:space="preserve"> a</w:t>
      </w:r>
      <w:r w:rsidRPr="003F3883">
        <w:rPr>
          <w:rFonts w:cs="Arial"/>
          <w:szCs w:val="24"/>
        </w:rPr>
        <w:t>vallato a suo tempo dal Gran Consiglio.</w:t>
      </w:r>
    </w:p>
    <w:p w:rsidR="00B51B11" w:rsidRPr="003F3883" w:rsidRDefault="00B51B11" w:rsidP="00B51B11">
      <w:pPr>
        <w:rPr>
          <w:rFonts w:cs="Arial"/>
          <w:b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 xml:space="preserve">Cambiamento: </w:t>
      </w:r>
      <w:r w:rsidRPr="003F3883">
        <w:rPr>
          <w:rFonts w:cs="Arial"/>
          <w:szCs w:val="24"/>
        </w:rPr>
        <w:t>il cambiamento della Legge in vigore ha come obiettivo di fissare l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aliquota contributiva per persone senza attività lucrativa al 25%.</w:t>
      </w:r>
      <w:r>
        <w:rPr>
          <w:rFonts w:cs="Arial"/>
          <w:szCs w:val="24"/>
        </w:rPr>
        <w:t xml:space="preserve"> </w:t>
      </w:r>
      <w:r w:rsidRPr="003F3883">
        <w:rPr>
          <w:rFonts w:cs="Arial"/>
          <w:szCs w:val="24"/>
        </w:rPr>
        <w:t>Vengono esclusi dalla contribuzione le persone che non raggiungo</w:t>
      </w:r>
      <w:r>
        <w:rPr>
          <w:rFonts w:cs="Arial"/>
          <w:szCs w:val="24"/>
        </w:rPr>
        <w:t xml:space="preserve">no fr. 485.- </w:t>
      </w:r>
      <w:r w:rsidRPr="003F3883">
        <w:rPr>
          <w:rFonts w:cs="Arial"/>
          <w:szCs w:val="24"/>
        </w:rPr>
        <w:t>di contribuzione minima AVS.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>Importan</w:t>
      </w:r>
      <w:r>
        <w:rPr>
          <w:rFonts w:cs="Arial"/>
          <w:b/>
          <w:szCs w:val="24"/>
        </w:rPr>
        <w:t>t</w:t>
      </w:r>
      <w:r w:rsidRPr="003F3883">
        <w:rPr>
          <w:rFonts w:cs="Arial"/>
          <w:b/>
          <w:szCs w:val="24"/>
        </w:rPr>
        <w:t xml:space="preserve">e: </w:t>
      </w:r>
      <w:r w:rsidRPr="003F3883">
        <w:rPr>
          <w:rFonts w:cs="Arial"/>
          <w:szCs w:val="24"/>
        </w:rPr>
        <w:t>il contributo minimo AVS non deve essere considerato come una franchigia</w:t>
      </w:r>
      <w:r>
        <w:rPr>
          <w:rFonts w:cs="Arial"/>
          <w:szCs w:val="24"/>
        </w:rPr>
        <w:t>,</w:t>
      </w:r>
      <w:r w:rsidRPr="003F3883">
        <w:rPr>
          <w:rFonts w:cs="Arial"/>
          <w:szCs w:val="24"/>
        </w:rPr>
        <w:t xml:space="preserve"> ma come una soglia. Oltrepassata questa soglia la contribuzione del 25% è da considerare sull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intera somma contributiva AVS.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 xml:space="preserve">Bilanciamento: </w:t>
      </w:r>
      <w:r w:rsidRPr="003F3883">
        <w:rPr>
          <w:rFonts w:cs="Arial"/>
          <w:szCs w:val="24"/>
        </w:rPr>
        <w:t xml:space="preserve">per bilanciare il carico contributivo oggi imposto solo al </w:t>
      </w:r>
      <w:r w:rsidRPr="003F3883">
        <w:rPr>
          <w:rFonts w:cs="Arial"/>
          <w:b/>
          <w:szCs w:val="24"/>
        </w:rPr>
        <w:t>19%</w:t>
      </w:r>
      <w:r w:rsidRPr="003F3883">
        <w:rPr>
          <w:rFonts w:cs="Arial"/>
          <w:szCs w:val="24"/>
        </w:rPr>
        <w:t xml:space="preserve"> degli affiliati PSAL, il Cantone intende intervenire a coprire sussidiariamente le spese.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tabs>
          <w:tab w:val="left" w:pos="5954"/>
        </w:tabs>
        <w:rPr>
          <w:rFonts w:cs="Arial"/>
          <w:szCs w:val="24"/>
        </w:rPr>
      </w:pPr>
      <w:r w:rsidRPr="003F3883">
        <w:rPr>
          <w:rFonts w:cs="Arial"/>
          <w:b/>
          <w:szCs w:val="24"/>
        </w:rPr>
        <w:t>Informazione:</w:t>
      </w:r>
      <w:r w:rsidRPr="003F3883">
        <w:rPr>
          <w:rFonts w:cs="Arial"/>
          <w:szCs w:val="24"/>
        </w:rPr>
        <w:t xml:space="preserve"> indichiamo chi sono e chi saranno i contribuenti toccati dalla misura che principalmente saranno uomini e donne in età pensionabile 65/64, pre-pensionati</w:t>
      </w:r>
      <w:r>
        <w:rPr>
          <w:rFonts w:cs="Arial"/>
          <w:szCs w:val="24"/>
        </w:rPr>
        <w:t xml:space="preserve"> e</w:t>
      </w:r>
      <w:r w:rsidRPr="003F3883">
        <w:rPr>
          <w:rFonts w:cs="Arial"/>
          <w:szCs w:val="24"/>
        </w:rPr>
        <w:t xml:space="preserve"> beneficiari di rendite AI.</w:t>
      </w:r>
    </w:p>
    <w:p w:rsidR="00B51B11" w:rsidRPr="003F3883" w:rsidRDefault="00B51B11" w:rsidP="00B51B11">
      <w:pPr>
        <w:tabs>
          <w:tab w:val="left" w:pos="5954"/>
        </w:tabs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 xml:space="preserve">Esclusi dalla contribuzione: </w:t>
      </w:r>
      <w:r w:rsidRPr="003F3883">
        <w:rPr>
          <w:rFonts w:cs="Arial"/>
          <w:szCs w:val="24"/>
        </w:rPr>
        <w:t>persone che non raggiungono fr.</w:t>
      </w:r>
      <w:r>
        <w:rPr>
          <w:rFonts w:cs="Arial"/>
          <w:szCs w:val="24"/>
        </w:rPr>
        <w:t xml:space="preserve"> </w:t>
      </w:r>
      <w:r w:rsidRPr="003F3883">
        <w:rPr>
          <w:rFonts w:cs="Arial"/>
          <w:szCs w:val="24"/>
        </w:rPr>
        <w:t>498.</w:t>
      </w:r>
      <w:r>
        <w:rPr>
          <w:rFonts w:cs="Arial"/>
          <w:szCs w:val="24"/>
        </w:rPr>
        <w:t>- di contribuzione AVS, studenti e</w:t>
      </w:r>
      <w:r w:rsidRPr="003F3883">
        <w:rPr>
          <w:rFonts w:cs="Arial"/>
          <w:szCs w:val="24"/>
        </w:rPr>
        <w:t xml:space="preserve"> beneficiari di contributi assistenziali</w:t>
      </w:r>
      <w:r>
        <w:rPr>
          <w:rFonts w:cs="Arial"/>
          <w:szCs w:val="24"/>
        </w:rPr>
        <w:t>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b/>
          <w:szCs w:val="24"/>
        </w:rPr>
        <w:t xml:space="preserve">Scopo della contribuzione: </w:t>
      </w:r>
      <w:r>
        <w:rPr>
          <w:rFonts w:cs="Arial"/>
          <w:szCs w:val="24"/>
        </w:rPr>
        <w:t>come indicato nel m</w:t>
      </w:r>
      <w:r w:rsidRPr="003F3883">
        <w:rPr>
          <w:rFonts w:cs="Arial"/>
          <w:szCs w:val="24"/>
        </w:rPr>
        <w:t xml:space="preserve">essaggio </w:t>
      </w:r>
      <w:r>
        <w:rPr>
          <w:rFonts w:cs="Arial"/>
          <w:szCs w:val="24"/>
        </w:rPr>
        <w:t xml:space="preserve">n. </w:t>
      </w:r>
      <w:r w:rsidRPr="003F3883">
        <w:rPr>
          <w:rFonts w:cs="Arial"/>
          <w:szCs w:val="24"/>
        </w:rPr>
        <w:t>7809, facciamo notare c</w:t>
      </w:r>
      <w:r>
        <w:rPr>
          <w:rFonts w:cs="Arial"/>
          <w:szCs w:val="24"/>
        </w:rPr>
        <w:t>he</w:t>
      </w:r>
      <w:r w:rsidRPr="003F3883">
        <w:rPr>
          <w:rFonts w:cs="Arial"/>
          <w:szCs w:val="24"/>
        </w:rPr>
        <w:t xml:space="preserve"> il contributo incassato </w:t>
      </w:r>
      <w:r>
        <w:rPr>
          <w:rFonts w:cs="Arial"/>
          <w:szCs w:val="24"/>
        </w:rPr>
        <w:t>è</w:t>
      </w:r>
      <w:r w:rsidRPr="003F3883">
        <w:rPr>
          <w:rFonts w:cs="Arial"/>
          <w:szCs w:val="24"/>
        </w:rPr>
        <w:t xml:space="preserve"> destinato alla copertura delle prestazioni</w:t>
      </w:r>
      <w:r>
        <w:rPr>
          <w:rFonts w:cs="Arial"/>
          <w:szCs w:val="24"/>
        </w:rPr>
        <w:t>,</w:t>
      </w:r>
      <w:r w:rsidRPr="003F3883">
        <w:rPr>
          <w:rFonts w:cs="Arial"/>
          <w:szCs w:val="24"/>
        </w:rPr>
        <w:t xml:space="preserve"> ma anche alle spese amministrative e alla costituzione delle riserve di fluttuazione.</w:t>
      </w:r>
    </w:p>
    <w:p w:rsidR="00B51B11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 xml:space="preserve">Le tabelle 1 e 2 qui sotto esposte indicano nel 2019 un deficit di </w:t>
      </w:r>
      <w:r>
        <w:rPr>
          <w:rFonts w:cs="Arial"/>
          <w:szCs w:val="24"/>
        </w:rPr>
        <w:t xml:space="preserve">fr. </w:t>
      </w:r>
      <w:r w:rsidRPr="003F3883">
        <w:rPr>
          <w:rFonts w:cs="Arial"/>
          <w:szCs w:val="24"/>
        </w:rPr>
        <w:t>1.49 mio</w:t>
      </w:r>
      <w:r>
        <w:rPr>
          <w:rFonts w:cs="Arial"/>
          <w:szCs w:val="24"/>
        </w:rPr>
        <w:t xml:space="preserve"> </w:t>
      </w:r>
      <w:r w:rsidRPr="003F3883">
        <w:rPr>
          <w:rFonts w:cs="Arial"/>
          <w:szCs w:val="24"/>
        </w:rPr>
        <w:t>con l</w:t>
      </w:r>
      <w:r>
        <w:rPr>
          <w:rFonts w:cs="Arial"/>
          <w:szCs w:val="24"/>
        </w:rPr>
        <w:t>'aliquota al 25%</w:t>
      </w:r>
      <w:r w:rsidRPr="003F3883">
        <w:rPr>
          <w:rFonts w:cs="Arial"/>
          <w:szCs w:val="24"/>
        </w:rPr>
        <w:t xml:space="preserve"> e segnalano una fluttuazione e un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instabilità finanziaria dell</w:t>
      </w:r>
      <w:r>
        <w:rPr>
          <w:rFonts w:cs="Arial"/>
          <w:szCs w:val="24"/>
        </w:rPr>
        <w:t>'</w:t>
      </w:r>
      <w:r w:rsidRPr="003F3883">
        <w:rPr>
          <w:rFonts w:cs="Arial"/>
          <w:szCs w:val="24"/>
        </w:rPr>
        <w:t>attuale sistema adottato.</w:t>
      </w:r>
    </w:p>
    <w:p w:rsidR="00B51B11" w:rsidRPr="003F3883" w:rsidRDefault="00B51B11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 xml:space="preserve">Nel 2020 si è </w:t>
      </w:r>
      <w:r>
        <w:rPr>
          <w:rFonts w:cs="Arial"/>
          <w:szCs w:val="24"/>
        </w:rPr>
        <w:t xml:space="preserve">dovuto aumentare il contributo </w:t>
      </w:r>
      <w:r w:rsidRPr="003F3883">
        <w:rPr>
          <w:rFonts w:cs="Arial"/>
          <w:szCs w:val="24"/>
        </w:rPr>
        <w:t>a carico delle persone affiliate senza attività lucrativa al 35</w:t>
      </w:r>
      <w:r>
        <w:rPr>
          <w:rFonts w:cs="Arial"/>
          <w:szCs w:val="24"/>
        </w:rPr>
        <w:t>%</w:t>
      </w:r>
      <w:r w:rsidRPr="003F3883">
        <w:rPr>
          <w:rFonts w:cs="Arial"/>
          <w:szCs w:val="24"/>
        </w:rPr>
        <w:t>. La situazione ha portato il contributo medio delle persone contribuenti</w:t>
      </w:r>
      <w:r>
        <w:rPr>
          <w:rFonts w:cs="Arial"/>
          <w:szCs w:val="24"/>
        </w:rPr>
        <w:t>,</w:t>
      </w:r>
      <w:r w:rsidRPr="003F3883">
        <w:rPr>
          <w:rFonts w:cs="Arial"/>
          <w:szCs w:val="24"/>
        </w:rPr>
        <w:t xml:space="preserve"> ovvero</w:t>
      </w:r>
      <w:r>
        <w:rPr>
          <w:rFonts w:cs="Arial"/>
          <w:szCs w:val="24"/>
        </w:rPr>
        <w:t xml:space="preserve"> </w:t>
      </w:r>
      <w:r w:rsidRPr="003F3883">
        <w:rPr>
          <w:rFonts w:cs="Arial"/>
          <w:szCs w:val="24"/>
        </w:rPr>
        <w:t>il 19 % degli affiliati AVS senza attività lucrativa</w:t>
      </w:r>
      <w:r>
        <w:rPr>
          <w:rFonts w:cs="Arial"/>
          <w:szCs w:val="24"/>
        </w:rPr>
        <w:t xml:space="preserve">, da fr. 1’058.- a fr. 1’500 </w:t>
      </w:r>
      <w:r w:rsidRPr="003F3883">
        <w:rPr>
          <w:rFonts w:cs="Arial"/>
          <w:szCs w:val="24"/>
        </w:rPr>
        <w:t>ca.</w:t>
      </w:r>
    </w:p>
    <w:p w:rsidR="00B51B11" w:rsidRPr="00182A85" w:rsidRDefault="00B51B11" w:rsidP="00B51B11">
      <w:pPr>
        <w:rPr>
          <w:rFonts w:cs="Arial"/>
          <w:szCs w:val="24"/>
        </w:rPr>
      </w:pPr>
    </w:p>
    <w:p w:rsidR="00182A85" w:rsidRPr="000F3D55" w:rsidRDefault="00182A85" w:rsidP="00182A85">
      <w:pPr>
        <w:rPr>
          <w:b/>
          <w:i/>
          <w:sz w:val="22"/>
        </w:rPr>
      </w:pPr>
      <w:r w:rsidRPr="000F3D55">
        <w:rPr>
          <w:b/>
          <w:i/>
          <w:sz w:val="22"/>
        </w:rPr>
        <w:t>Tabella 1: Situazione finanziaria nell'ordinamento degli assegni familiari ordinari per le PSAL</w:t>
      </w:r>
    </w:p>
    <w:p w:rsidR="00182A85" w:rsidRPr="00EA38F4" w:rsidRDefault="00182A85" w:rsidP="00182A85">
      <w:pPr>
        <w:rPr>
          <w:i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84"/>
        <w:gridCol w:w="984"/>
        <w:gridCol w:w="981"/>
        <w:gridCol w:w="983"/>
        <w:gridCol w:w="983"/>
        <w:gridCol w:w="983"/>
        <w:gridCol w:w="981"/>
      </w:tblGrid>
      <w:tr w:rsidR="00E6727D" w:rsidRPr="006D0DC4" w:rsidTr="00182A85">
        <w:trPr>
          <w:trHeight w:val="34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szCs w:val="24"/>
                <w:lang w:eastAsia="it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D0DC4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D0DC4">
              <w:rPr>
                <w:rFonts w:cs="Arial"/>
                <w:b/>
                <w:bCs/>
                <w:sz w:val="20"/>
                <w:lang w:eastAsia="it-CH"/>
              </w:rPr>
              <w:t>2019</w:t>
            </w:r>
          </w:p>
        </w:tc>
      </w:tr>
      <w:tr w:rsidR="00E6727D" w:rsidRPr="006D0DC4" w:rsidTr="00182A85">
        <w:trPr>
          <w:trHeight w:val="2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Contributi incassati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3.22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4.06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4.52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5.75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6.75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6.12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234C20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234C20">
              <w:rPr>
                <w:rFonts w:cs="Arial"/>
                <w:sz w:val="20"/>
                <w:lang w:eastAsia="it-CH"/>
              </w:rPr>
              <w:t>5.92</w:t>
            </w:r>
          </w:p>
        </w:tc>
      </w:tr>
      <w:tr w:rsidR="00E6727D" w:rsidRPr="006D0DC4" w:rsidTr="00182A85">
        <w:trPr>
          <w:trHeight w:val="2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 xml:space="preserve">Assegni versati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3.58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4.45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4.13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4.70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5.06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5.60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234C20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234C20">
              <w:rPr>
                <w:rFonts w:cs="Arial"/>
                <w:sz w:val="20"/>
                <w:lang w:eastAsia="it-CH"/>
              </w:rPr>
              <w:t>6.77</w:t>
            </w:r>
          </w:p>
        </w:tc>
      </w:tr>
      <w:tr w:rsidR="00E6727D" w:rsidRPr="006D0DC4" w:rsidTr="00182A85">
        <w:trPr>
          <w:trHeight w:val="20"/>
        </w:trPr>
        <w:tc>
          <w:tcPr>
            <w:tcW w:w="142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 xml:space="preserve">Spese amministrative 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0.87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0.80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0.67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0.59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0.52</w:t>
            </w:r>
          </w:p>
        </w:tc>
        <w:tc>
          <w:tcPr>
            <w:tcW w:w="5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0.59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234C20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234C20">
              <w:rPr>
                <w:rFonts w:cs="Arial"/>
                <w:sz w:val="20"/>
                <w:lang w:eastAsia="it-CH"/>
              </w:rPr>
              <w:t>0.61</w:t>
            </w:r>
          </w:p>
        </w:tc>
      </w:tr>
      <w:tr w:rsidR="00E6727D" w:rsidRPr="006D0DC4" w:rsidTr="00182A85">
        <w:trPr>
          <w:trHeight w:val="19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Totale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-1.23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-1.19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-0.28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0.46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1.17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-0.06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234C20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234C20">
              <w:rPr>
                <w:rFonts w:cs="Arial"/>
                <w:sz w:val="20"/>
                <w:lang w:eastAsia="it-CH"/>
              </w:rPr>
              <w:t>-1.46</w:t>
            </w:r>
          </w:p>
        </w:tc>
      </w:tr>
      <w:tr w:rsidR="00E6727D" w:rsidRPr="006D0DC4" w:rsidTr="00182A85">
        <w:trPr>
          <w:trHeight w:val="234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</w:tr>
      <w:tr w:rsidR="00E6727D" w:rsidRPr="006D0DC4" w:rsidTr="00182A85">
        <w:trPr>
          <w:trHeight w:val="2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Aliquota contributiva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16.00%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20.00%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25.00%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25.00%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25.00%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25.00%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6D0DC4" w:rsidRDefault="00E6727D" w:rsidP="002B7B0B">
            <w:pPr>
              <w:jc w:val="right"/>
              <w:rPr>
                <w:rFonts w:cs="Arial"/>
                <w:sz w:val="20"/>
                <w:lang w:eastAsia="it-CH"/>
              </w:rPr>
            </w:pPr>
            <w:r w:rsidRPr="006D0DC4">
              <w:rPr>
                <w:rFonts w:cs="Arial"/>
                <w:sz w:val="20"/>
                <w:lang w:eastAsia="it-CH"/>
              </w:rPr>
              <w:t>25.00%</w:t>
            </w:r>
          </w:p>
        </w:tc>
      </w:tr>
    </w:tbl>
    <w:p w:rsidR="00182A85" w:rsidRPr="00182A85" w:rsidRDefault="00182A85" w:rsidP="00182A85">
      <w:pPr>
        <w:rPr>
          <w:rFonts w:cs="Arial"/>
          <w:sz w:val="32"/>
          <w:szCs w:val="32"/>
        </w:rPr>
      </w:pPr>
    </w:p>
    <w:p w:rsidR="00182A85" w:rsidRPr="000F3D55" w:rsidRDefault="00182A85" w:rsidP="00182A85">
      <w:pPr>
        <w:rPr>
          <w:b/>
          <w:i/>
          <w:sz w:val="22"/>
        </w:rPr>
      </w:pPr>
      <w:r w:rsidRPr="000F3D55">
        <w:rPr>
          <w:b/>
          <w:i/>
          <w:sz w:val="22"/>
        </w:rPr>
        <w:t xml:space="preserve">Tabella 2: Evoluzione del numero di PSAL affiliate e contributo medio pagato </w:t>
      </w:r>
    </w:p>
    <w:p w:rsidR="00182A85" w:rsidRDefault="00182A85" w:rsidP="00182A85">
      <w:pPr>
        <w:rPr>
          <w:rFonts w:cs="Arial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903"/>
        <w:gridCol w:w="903"/>
        <w:gridCol w:w="904"/>
        <w:gridCol w:w="904"/>
        <w:gridCol w:w="904"/>
        <w:gridCol w:w="904"/>
        <w:gridCol w:w="898"/>
      </w:tblGrid>
      <w:tr w:rsidR="00E6727D" w:rsidRPr="006C0AA0" w:rsidTr="002B7B0B">
        <w:trPr>
          <w:trHeight w:val="270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7D" w:rsidRPr="006A7F45" w:rsidRDefault="00E6727D" w:rsidP="002B7B0B">
            <w:pPr>
              <w:jc w:val="left"/>
              <w:rPr>
                <w:rFonts w:ascii="Times New Roman" w:hAnsi="Times New Roman"/>
                <w:sz w:val="20"/>
                <w:lang w:eastAsia="it-CH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A7F45">
              <w:rPr>
                <w:rFonts w:cs="Arial"/>
                <w:b/>
                <w:bCs/>
                <w:sz w:val="20"/>
                <w:lang w:eastAsia="it-CH"/>
              </w:rPr>
              <w:t>2013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6C0AA0" w:rsidRDefault="00E6727D" w:rsidP="002B7B0B">
            <w:pPr>
              <w:jc w:val="center"/>
              <w:rPr>
                <w:rFonts w:cs="Arial"/>
                <w:b/>
                <w:bCs/>
                <w:sz w:val="20"/>
                <w:lang w:eastAsia="it-CH"/>
              </w:rPr>
            </w:pPr>
            <w:r w:rsidRPr="006C0AA0">
              <w:rPr>
                <w:rFonts w:cs="Arial"/>
                <w:b/>
                <w:bCs/>
                <w:sz w:val="20"/>
                <w:lang w:eastAsia="it-CH"/>
              </w:rPr>
              <w:t>2019</w:t>
            </w:r>
          </w:p>
        </w:tc>
      </w:tr>
      <w:tr w:rsidR="00E6727D" w:rsidRPr="006C0AA0" w:rsidTr="002B7B0B">
        <w:trPr>
          <w:trHeight w:val="27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C653BA" w:rsidRDefault="00E6727D" w:rsidP="002B7B0B">
            <w:pPr>
              <w:jc w:val="left"/>
              <w:rPr>
                <w:rFonts w:cs="Arial"/>
                <w:sz w:val="20"/>
                <w:lang w:eastAsia="it-CH"/>
              </w:rPr>
            </w:pPr>
            <w:r w:rsidRPr="00C653BA">
              <w:rPr>
                <w:rFonts w:cs="Arial"/>
                <w:sz w:val="20"/>
                <w:lang w:eastAsia="it-CH"/>
              </w:rPr>
              <w:t>Numero totale di PSAL affiliate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27'736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28'173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30'865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30'542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29'894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29'933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7D" w:rsidRPr="00EC6158" w:rsidRDefault="00E6727D" w:rsidP="002B7B0B">
            <w:pPr>
              <w:pStyle w:val="Pa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158">
              <w:rPr>
                <w:rFonts w:ascii="Arial" w:hAnsi="Arial" w:cs="Arial"/>
                <w:bCs/>
                <w:sz w:val="20"/>
                <w:szCs w:val="20"/>
              </w:rPr>
              <w:t>30'205</w:t>
            </w:r>
          </w:p>
        </w:tc>
      </w:tr>
      <w:tr w:rsidR="00E6727D" w:rsidRPr="006C0AA0" w:rsidTr="002B7B0B">
        <w:trPr>
          <w:trHeight w:val="27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Pr="00EC6158" w:rsidRDefault="00E6727D" w:rsidP="002B7B0B">
            <w:pPr>
              <w:ind w:left="351"/>
              <w:jc w:val="left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di cui chiamate a finanziare gli assegni familiari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5'481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5'318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5'282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6'028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5'994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EC6158" w:rsidRDefault="00E6727D" w:rsidP="002B7B0B">
            <w:pPr>
              <w:jc w:val="center"/>
              <w:rPr>
                <w:rFonts w:cs="Arial"/>
                <w:sz w:val="20"/>
                <w:lang w:eastAsia="it-CH"/>
              </w:rPr>
            </w:pPr>
            <w:r w:rsidRPr="00EC6158">
              <w:rPr>
                <w:rFonts w:cs="Arial"/>
                <w:sz w:val="20"/>
                <w:lang w:eastAsia="it-CH"/>
              </w:rPr>
              <w:t>5'597</w:t>
            </w:r>
          </w:p>
        </w:tc>
      </w:tr>
      <w:tr w:rsidR="00E6727D" w:rsidRPr="006C0AA0" w:rsidTr="002B7B0B">
        <w:trPr>
          <w:trHeight w:val="270"/>
        </w:trPr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7D" w:rsidRDefault="00E6727D" w:rsidP="002B7B0B">
            <w:pPr>
              <w:ind w:left="351"/>
              <w:jc w:val="left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 xml:space="preserve">importo medio pagato </w:t>
            </w:r>
          </w:p>
          <w:p w:rsidR="00E6727D" w:rsidRPr="00634504" w:rsidRDefault="00E6727D" w:rsidP="002B7B0B">
            <w:pPr>
              <w:ind w:left="351"/>
              <w:jc w:val="left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(in CHF)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587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763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856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953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1'126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1'074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7D" w:rsidRPr="00634504" w:rsidRDefault="00E6727D" w:rsidP="002B7B0B">
            <w:pPr>
              <w:jc w:val="center"/>
              <w:rPr>
                <w:rFonts w:cs="Arial"/>
                <w:i/>
                <w:sz w:val="20"/>
                <w:lang w:eastAsia="it-CH"/>
              </w:rPr>
            </w:pPr>
            <w:r w:rsidRPr="00634504">
              <w:rPr>
                <w:rFonts w:cs="Arial"/>
                <w:i/>
                <w:sz w:val="20"/>
                <w:lang w:eastAsia="it-CH"/>
              </w:rPr>
              <w:t>1'058</w:t>
            </w:r>
            <w:r>
              <w:rPr>
                <w:rFonts w:cs="Arial"/>
                <w:i/>
                <w:sz w:val="20"/>
                <w:lang w:eastAsia="it-CH"/>
              </w:rPr>
              <w:t>.-</w:t>
            </w:r>
          </w:p>
        </w:tc>
      </w:tr>
    </w:tbl>
    <w:p w:rsidR="00E6727D" w:rsidRDefault="00E6727D" w:rsidP="00E6727D"/>
    <w:p w:rsidR="00E6727D" w:rsidRDefault="00E6727D" w:rsidP="00E6727D">
      <w:pPr>
        <w:rPr>
          <w:rFonts w:cs="Arial"/>
          <w:szCs w:val="24"/>
        </w:rPr>
      </w:pPr>
    </w:p>
    <w:p w:rsidR="00E6727D" w:rsidRPr="00B860C2" w:rsidRDefault="00E6727D" w:rsidP="00E6727D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E6727D" w:rsidRDefault="00E6727D" w:rsidP="00E6727D">
      <w:pPr>
        <w:rPr>
          <w:rFonts w:cs="Arial"/>
          <w:szCs w:val="24"/>
        </w:rPr>
      </w:pPr>
    </w:p>
    <w:p w:rsidR="00E6727D" w:rsidRPr="003F3883" w:rsidRDefault="00E6727D" w:rsidP="00B51B11">
      <w:pPr>
        <w:rPr>
          <w:rFonts w:cs="Arial"/>
          <w:szCs w:val="24"/>
        </w:rPr>
      </w:pPr>
    </w:p>
    <w:p w:rsidR="00B51B11" w:rsidRPr="003F3883" w:rsidRDefault="00B51B11" w:rsidP="00B51B11">
      <w:pPr>
        <w:rPr>
          <w:rFonts w:cs="Arial"/>
          <w:szCs w:val="24"/>
        </w:rPr>
      </w:pPr>
      <w:r w:rsidRPr="003F3883">
        <w:rPr>
          <w:rFonts w:cs="Arial"/>
          <w:szCs w:val="24"/>
        </w:rPr>
        <w:t xml:space="preserve">Viste le considerazioni contenute nel </w:t>
      </w:r>
      <w:r>
        <w:rPr>
          <w:rFonts w:cs="Arial"/>
          <w:szCs w:val="24"/>
        </w:rPr>
        <w:t>presente rapporto</w:t>
      </w:r>
      <w:r w:rsidRPr="003F3883">
        <w:rPr>
          <w:rFonts w:cs="Arial"/>
          <w:szCs w:val="24"/>
        </w:rPr>
        <w:t>, tenendo conto del miglioramento proposto con il cambiamento del modello di legge pe</w:t>
      </w:r>
      <w:r>
        <w:rPr>
          <w:rFonts w:cs="Arial"/>
          <w:szCs w:val="24"/>
        </w:rPr>
        <w:t>r</w:t>
      </w:r>
      <w:r w:rsidRPr="003F3883">
        <w:rPr>
          <w:rFonts w:cs="Arial"/>
          <w:szCs w:val="24"/>
        </w:rPr>
        <w:t xml:space="preserve"> il finanziamento degli assegni famigliari delle persone senza attività lucrativa, la Co</w:t>
      </w:r>
      <w:r>
        <w:rPr>
          <w:rFonts w:cs="Arial"/>
          <w:szCs w:val="24"/>
        </w:rPr>
        <w:t>mmissione sanità e sicurezza s</w:t>
      </w:r>
      <w:r w:rsidRPr="003F3883">
        <w:rPr>
          <w:rFonts w:cs="Arial"/>
          <w:szCs w:val="24"/>
        </w:rPr>
        <w:t xml:space="preserve">ociale invita ad accogliere </w:t>
      </w:r>
      <w:r>
        <w:rPr>
          <w:rFonts w:cs="Arial"/>
          <w:szCs w:val="24"/>
        </w:rPr>
        <w:t xml:space="preserve">il disegno di legge allegato al messaggio n. 7809. </w:t>
      </w: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</w:p>
    <w:p w:rsidR="00B51B11" w:rsidRDefault="00B51B11" w:rsidP="00B51B11">
      <w:pPr>
        <w:rPr>
          <w:rFonts w:cs="Arial"/>
          <w:szCs w:val="24"/>
        </w:rPr>
      </w:pPr>
    </w:p>
    <w:p w:rsidR="00B51B11" w:rsidRPr="00076E70" w:rsidRDefault="00B51B11" w:rsidP="00B51B11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>
        <w:rPr>
          <w:rFonts w:cs="Arial"/>
          <w:szCs w:val="24"/>
        </w:rPr>
        <w:t xml:space="preserve"> sanità e sicurezza sociale</w:t>
      </w:r>
      <w:r w:rsidRPr="00076E70">
        <w:rPr>
          <w:rFonts w:cs="Arial"/>
          <w:szCs w:val="24"/>
        </w:rPr>
        <w:t>:</w:t>
      </w:r>
    </w:p>
    <w:p w:rsidR="00B51B11" w:rsidRDefault="00B51B11" w:rsidP="00B51B11">
      <w:pPr>
        <w:rPr>
          <w:rFonts w:cs="Arial"/>
          <w:szCs w:val="24"/>
        </w:rPr>
      </w:pPr>
      <w:r>
        <w:rPr>
          <w:rFonts w:cs="Arial"/>
          <w:szCs w:val="24"/>
        </w:rPr>
        <w:t>Alessandro Cedraschi</w:t>
      </w:r>
      <w:r w:rsidRPr="00076E70">
        <w:rPr>
          <w:rFonts w:cs="Arial"/>
          <w:szCs w:val="24"/>
        </w:rPr>
        <w:t>, relatore</w:t>
      </w:r>
    </w:p>
    <w:p w:rsidR="00E6727D" w:rsidRDefault="00B51B11" w:rsidP="00B51B11">
      <w:pPr>
        <w:rPr>
          <w:rFonts w:cs="Arial"/>
          <w:szCs w:val="24"/>
        </w:rPr>
      </w:pPr>
      <w:r>
        <w:rPr>
          <w:rFonts w:cs="Arial"/>
          <w:szCs w:val="24"/>
        </w:rPr>
        <w:t xml:space="preserve">Agustoni - Alberti - </w:t>
      </w:r>
      <w:r w:rsidR="00E6727D">
        <w:rPr>
          <w:rFonts w:cs="Arial"/>
          <w:szCs w:val="24"/>
        </w:rPr>
        <w:t xml:space="preserve">Buzzini - </w:t>
      </w:r>
      <w:r>
        <w:rPr>
          <w:rFonts w:cs="Arial"/>
          <w:szCs w:val="24"/>
        </w:rPr>
        <w:t xml:space="preserve">Crivelli Barella - </w:t>
      </w:r>
    </w:p>
    <w:p w:rsidR="00E6727D" w:rsidRDefault="00B51B11" w:rsidP="00B51B11">
      <w:pPr>
        <w:rPr>
          <w:rFonts w:cs="Arial"/>
          <w:szCs w:val="24"/>
        </w:rPr>
      </w:pPr>
      <w:r>
        <w:rPr>
          <w:rFonts w:cs="Arial"/>
          <w:szCs w:val="24"/>
        </w:rPr>
        <w:t>Galeazzi</w:t>
      </w:r>
      <w:r w:rsidR="00E6727D">
        <w:rPr>
          <w:rFonts w:cs="Arial"/>
          <w:szCs w:val="24"/>
        </w:rPr>
        <w:t xml:space="preserve"> - Galusero - </w:t>
      </w:r>
      <w:r>
        <w:rPr>
          <w:rFonts w:cs="Arial"/>
          <w:szCs w:val="24"/>
        </w:rPr>
        <w:t xml:space="preserve">Ghisletta - Ghisolfi - </w:t>
      </w:r>
    </w:p>
    <w:p w:rsidR="00E6727D" w:rsidRDefault="00E6727D" w:rsidP="00B51B11">
      <w:pPr>
        <w:rPr>
          <w:rFonts w:cs="Arial"/>
          <w:szCs w:val="24"/>
        </w:rPr>
      </w:pPr>
      <w:r>
        <w:rPr>
          <w:rFonts w:cs="Arial"/>
          <w:szCs w:val="24"/>
        </w:rPr>
        <w:t xml:space="preserve">Gianella Alex - </w:t>
      </w:r>
      <w:r w:rsidR="00B51B11">
        <w:rPr>
          <w:rFonts w:cs="Arial"/>
          <w:szCs w:val="24"/>
        </w:rPr>
        <w:t xml:space="preserve">Jelmini </w:t>
      </w:r>
      <w:r>
        <w:rPr>
          <w:rFonts w:cs="Arial"/>
          <w:szCs w:val="24"/>
        </w:rPr>
        <w:t xml:space="preserve">- </w:t>
      </w:r>
      <w:r w:rsidR="00B51B11">
        <w:rPr>
          <w:rFonts w:cs="Arial"/>
          <w:szCs w:val="24"/>
        </w:rPr>
        <w:t xml:space="preserve">La Mantia - Ortelli </w:t>
      </w:r>
      <w:r>
        <w:rPr>
          <w:rFonts w:cs="Arial"/>
          <w:szCs w:val="24"/>
        </w:rPr>
        <w:t xml:space="preserve">M. </w:t>
      </w:r>
      <w:r w:rsidR="00B51B11">
        <w:rPr>
          <w:rFonts w:cs="Arial"/>
          <w:szCs w:val="24"/>
        </w:rPr>
        <w:t xml:space="preserve">- </w:t>
      </w:r>
    </w:p>
    <w:p w:rsidR="00B51B11" w:rsidRDefault="00B51B11" w:rsidP="00B51B11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Polli</w:t>
      </w:r>
      <w:r w:rsidR="00E6727D">
        <w:rPr>
          <w:rFonts w:cs="Arial"/>
          <w:szCs w:val="24"/>
        </w:rPr>
        <w:t xml:space="preserve"> - Riget - Robbiani</w:t>
      </w:r>
    </w:p>
    <w:p w:rsidR="00B51B11" w:rsidRDefault="00B51B11" w:rsidP="00B51B11">
      <w:pPr>
        <w:rPr>
          <w:rFonts w:cs="Arial"/>
          <w:szCs w:val="24"/>
        </w:rPr>
      </w:pPr>
    </w:p>
    <w:bookmarkEnd w:id="0"/>
    <w:sectPr w:rsidR="00B51B11" w:rsidSect="00E6727D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altName w:val="HK Grotesk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367FEA" w:rsidRPr="00367FE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182A85"/>
    <w:rsid w:val="00260C8C"/>
    <w:rsid w:val="002677DC"/>
    <w:rsid w:val="002E5E40"/>
    <w:rsid w:val="00367FEA"/>
    <w:rsid w:val="0047683E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83867"/>
    <w:rsid w:val="00B51B11"/>
    <w:rsid w:val="00B860C2"/>
    <w:rsid w:val="00BC4C95"/>
    <w:rsid w:val="00BD5944"/>
    <w:rsid w:val="00CF6858"/>
    <w:rsid w:val="00D377B5"/>
    <w:rsid w:val="00D93B31"/>
    <w:rsid w:val="00E505DB"/>
    <w:rsid w:val="00E6727D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6C724"/>
  <w15:docId w15:val="{0FEAE398-36BF-4B00-B909-B8B72BC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Pa9">
    <w:name w:val="Pa9"/>
    <w:basedOn w:val="Normale"/>
    <w:next w:val="Normale"/>
    <w:uiPriority w:val="99"/>
    <w:rsid w:val="00E6727D"/>
    <w:pPr>
      <w:autoSpaceDE w:val="0"/>
      <w:autoSpaceDN w:val="0"/>
      <w:adjustRightInd w:val="0"/>
      <w:spacing w:line="161" w:lineRule="atLeast"/>
      <w:jc w:val="left"/>
    </w:pPr>
    <w:rPr>
      <w:rFonts w:ascii="HK Grotesk SemiBold" w:eastAsia="Times New Roman" w:hAnsi="HK Grotesk SemiBold" w:cs="Times New Roman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F631-7943-434B-93CF-3B3BA3A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Agostinetti Jole / kxgc002</dc:creator>
  <cp:lastModifiedBy>Venturi Luca</cp:lastModifiedBy>
  <cp:revision>2</cp:revision>
  <cp:lastPrinted>2020-10-07T09:41:00Z</cp:lastPrinted>
  <dcterms:created xsi:type="dcterms:W3CDTF">2020-10-08T07:54:00Z</dcterms:created>
  <dcterms:modified xsi:type="dcterms:W3CDTF">2020-10-08T07:54:00Z</dcterms:modified>
</cp:coreProperties>
</file>