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F9679A" w:rsidP="00B860C2">
      <w:pPr>
        <w:rPr>
          <w:rFonts w:cs="Arial"/>
          <w:sz w:val="20"/>
          <w:szCs w:val="20"/>
        </w:rPr>
      </w:pPr>
      <w:r w:rsidRPr="00B75490">
        <w:rPr>
          <w:rFonts w:ascii="Gill Sans MT" w:hAnsi="Gill Sans MT" w:cs="Arial"/>
          <w:b/>
          <w:sz w:val="56"/>
          <w:szCs w:val="56"/>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C32F68" w:rsidRPr="008C2AB4" w:rsidRDefault="00C32F68" w:rsidP="00C32F68">
      <w:pPr>
        <w:tabs>
          <w:tab w:val="left" w:pos="2098"/>
          <w:tab w:val="left" w:pos="4933"/>
        </w:tabs>
        <w:rPr>
          <w:rFonts w:cs="Arial"/>
        </w:rPr>
      </w:pPr>
      <w:bookmarkStart w:id="1" w:name="_Toc532286235"/>
      <w:r w:rsidRPr="008C2AB4">
        <w:rPr>
          <w:rFonts w:cs="Arial"/>
          <w:b/>
          <w:sz w:val="32"/>
          <w:szCs w:val="32"/>
        </w:rPr>
        <w:t>7785 R</w:t>
      </w:r>
      <w:r w:rsidRPr="008C2AB4">
        <w:rPr>
          <w:rFonts w:cs="Arial"/>
          <w:sz w:val="28"/>
        </w:rPr>
        <w:tab/>
      </w:r>
      <w:r w:rsidRPr="008C2AB4">
        <w:rPr>
          <w:rFonts w:cs="Arial"/>
          <w:sz w:val="28"/>
          <w:szCs w:val="28"/>
        </w:rPr>
        <w:t>27 ottobre 2020</w:t>
      </w:r>
      <w:r w:rsidRPr="008C2AB4">
        <w:rPr>
          <w:rFonts w:cs="Arial"/>
          <w:sz w:val="28"/>
        </w:rPr>
        <w:tab/>
        <w:t xml:space="preserve">ISTITUZIONI </w:t>
      </w:r>
    </w:p>
    <w:p w:rsidR="00C32F68" w:rsidRPr="008C2AB4" w:rsidRDefault="00C32F68" w:rsidP="00C32F68">
      <w:pPr>
        <w:rPr>
          <w:rFonts w:cs="Arial"/>
          <w:szCs w:val="24"/>
        </w:rPr>
      </w:pPr>
    </w:p>
    <w:p w:rsidR="00C32F68" w:rsidRPr="008C2AB4" w:rsidRDefault="00C32F68" w:rsidP="00C32F68">
      <w:pPr>
        <w:rPr>
          <w:rFonts w:cs="Arial"/>
          <w:szCs w:val="24"/>
        </w:rPr>
      </w:pPr>
    </w:p>
    <w:p w:rsidR="00C32F68" w:rsidRPr="008C2AB4" w:rsidRDefault="00C32F68" w:rsidP="00C32F68">
      <w:pPr>
        <w:rPr>
          <w:rFonts w:cs="Arial"/>
          <w:szCs w:val="24"/>
        </w:rPr>
      </w:pPr>
    </w:p>
    <w:p w:rsidR="00C32F68" w:rsidRPr="008C2AB4" w:rsidRDefault="00C32F68" w:rsidP="00C32F68">
      <w:pPr>
        <w:rPr>
          <w:rFonts w:cs="Arial"/>
          <w:b/>
          <w:bCs/>
          <w:sz w:val="28"/>
          <w:szCs w:val="28"/>
        </w:rPr>
      </w:pPr>
      <w:r w:rsidRPr="008C2AB4">
        <w:rPr>
          <w:rFonts w:cs="Arial"/>
          <w:b/>
          <w:bCs/>
          <w:sz w:val="28"/>
          <w:szCs w:val="28"/>
        </w:rPr>
        <w:t xml:space="preserve">della </w:t>
      </w:r>
      <w:r w:rsidRPr="008C2AB4">
        <w:rPr>
          <w:rFonts w:cs="Arial"/>
          <w:b/>
          <w:sz w:val="28"/>
          <w:szCs w:val="28"/>
        </w:rPr>
        <w:t>Commissione</w:t>
      </w:r>
      <w:r w:rsidRPr="008C2AB4">
        <w:rPr>
          <w:rFonts w:cs="Arial"/>
          <w:b/>
          <w:bCs/>
          <w:sz w:val="28"/>
          <w:szCs w:val="28"/>
        </w:rPr>
        <w:t xml:space="preserve"> Costituzione e leggi</w:t>
      </w:r>
    </w:p>
    <w:p w:rsidR="00C32F68" w:rsidRPr="008C2AB4" w:rsidRDefault="00C32F68" w:rsidP="00C32F68">
      <w:pPr>
        <w:rPr>
          <w:rFonts w:cs="Arial"/>
        </w:rPr>
      </w:pPr>
      <w:r w:rsidRPr="008C2AB4">
        <w:rPr>
          <w:rFonts w:cs="Arial"/>
          <w:b/>
          <w:bCs/>
          <w:sz w:val="28"/>
          <w:szCs w:val="28"/>
        </w:rPr>
        <w:t>sul messaggio 22 gennaio 2020 concernente l'abbandono del progetto di aggregazione tra i Comuni di Collina d'Oro e Muzzano</w:t>
      </w:r>
    </w:p>
    <w:p w:rsidR="00C32F68" w:rsidRPr="008C2AB4" w:rsidRDefault="00C32F68" w:rsidP="00C32F68">
      <w:pPr>
        <w:rPr>
          <w:rFonts w:cs="Arial"/>
          <w:bCs/>
          <w:szCs w:val="24"/>
        </w:rPr>
      </w:pPr>
    </w:p>
    <w:p w:rsidR="00C32F68" w:rsidRPr="008C2AB4" w:rsidRDefault="00C32F68" w:rsidP="00C32F68">
      <w:pPr>
        <w:rPr>
          <w:rFonts w:cs="Arial"/>
          <w:bCs/>
          <w:szCs w:val="24"/>
        </w:rPr>
      </w:pPr>
    </w:p>
    <w:p w:rsidR="00C32F68" w:rsidRPr="008C2AB4" w:rsidRDefault="00C32F68" w:rsidP="00C32F68">
      <w:pPr>
        <w:rPr>
          <w:rFonts w:cs="Arial"/>
          <w:bCs/>
          <w:szCs w:val="24"/>
        </w:rPr>
      </w:pPr>
    </w:p>
    <w:p w:rsidR="00C32F68" w:rsidRPr="008C2AB4" w:rsidRDefault="00C32F68" w:rsidP="00C32F68">
      <w:pPr>
        <w:rPr>
          <w:rFonts w:cs="Arial"/>
          <w:bCs/>
          <w:szCs w:val="24"/>
        </w:rPr>
      </w:pPr>
      <w:r w:rsidRPr="008C2AB4">
        <w:rPr>
          <w:rFonts w:cs="Arial"/>
          <w:bCs/>
          <w:szCs w:val="24"/>
        </w:rPr>
        <w:t>Il presente succinto rapporto si limita a descrivere l'iter del progetto, a portare le considerazioni commissionali e le discendenti conclusioni.</w:t>
      </w:r>
    </w:p>
    <w:p w:rsidR="00C32F68" w:rsidRPr="008C2AB4" w:rsidRDefault="00C32F68" w:rsidP="00C32F68">
      <w:pPr>
        <w:rPr>
          <w:rFonts w:cs="Arial"/>
          <w:bCs/>
          <w:szCs w:val="24"/>
        </w:rPr>
      </w:pPr>
    </w:p>
    <w:p w:rsidR="00C32F68" w:rsidRPr="008C2AB4" w:rsidRDefault="00C32F68" w:rsidP="00C32F68">
      <w:pPr>
        <w:rPr>
          <w:rFonts w:cs="Arial"/>
          <w:bCs/>
          <w:szCs w:val="24"/>
        </w:rPr>
      </w:pPr>
    </w:p>
    <w:p w:rsidR="00C32F68" w:rsidRPr="008C2AB4" w:rsidRDefault="00C32F68" w:rsidP="00C32F68">
      <w:pPr>
        <w:rPr>
          <w:rFonts w:cs="Arial"/>
          <w:bCs/>
          <w:szCs w:val="24"/>
        </w:rPr>
      </w:pPr>
    </w:p>
    <w:p w:rsidR="00C32F68" w:rsidRPr="008C2AB4" w:rsidRDefault="00C32F68" w:rsidP="00C32F68">
      <w:pPr>
        <w:pStyle w:val="Titolo1"/>
        <w:rPr>
          <w:rFonts w:cs="Arial"/>
        </w:rPr>
      </w:pPr>
      <w:r w:rsidRPr="008C2AB4">
        <w:rPr>
          <w:rFonts w:cs="Arial"/>
        </w:rPr>
        <w:t>L'ITER DEL PROGETTO DI AGGREGAZIONE E LA VOTAZIONE CONSULTIVA</w:t>
      </w:r>
    </w:p>
    <w:p w:rsidR="00C32F68" w:rsidRPr="008C2AB4" w:rsidRDefault="00C32F68" w:rsidP="00C32F68">
      <w:r w:rsidRPr="008C2AB4">
        <w:t>Il progetto aggregativo dei Comuni di Collina d'Oro e Muzzano ha presentato, in origine e per alcuni anni, prospettive di aggregazione di possibile riscontro; esso è stato motivo di discussioni dapprima informali, e in seguito, almeno dal 2015, di approfondimenti nei rispettivi organi esecutivi, legislativi e presso la popolazione.</w:t>
      </w:r>
    </w:p>
    <w:p w:rsidR="00C32F68" w:rsidRDefault="00C32F68" w:rsidP="00C32F68"/>
    <w:p w:rsidR="00C32F68" w:rsidRPr="008C2AB4" w:rsidRDefault="00C32F68" w:rsidP="00C32F68">
      <w:r w:rsidRPr="008C2AB4">
        <w:t>Visti i preavvisi favorevoli di entrambi i Municipi interessati – preceduti da pre-studi e da studi più approfonditi –, il Consiglio di Stato ha dato seguito alla formale istanza di aggregazione del 16 febbraio 2017. Nel maggio 2019 il Governo ha approvato lo studio aggregativo. Il 20 ottobre 2019 ha avuto luogo la votazione consultiva.</w:t>
      </w:r>
    </w:p>
    <w:p w:rsidR="00C32F68" w:rsidRDefault="00C32F68" w:rsidP="00C32F68"/>
    <w:p w:rsidR="00C32F68" w:rsidRPr="008C2AB4" w:rsidRDefault="00C32F68" w:rsidP="00C32F68">
      <w:r w:rsidRPr="008C2AB4">
        <w:t>Tale progetto di aggregazione, oggetto di serate pubbliche supportate da un corposo Rapporto alla cittadinanza, ha dato esito negativo in entrambi i Comuni interessati.</w:t>
      </w:r>
    </w:p>
    <w:p w:rsidR="00C32F68" w:rsidRPr="00F15CD6" w:rsidRDefault="00C32F68" w:rsidP="00C32F68">
      <w:pPr>
        <w:rPr>
          <w:rFonts w:cs="Arial"/>
          <w:sz w:val="32"/>
          <w:szCs w:val="32"/>
        </w:rPr>
      </w:pPr>
    </w:p>
    <w:tbl>
      <w:tblPr>
        <w:tblW w:w="95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40"/>
        <w:gridCol w:w="900"/>
        <w:gridCol w:w="900"/>
        <w:gridCol w:w="900"/>
        <w:gridCol w:w="900"/>
        <w:gridCol w:w="720"/>
        <w:gridCol w:w="900"/>
        <w:gridCol w:w="720"/>
        <w:gridCol w:w="720"/>
        <w:gridCol w:w="720"/>
        <w:gridCol w:w="720"/>
      </w:tblGrid>
      <w:tr w:rsidR="00C32F68" w:rsidRPr="00F15CD6" w:rsidTr="00F15CD6">
        <w:tc>
          <w:tcPr>
            <w:tcW w:w="1440" w:type="dxa"/>
            <w:shd w:val="clear" w:color="auto" w:fill="auto"/>
          </w:tcPr>
          <w:p w:rsidR="00C32F68" w:rsidRPr="00F15CD6" w:rsidRDefault="00C32F68" w:rsidP="00507467">
            <w:pPr>
              <w:jc w:val="right"/>
              <w:rPr>
                <w:rFonts w:cs="Arial"/>
                <w:sz w:val="18"/>
                <w:szCs w:val="18"/>
              </w:rPr>
            </w:pPr>
          </w:p>
        </w:tc>
        <w:tc>
          <w:tcPr>
            <w:tcW w:w="900" w:type="dxa"/>
            <w:shd w:val="clear" w:color="auto" w:fill="auto"/>
          </w:tcPr>
          <w:p w:rsidR="00C32F68" w:rsidRPr="00F15CD6" w:rsidRDefault="00C32F68" w:rsidP="00F15CD6">
            <w:pPr>
              <w:jc w:val="center"/>
              <w:rPr>
                <w:rFonts w:cs="Arial"/>
                <w:sz w:val="18"/>
                <w:szCs w:val="18"/>
              </w:rPr>
            </w:pPr>
            <w:r w:rsidRPr="00F15CD6">
              <w:rPr>
                <w:rFonts w:cs="Arial"/>
                <w:sz w:val="18"/>
                <w:szCs w:val="18"/>
              </w:rPr>
              <w:t>Iscritti in catalogo</w:t>
            </w:r>
          </w:p>
        </w:tc>
        <w:tc>
          <w:tcPr>
            <w:tcW w:w="900" w:type="dxa"/>
            <w:shd w:val="clear" w:color="auto" w:fill="auto"/>
          </w:tcPr>
          <w:p w:rsidR="00C32F68" w:rsidRPr="00F15CD6" w:rsidRDefault="00C32F68" w:rsidP="00507467">
            <w:pPr>
              <w:jc w:val="right"/>
              <w:rPr>
                <w:rFonts w:cs="Arial"/>
                <w:sz w:val="18"/>
                <w:szCs w:val="18"/>
              </w:rPr>
            </w:pPr>
            <w:r w:rsidRPr="00F15CD6">
              <w:rPr>
                <w:rFonts w:cs="Arial"/>
                <w:sz w:val="18"/>
                <w:szCs w:val="18"/>
              </w:rPr>
              <w:t>Totale votanti</w:t>
            </w:r>
          </w:p>
        </w:tc>
        <w:tc>
          <w:tcPr>
            <w:tcW w:w="900" w:type="dxa"/>
            <w:shd w:val="clear" w:color="auto" w:fill="auto"/>
          </w:tcPr>
          <w:p w:rsidR="00C32F68" w:rsidRPr="00F15CD6" w:rsidRDefault="00C32F68" w:rsidP="00507467">
            <w:pPr>
              <w:jc w:val="right"/>
              <w:rPr>
                <w:rFonts w:cs="Arial"/>
                <w:sz w:val="18"/>
                <w:szCs w:val="18"/>
              </w:rPr>
            </w:pPr>
            <w:r w:rsidRPr="00F15CD6">
              <w:rPr>
                <w:rFonts w:cs="Arial"/>
                <w:sz w:val="18"/>
                <w:szCs w:val="18"/>
              </w:rPr>
              <w:t>Parteci-pazione</w:t>
            </w:r>
          </w:p>
        </w:tc>
        <w:tc>
          <w:tcPr>
            <w:tcW w:w="900" w:type="dxa"/>
            <w:shd w:val="clear" w:color="auto" w:fill="auto"/>
          </w:tcPr>
          <w:p w:rsidR="00C32F68" w:rsidRPr="00F15CD6" w:rsidRDefault="00C32F68" w:rsidP="00507467">
            <w:pPr>
              <w:jc w:val="right"/>
              <w:rPr>
                <w:rFonts w:cs="Arial"/>
                <w:sz w:val="18"/>
                <w:szCs w:val="18"/>
              </w:rPr>
            </w:pPr>
            <w:r w:rsidRPr="00F15CD6">
              <w:rPr>
                <w:rFonts w:cs="Arial"/>
                <w:sz w:val="18"/>
                <w:szCs w:val="18"/>
              </w:rPr>
              <w:t>Bianche</w:t>
            </w:r>
          </w:p>
        </w:tc>
        <w:tc>
          <w:tcPr>
            <w:tcW w:w="720" w:type="dxa"/>
            <w:shd w:val="clear" w:color="auto" w:fill="auto"/>
          </w:tcPr>
          <w:p w:rsidR="00C32F68" w:rsidRPr="00F15CD6" w:rsidRDefault="00C32F68" w:rsidP="00507467">
            <w:pPr>
              <w:jc w:val="right"/>
              <w:rPr>
                <w:rFonts w:cs="Arial"/>
                <w:sz w:val="18"/>
                <w:szCs w:val="18"/>
              </w:rPr>
            </w:pPr>
            <w:r w:rsidRPr="00F15CD6">
              <w:rPr>
                <w:rFonts w:cs="Arial"/>
                <w:sz w:val="18"/>
                <w:szCs w:val="18"/>
              </w:rPr>
              <w:t>Nulle</w:t>
            </w:r>
          </w:p>
        </w:tc>
        <w:tc>
          <w:tcPr>
            <w:tcW w:w="900" w:type="dxa"/>
            <w:shd w:val="clear" w:color="auto" w:fill="auto"/>
          </w:tcPr>
          <w:p w:rsidR="00C32F68" w:rsidRPr="00F15CD6" w:rsidRDefault="00C32F68" w:rsidP="00507467">
            <w:pPr>
              <w:jc w:val="right"/>
              <w:rPr>
                <w:rFonts w:cs="Arial"/>
                <w:sz w:val="18"/>
                <w:szCs w:val="18"/>
              </w:rPr>
            </w:pPr>
            <w:r w:rsidRPr="00F15CD6">
              <w:rPr>
                <w:rFonts w:cs="Arial"/>
                <w:sz w:val="18"/>
                <w:szCs w:val="18"/>
              </w:rPr>
              <w:t>Schede compu-tabili</w:t>
            </w:r>
          </w:p>
        </w:tc>
        <w:tc>
          <w:tcPr>
            <w:tcW w:w="720" w:type="dxa"/>
            <w:shd w:val="clear" w:color="auto" w:fill="C0C0C0"/>
          </w:tcPr>
          <w:p w:rsidR="00C32F68" w:rsidRPr="00F15CD6" w:rsidRDefault="00C32F68" w:rsidP="00507467">
            <w:pPr>
              <w:jc w:val="right"/>
              <w:rPr>
                <w:rFonts w:cs="Arial"/>
                <w:b/>
                <w:sz w:val="18"/>
                <w:szCs w:val="18"/>
              </w:rPr>
            </w:pPr>
            <w:r w:rsidRPr="00F15CD6">
              <w:rPr>
                <w:rFonts w:cs="Arial"/>
                <w:b/>
                <w:sz w:val="18"/>
                <w:szCs w:val="18"/>
              </w:rPr>
              <w:t>SI</w:t>
            </w:r>
          </w:p>
        </w:tc>
        <w:tc>
          <w:tcPr>
            <w:tcW w:w="720" w:type="dxa"/>
            <w:shd w:val="clear" w:color="auto" w:fill="auto"/>
          </w:tcPr>
          <w:p w:rsidR="00C32F68" w:rsidRPr="00F15CD6" w:rsidRDefault="00C32F68" w:rsidP="00507467">
            <w:pPr>
              <w:jc w:val="right"/>
              <w:rPr>
                <w:rFonts w:cs="Arial"/>
                <w:sz w:val="18"/>
                <w:szCs w:val="18"/>
              </w:rPr>
            </w:pPr>
            <w:r w:rsidRPr="00F15CD6">
              <w:rPr>
                <w:rFonts w:cs="Arial"/>
                <w:sz w:val="18"/>
                <w:szCs w:val="18"/>
              </w:rPr>
              <w:t>% sì</w:t>
            </w:r>
          </w:p>
        </w:tc>
        <w:tc>
          <w:tcPr>
            <w:tcW w:w="720" w:type="dxa"/>
            <w:shd w:val="clear" w:color="auto" w:fill="C0C0C0"/>
          </w:tcPr>
          <w:p w:rsidR="00C32F68" w:rsidRPr="00F15CD6" w:rsidRDefault="00C32F68" w:rsidP="00507467">
            <w:pPr>
              <w:jc w:val="right"/>
              <w:rPr>
                <w:rFonts w:cs="Arial"/>
                <w:b/>
                <w:sz w:val="18"/>
                <w:szCs w:val="18"/>
              </w:rPr>
            </w:pPr>
            <w:r w:rsidRPr="00F15CD6">
              <w:rPr>
                <w:rFonts w:cs="Arial"/>
                <w:b/>
                <w:sz w:val="18"/>
                <w:szCs w:val="18"/>
              </w:rPr>
              <w:t>NO</w:t>
            </w:r>
          </w:p>
        </w:tc>
        <w:tc>
          <w:tcPr>
            <w:tcW w:w="720" w:type="dxa"/>
            <w:shd w:val="clear" w:color="auto" w:fill="auto"/>
          </w:tcPr>
          <w:p w:rsidR="00C32F68" w:rsidRPr="00F15CD6" w:rsidRDefault="00C32F68" w:rsidP="00507467">
            <w:pPr>
              <w:jc w:val="right"/>
              <w:rPr>
                <w:rFonts w:cs="Arial"/>
                <w:sz w:val="18"/>
                <w:szCs w:val="18"/>
              </w:rPr>
            </w:pPr>
            <w:r w:rsidRPr="00F15CD6">
              <w:rPr>
                <w:rFonts w:cs="Arial"/>
                <w:sz w:val="18"/>
                <w:szCs w:val="18"/>
              </w:rPr>
              <w:t>% no</w:t>
            </w:r>
          </w:p>
        </w:tc>
      </w:tr>
      <w:tr w:rsidR="00C32F68" w:rsidRPr="008C2AB4" w:rsidTr="00F15CD6">
        <w:tc>
          <w:tcPr>
            <w:tcW w:w="1440" w:type="dxa"/>
            <w:shd w:val="clear" w:color="auto" w:fill="auto"/>
          </w:tcPr>
          <w:p w:rsidR="00C32F68" w:rsidRPr="008C2AB4" w:rsidRDefault="00C32F68" w:rsidP="00507467">
            <w:pPr>
              <w:spacing w:before="40" w:after="20"/>
              <w:rPr>
                <w:rFonts w:cs="Arial"/>
                <w:sz w:val="20"/>
              </w:rPr>
            </w:pPr>
            <w:r w:rsidRPr="008C2AB4">
              <w:rPr>
                <w:rFonts w:cs="Arial"/>
                <w:sz w:val="20"/>
              </w:rPr>
              <w:t>Collina d'Oro</w:t>
            </w:r>
          </w:p>
        </w:tc>
        <w:tc>
          <w:tcPr>
            <w:tcW w:w="900" w:type="dxa"/>
            <w:shd w:val="clear" w:color="auto" w:fill="auto"/>
          </w:tcPr>
          <w:p w:rsidR="00C32F68" w:rsidRPr="008C2AB4" w:rsidRDefault="00C32F68" w:rsidP="00507467">
            <w:pPr>
              <w:spacing w:before="40" w:after="20"/>
              <w:jc w:val="right"/>
              <w:rPr>
                <w:rFonts w:cs="Arial"/>
                <w:sz w:val="20"/>
              </w:rPr>
            </w:pPr>
            <w:r w:rsidRPr="008C2AB4">
              <w:rPr>
                <w:rFonts w:cs="Arial"/>
                <w:sz w:val="20"/>
              </w:rPr>
              <w:t>2'765</w:t>
            </w:r>
          </w:p>
        </w:tc>
        <w:tc>
          <w:tcPr>
            <w:tcW w:w="900" w:type="dxa"/>
            <w:shd w:val="clear" w:color="auto" w:fill="auto"/>
          </w:tcPr>
          <w:p w:rsidR="00C32F68" w:rsidRPr="008C2AB4" w:rsidRDefault="00C32F68" w:rsidP="00507467">
            <w:pPr>
              <w:spacing w:before="40" w:after="20"/>
              <w:jc w:val="right"/>
              <w:rPr>
                <w:rFonts w:cs="Arial"/>
                <w:sz w:val="20"/>
              </w:rPr>
            </w:pPr>
            <w:r w:rsidRPr="008C2AB4">
              <w:rPr>
                <w:rFonts w:cs="Arial"/>
                <w:sz w:val="20"/>
              </w:rPr>
              <w:t>1'711</w:t>
            </w:r>
          </w:p>
        </w:tc>
        <w:tc>
          <w:tcPr>
            <w:tcW w:w="900" w:type="dxa"/>
            <w:shd w:val="clear" w:color="auto" w:fill="auto"/>
          </w:tcPr>
          <w:p w:rsidR="00C32F68" w:rsidRPr="008C2AB4" w:rsidRDefault="00C32F68" w:rsidP="00507467">
            <w:pPr>
              <w:spacing w:before="40" w:after="20"/>
              <w:jc w:val="right"/>
              <w:rPr>
                <w:rFonts w:cs="Arial"/>
                <w:sz w:val="20"/>
              </w:rPr>
            </w:pPr>
            <w:r w:rsidRPr="008C2AB4">
              <w:rPr>
                <w:rFonts w:cs="Arial"/>
                <w:sz w:val="20"/>
              </w:rPr>
              <w:t>61.88</w:t>
            </w:r>
          </w:p>
        </w:tc>
        <w:tc>
          <w:tcPr>
            <w:tcW w:w="900" w:type="dxa"/>
            <w:shd w:val="clear" w:color="auto" w:fill="auto"/>
          </w:tcPr>
          <w:p w:rsidR="00C32F68" w:rsidRPr="008C2AB4" w:rsidRDefault="00C32F68" w:rsidP="00507467">
            <w:pPr>
              <w:spacing w:before="40" w:after="20"/>
              <w:jc w:val="right"/>
              <w:rPr>
                <w:rFonts w:cs="Arial"/>
                <w:sz w:val="20"/>
              </w:rPr>
            </w:pPr>
            <w:r w:rsidRPr="008C2AB4">
              <w:rPr>
                <w:rFonts w:cs="Arial"/>
                <w:sz w:val="20"/>
              </w:rPr>
              <w:t>36</w:t>
            </w:r>
          </w:p>
        </w:tc>
        <w:tc>
          <w:tcPr>
            <w:tcW w:w="720" w:type="dxa"/>
            <w:shd w:val="clear" w:color="auto" w:fill="auto"/>
          </w:tcPr>
          <w:p w:rsidR="00C32F68" w:rsidRPr="008C2AB4" w:rsidRDefault="00C32F68" w:rsidP="00507467">
            <w:pPr>
              <w:spacing w:before="40" w:after="20"/>
              <w:jc w:val="right"/>
              <w:rPr>
                <w:rFonts w:cs="Arial"/>
                <w:sz w:val="20"/>
              </w:rPr>
            </w:pPr>
            <w:r w:rsidRPr="008C2AB4">
              <w:rPr>
                <w:rFonts w:cs="Arial"/>
                <w:sz w:val="20"/>
              </w:rPr>
              <w:t>2</w:t>
            </w:r>
          </w:p>
        </w:tc>
        <w:tc>
          <w:tcPr>
            <w:tcW w:w="900" w:type="dxa"/>
            <w:shd w:val="clear" w:color="auto" w:fill="auto"/>
          </w:tcPr>
          <w:p w:rsidR="00C32F68" w:rsidRPr="008C2AB4" w:rsidRDefault="00C32F68" w:rsidP="00507467">
            <w:pPr>
              <w:spacing w:before="40" w:after="20"/>
              <w:jc w:val="right"/>
              <w:rPr>
                <w:rFonts w:cs="Arial"/>
                <w:sz w:val="20"/>
              </w:rPr>
            </w:pPr>
            <w:r w:rsidRPr="008C2AB4">
              <w:rPr>
                <w:rFonts w:cs="Arial"/>
                <w:sz w:val="20"/>
              </w:rPr>
              <w:t>1'673</w:t>
            </w:r>
          </w:p>
        </w:tc>
        <w:tc>
          <w:tcPr>
            <w:tcW w:w="720" w:type="dxa"/>
            <w:shd w:val="clear" w:color="auto" w:fill="C0C0C0"/>
          </w:tcPr>
          <w:p w:rsidR="00C32F68" w:rsidRPr="008C2AB4" w:rsidRDefault="00C32F68" w:rsidP="00507467">
            <w:pPr>
              <w:spacing w:before="40" w:after="20"/>
              <w:jc w:val="right"/>
              <w:rPr>
                <w:rFonts w:cs="Arial"/>
                <w:b/>
                <w:sz w:val="20"/>
              </w:rPr>
            </w:pPr>
            <w:r w:rsidRPr="008C2AB4">
              <w:rPr>
                <w:rFonts w:cs="Arial"/>
                <w:b/>
                <w:sz w:val="20"/>
              </w:rPr>
              <w:t>831</w:t>
            </w:r>
          </w:p>
        </w:tc>
        <w:tc>
          <w:tcPr>
            <w:tcW w:w="720" w:type="dxa"/>
            <w:shd w:val="clear" w:color="auto" w:fill="auto"/>
          </w:tcPr>
          <w:p w:rsidR="00C32F68" w:rsidRPr="008C2AB4" w:rsidRDefault="00C32F68" w:rsidP="00507467">
            <w:pPr>
              <w:spacing w:before="40" w:after="20"/>
              <w:jc w:val="right"/>
              <w:rPr>
                <w:rFonts w:cs="Arial"/>
                <w:sz w:val="20"/>
              </w:rPr>
            </w:pPr>
            <w:r w:rsidRPr="008C2AB4">
              <w:rPr>
                <w:rFonts w:cs="Arial"/>
                <w:sz w:val="20"/>
              </w:rPr>
              <w:t>49.67</w:t>
            </w:r>
          </w:p>
        </w:tc>
        <w:tc>
          <w:tcPr>
            <w:tcW w:w="720" w:type="dxa"/>
            <w:shd w:val="clear" w:color="auto" w:fill="C0C0C0"/>
          </w:tcPr>
          <w:p w:rsidR="00C32F68" w:rsidRPr="008C2AB4" w:rsidRDefault="00C32F68" w:rsidP="00507467">
            <w:pPr>
              <w:spacing w:before="40" w:after="20"/>
              <w:jc w:val="right"/>
              <w:rPr>
                <w:rFonts w:cs="Arial"/>
                <w:b/>
                <w:sz w:val="20"/>
              </w:rPr>
            </w:pPr>
            <w:r w:rsidRPr="008C2AB4">
              <w:rPr>
                <w:rFonts w:cs="Arial"/>
                <w:b/>
                <w:sz w:val="20"/>
              </w:rPr>
              <w:t>842</w:t>
            </w:r>
          </w:p>
        </w:tc>
        <w:tc>
          <w:tcPr>
            <w:tcW w:w="720" w:type="dxa"/>
            <w:shd w:val="clear" w:color="auto" w:fill="auto"/>
          </w:tcPr>
          <w:p w:rsidR="00C32F68" w:rsidRPr="008C2AB4" w:rsidRDefault="00C32F68" w:rsidP="00507467">
            <w:pPr>
              <w:spacing w:before="40" w:after="20"/>
              <w:jc w:val="right"/>
              <w:rPr>
                <w:rFonts w:cs="Arial"/>
                <w:sz w:val="20"/>
              </w:rPr>
            </w:pPr>
            <w:r w:rsidRPr="008C2AB4">
              <w:rPr>
                <w:rFonts w:cs="Arial"/>
                <w:sz w:val="20"/>
              </w:rPr>
              <w:t>50.33</w:t>
            </w:r>
          </w:p>
        </w:tc>
      </w:tr>
      <w:tr w:rsidR="00C32F68" w:rsidRPr="008C2AB4" w:rsidTr="00F15CD6">
        <w:tc>
          <w:tcPr>
            <w:tcW w:w="1440" w:type="dxa"/>
            <w:shd w:val="clear" w:color="auto" w:fill="auto"/>
          </w:tcPr>
          <w:p w:rsidR="00C32F68" w:rsidRPr="008C2AB4" w:rsidRDefault="00C32F68" w:rsidP="00507467">
            <w:pPr>
              <w:spacing w:before="40" w:after="20"/>
              <w:rPr>
                <w:rFonts w:cs="Arial"/>
                <w:sz w:val="20"/>
              </w:rPr>
            </w:pPr>
            <w:r w:rsidRPr="008C2AB4">
              <w:rPr>
                <w:rFonts w:cs="Arial"/>
                <w:sz w:val="20"/>
              </w:rPr>
              <w:t>Muzzano</w:t>
            </w:r>
          </w:p>
        </w:tc>
        <w:tc>
          <w:tcPr>
            <w:tcW w:w="900" w:type="dxa"/>
            <w:shd w:val="clear" w:color="auto" w:fill="auto"/>
          </w:tcPr>
          <w:p w:rsidR="00C32F68" w:rsidRPr="008C2AB4" w:rsidRDefault="00C32F68" w:rsidP="00507467">
            <w:pPr>
              <w:spacing w:before="40" w:after="20"/>
              <w:jc w:val="right"/>
              <w:rPr>
                <w:rFonts w:cs="Arial"/>
                <w:sz w:val="20"/>
              </w:rPr>
            </w:pPr>
            <w:r w:rsidRPr="008C2AB4">
              <w:rPr>
                <w:rFonts w:cs="Arial"/>
                <w:sz w:val="20"/>
              </w:rPr>
              <w:t>581</w:t>
            </w:r>
          </w:p>
        </w:tc>
        <w:tc>
          <w:tcPr>
            <w:tcW w:w="900" w:type="dxa"/>
            <w:shd w:val="clear" w:color="auto" w:fill="auto"/>
          </w:tcPr>
          <w:p w:rsidR="00C32F68" w:rsidRPr="008C2AB4" w:rsidRDefault="00C32F68" w:rsidP="00507467">
            <w:pPr>
              <w:spacing w:before="40" w:after="20"/>
              <w:jc w:val="right"/>
              <w:rPr>
                <w:rFonts w:cs="Arial"/>
                <w:sz w:val="20"/>
              </w:rPr>
            </w:pPr>
            <w:r w:rsidRPr="008C2AB4">
              <w:rPr>
                <w:rFonts w:cs="Arial"/>
                <w:sz w:val="20"/>
              </w:rPr>
              <w:t>444</w:t>
            </w:r>
          </w:p>
        </w:tc>
        <w:tc>
          <w:tcPr>
            <w:tcW w:w="900" w:type="dxa"/>
            <w:shd w:val="clear" w:color="auto" w:fill="auto"/>
          </w:tcPr>
          <w:p w:rsidR="00C32F68" w:rsidRPr="008C2AB4" w:rsidRDefault="00C32F68" w:rsidP="00507467">
            <w:pPr>
              <w:spacing w:before="40" w:after="20"/>
              <w:jc w:val="right"/>
              <w:rPr>
                <w:rFonts w:cs="Arial"/>
                <w:sz w:val="20"/>
              </w:rPr>
            </w:pPr>
            <w:r w:rsidRPr="008C2AB4">
              <w:rPr>
                <w:rFonts w:cs="Arial"/>
                <w:sz w:val="20"/>
              </w:rPr>
              <w:t>76.42</w:t>
            </w:r>
          </w:p>
        </w:tc>
        <w:tc>
          <w:tcPr>
            <w:tcW w:w="900" w:type="dxa"/>
            <w:shd w:val="clear" w:color="auto" w:fill="auto"/>
          </w:tcPr>
          <w:p w:rsidR="00C32F68" w:rsidRPr="008C2AB4" w:rsidRDefault="00C32F68" w:rsidP="00507467">
            <w:pPr>
              <w:spacing w:before="40" w:after="20"/>
              <w:jc w:val="right"/>
              <w:rPr>
                <w:rFonts w:cs="Arial"/>
                <w:sz w:val="20"/>
              </w:rPr>
            </w:pPr>
            <w:r w:rsidRPr="008C2AB4">
              <w:rPr>
                <w:rFonts w:cs="Arial"/>
                <w:sz w:val="20"/>
              </w:rPr>
              <w:t>3</w:t>
            </w:r>
          </w:p>
        </w:tc>
        <w:tc>
          <w:tcPr>
            <w:tcW w:w="720" w:type="dxa"/>
            <w:shd w:val="clear" w:color="auto" w:fill="auto"/>
          </w:tcPr>
          <w:p w:rsidR="00C32F68" w:rsidRPr="008C2AB4" w:rsidRDefault="00C32F68" w:rsidP="00507467">
            <w:pPr>
              <w:spacing w:before="40" w:after="20"/>
              <w:jc w:val="right"/>
              <w:rPr>
                <w:rFonts w:cs="Arial"/>
                <w:sz w:val="20"/>
              </w:rPr>
            </w:pPr>
            <w:r w:rsidRPr="008C2AB4">
              <w:rPr>
                <w:rFonts w:cs="Arial"/>
                <w:sz w:val="20"/>
              </w:rPr>
              <w:t>4</w:t>
            </w:r>
          </w:p>
        </w:tc>
        <w:tc>
          <w:tcPr>
            <w:tcW w:w="900" w:type="dxa"/>
            <w:shd w:val="clear" w:color="auto" w:fill="auto"/>
          </w:tcPr>
          <w:p w:rsidR="00C32F68" w:rsidRPr="008C2AB4" w:rsidRDefault="00C32F68" w:rsidP="00507467">
            <w:pPr>
              <w:spacing w:before="40" w:after="20"/>
              <w:jc w:val="right"/>
              <w:rPr>
                <w:rFonts w:cs="Arial"/>
                <w:sz w:val="20"/>
              </w:rPr>
            </w:pPr>
            <w:r w:rsidRPr="008C2AB4">
              <w:rPr>
                <w:rFonts w:cs="Arial"/>
                <w:sz w:val="20"/>
              </w:rPr>
              <w:t>437</w:t>
            </w:r>
          </w:p>
        </w:tc>
        <w:tc>
          <w:tcPr>
            <w:tcW w:w="720" w:type="dxa"/>
            <w:shd w:val="clear" w:color="auto" w:fill="C0C0C0"/>
          </w:tcPr>
          <w:p w:rsidR="00C32F68" w:rsidRPr="008C2AB4" w:rsidRDefault="00C32F68" w:rsidP="00507467">
            <w:pPr>
              <w:spacing w:before="40" w:after="20"/>
              <w:jc w:val="right"/>
              <w:rPr>
                <w:rFonts w:cs="Arial"/>
                <w:b/>
                <w:sz w:val="20"/>
              </w:rPr>
            </w:pPr>
            <w:r w:rsidRPr="008C2AB4">
              <w:rPr>
                <w:rFonts w:cs="Arial"/>
                <w:b/>
                <w:sz w:val="20"/>
              </w:rPr>
              <w:t>218</w:t>
            </w:r>
          </w:p>
        </w:tc>
        <w:tc>
          <w:tcPr>
            <w:tcW w:w="720" w:type="dxa"/>
            <w:shd w:val="clear" w:color="auto" w:fill="auto"/>
          </w:tcPr>
          <w:p w:rsidR="00C32F68" w:rsidRPr="008C2AB4" w:rsidRDefault="00C32F68" w:rsidP="00507467">
            <w:pPr>
              <w:spacing w:before="40" w:after="20"/>
              <w:jc w:val="right"/>
              <w:rPr>
                <w:rFonts w:cs="Arial"/>
                <w:sz w:val="20"/>
              </w:rPr>
            </w:pPr>
            <w:r w:rsidRPr="008C2AB4">
              <w:rPr>
                <w:rFonts w:cs="Arial"/>
                <w:sz w:val="20"/>
              </w:rPr>
              <w:t>49.89</w:t>
            </w:r>
          </w:p>
        </w:tc>
        <w:tc>
          <w:tcPr>
            <w:tcW w:w="720" w:type="dxa"/>
            <w:shd w:val="clear" w:color="auto" w:fill="C0C0C0"/>
          </w:tcPr>
          <w:p w:rsidR="00C32F68" w:rsidRPr="008C2AB4" w:rsidRDefault="00C32F68" w:rsidP="00507467">
            <w:pPr>
              <w:spacing w:before="40" w:after="20"/>
              <w:jc w:val="right"/>
              <w:rPr>
                <w:rFonts w:cs="Arial"/>
                <w:b/>
                <w:sz w:val="20"/>
              </w:rPr>
            </w:pPr>
            <w:r w:rsidRPr="008C2AB4">
              <w:rPr>
                <w:rFonts w:cs="Arial"/>
                <w:b/>
                <w:sz w:val="20"/>
              </w:rPr>
              <w:t>219</w:t>
            </w:r>
          </w:p>
        </w:tc>
        <w:tc>
          <w:tcPr>
            <w:tcW w:w="720" w:type="dxa"/>
            <w:shd w:val="clear" w:color="auto" w:fill="auto"/>
          </w:tcPr>
          <w:p w:rsidR="00C32F68" w:rsidRPr="008C2AB4" w:rsidRDefault="00C32F68" w:rsidP="00507467">
            <w:pPr>
              <w:spacing w:before="40" w:after="20"/>
              <w:jc w:val="right"/>
              <w:rPr>
                <w:rFonts w:cs="Arial"/>
                <w:sz w:val="20"/>
              </w:rPr>
            </w:pPr>
            <w:r w:rsidRPr="008C2AB4">
              <w:rPr>
                <w:rFonts w:cs="Arial"/>
                <w:sz w:val="20"/>
              </w:rPr>
              <w:t>50.11</w:t>
            </w:r>
          </w:p>
        </w:tc>
      </w:tr>
      <w:tr w:rsidR="00C32F68" w:rsidRPr="008C2AB4" w:rsidTr="00F15CD6">
        <w:tc>
          <w:tcPr>
            <w:tcW w:w="1440" w:type="dxa"/>
            <w:shd w:val="clear" w:color="auto" w:fill="auto"/>
          </w:tcPr>
          <w:p w:rsidR="00C32F68" w:rsidRPr="008C2AB4" w:rsidRDefault="00C32F68" w:rsidP="00507467">
            <w:pPr>
              <w:spacing w:before="100"/>
              <w:rPr>
                <w:rFonts w:cs="Arial"/>
                <w:sz w:val="20"/>
              </w:rPr>
            </w:pPr>
            <w:r w:rsidRPr="008C2AB4">
              <w:rPr>
                <w:rFonts w:cs="Arial"/>
                <w:sz w:val="20"/>
              </w:rPr>
              <w:t>TOTALE</w:t>
            </w:r>
          </w:p>
        </w:tc>
        <w:tc>
          <w:tcPr>
            <w:tcW w:w="900" w:type="dxa"/>
            <w:shd w:val="clear" w:color="auto" w:fill="auto"/>
          </w:tcPr>
          <w:p w:rsidR="00C32F68" w:rsidRPr="008C2AB4" w:rsidRDefault="00C32F68" w:rsidP="00507467">
            <w:pPr>
              <w:spacing w:before="100"/>
              <w:jc w:val="right"/>
              <w:rPr>
                <w:rFonts w:cs="Arial"/>
                <w:sz w:val="20"/>
              </w:rPr>
            </w:pPr>
            <w:r w:rsidRPr="008C2AB4">
              <w:rPr>
                <w:rFonts w:cs="Arial"/>
                <w:sz w:val="20"/>
              </w:rPr>
              <w:t>3'346</w:t>
            </w:r>
          </w:p>
        </w:tc>
        <w:tc>
          <w:tcPr>
            <w:tcW w:w="900" w:type="dxa"/>
            <w:shd w:val="clear" w:color="auto" w:fill="auto"/>
          </w:tcPr>
          <w:p w:rsidR="00C32F68" w:rsidRPr="008C2AB4" w:rsidRDefault="00C32F68" w:rsidP="00507467">
            <w:pPr>
              <w:spacing w:before="100"/>
              <w:jc w:val="right"/>
              <w:rPr>
                <w:rFonts w:cs="Arial"/>
                <w:sz w:val="20"/>
              </w:rPr>
            </w:pPr>
            <w:r w:rsidRPr="008C2AB4">
              <w:rPr>
                <w:rFonts w:cs="Arial"/>
                <w:sz w:val="20"/>
              </w:rPr>
              <w:t>2'155</w:t>
            </w:r>
          </w:p>
        </w:tc>
        <w:tc>
          <w:tcPr>
            <w:tcW w:w="900" w:type="dxa"/>
            <w:shd w:val="clear" w:color="auto" w:fill="auto"/>
          </w:tcPr>
          <w:p w:rsidR="00C32F68" w:rsidRPr="008C2AB4" w:rsidRDefault="00C32F68" w:rsidP="00507467">
            <w:pPr>
              <w:spacing w:before="100"/>
              <w:jc w:val="right"/>
              <w:rPr>
                <w:rFonts w:cs="Arial"/>
                <w:sz w:val="20"/>
              </w:rPr>
            </w:pPr>
            <w:r w:rsidRPr="008C2AB4">
              <w:rPr>
                <w:rFonts w:cs="Arial"/>
                <w:sz w:val="20"/>
              </w:rPr>
              <w:t>64.41</w:t>
            </w:r>
          </w:p>
        </w:tc>
        <w:tc>
          <w:tcPr>
            <w:tcW w:w="900" w:type="dxa"/>
            <w:shd w:val="clear" w:color="auto" w:fill="auto"/>
          </w:tcPr>
          <w:p w:rsidR="00C32F68" w:rsidRPr="008C2AB4" w:rsidRDefault="00C32F68" w:rsidP="00507467">
            <w:pPr>
              <w:spacing w:before="100"/>
              <w:jc w:val="right"/>
              <w:rPr>
                <w:rFonts w:cs="Arial"/>
                <w:sz w:val="20"/>
              </w:rPr>
            </w:pPr>
            <w:r w:rsidRPr="008C2AB4">
              <w:rPr>
                <w:rFonts w:cs="Arial"/>
                <w:sz w:val="20"/>
              </w:rPr>
              <w:t>39</w:t>
            </w:r>
          </w:p>
        </w:tc>
        <w:tc>
          <w:tcPr>
            <w:tcW w:w="720" w:type="dxa"/>
            <w:shd w:val="clear" w:color="auto" w:fill="auto"/>
          </w:tcPr>
          <w:p w:rsidR="00C32F68" w:rsidRPr="008C2AB4" w:rsidRDefault="00C32F68" w:rsidP="00507467">
            <w:pPr>
              <w:spacing w:before="100"/>
              <w:jc w:val="right"/>
              <w:rPr>
                <w:rFonts w:cs="Arial"/>
                <w:sz w:val="20"/>
              </w:rPr>
            </w:pPr>
            <w:r w:rsidRPr="008C2AB4">
              <w:rPr>
                <w:rFonts w:cs="Arial"/>
                <w:sz w:val="20"/>
              </w:rPr>
              <w:t>6</w:t>
            </w:r>
          </w:p>
        </w:tc>
        <w:tc>
          <w:tcPr>
            <w:tcW w:w="900" w:type="dxa"/>
            <w:shd w:val="clear" w:color="auto" w:fill="auto"/>
          </w:tcPr>
          <w:p w:rsidR="00C32F68" w:rsidRPr="008C2AB4" w:rsidRDefault="00C32F68" w:rsidP="00507467">
            <w:pPr>
              <w:spacing w:before="100"/>
              <w:jc w:val="right"/>
              <w:rPr>
                <w:rFonts w:cs="Arial"/>
                <w:sz w:val="20"/>
              </w:rPr>
            </w:pPr>
            <w:r w:rsidRPr="008C2AB4">
              <w:rPr>
                <w:rFonts w:cs="Arial"/>
                <w:sz w:val="20"/>
              </w:rPr>
              <w:t>2'110</w:t>
            </w:r>
          </w:p>
        </w:tc>
        <w:tc>
          <w:tcPr>
            <w:tcW w:w="720" w:type="dxa"/>
            <w:shd w:val="clear" w:color="auto" w:fill="C0C0C0"/>
          </w:tcPr>
          <w:p w:rsidR="00C32F68" w:rsidRPr="008C2AB4" w:rsidRDefault="00C32F68" w:rsidP="00507467">
            <w:pPr>
              <w:spacing w:before="100"/>
              <w:jc w:val="right"/>
              <w:rPr>
                <w:rFonts w:cs="Arial"/>
                <w:b/>
                <w:sz w:val="20"/>
              </w:rPr>
            </w:pPr>
            <w:r w:rsidRPr="008C2AB4">
              <w:rPr>
                <w:rFonts w:cs="Arial"/>
                <w:b/>
                <w:sz w:val="20"/>
              </w:rPr>
              <w:t>1'049</w:t>
            </w:r>
          </w:p>
        </w:tc>
        <w:tc>
          <w:tcPr>
            <w:tcW w:w="720" w:type="dxa"/>
            <w:shd w:val="clear" w:color="auto" w:fill="auto"/>
          </w:tcPr>
          <w:p w:rsidR="00C32F68" w:rsidRPr="008C2AB4" w:rsidRDefault="00C32F68" w:rsidP="00507467">
            <w:pPr>
              <w:spacing w:before="100"/>
              <w:jc w:val="right"/>
              <w:rPr>
                <w:rFonts w:cs="Arial"/>
                <w:sz w:val="20"/>
              </w:rPr>
            </w:pPr>
            <w:r w:rsidRPr="008C2AB4">
              <w:rPr>
                <w:rFonts w:cs="Arial"/>
                <w:sz w:val="20"/>
              </w:rPr>
              <w:t>49.72</w:t>
            </w:r>
          </w:p>
        </w:tc>
        <w:tc>
          <w:tcPr>
            <w:tcW w:w="720" w:type="dxa"/>
            <w:shd w:val="clear" w:color="auto" w:fill="C0C0C0"/>
          </w:tcPr>
          <w:p w:rsidR="00C32F68" w:rsidRPr="008C2AB4" w:rsidRDefault="00C32F68" w:rsidP="00507467">
            <w:pPr>
              <w:spacing w:before="100"/>
              <w:jc w:val="right"/>
              <w:rPr>
                <w:rFonts w:cs="Arial"/>
                <w:b/>
                <w:sz w:val="20"/>
              </w:rPr>
            </w:pPr>
            <w:r w:rsidRPr="008C2AB4">
              <w:rPr>
                <w:rFonts w:cs="Arial"/>
                <w:b/>
                <w:sz w:val="20"/>
              </w:rPr>
              <w:t>1'061</w:t>
            </w:r>
          </w:p>
        </w:tc>
        <w:tc>
          <w:tcPr>
            <w:tcW w:w="720" w:type="dxa"/>
            <w:shd w:val="clear" w:color="auto" w:fill="auto"/>
          </w:tcPr>
          <w:p w:rsidR="00C32F68" w:rsidRPr="008C2AB4" w:rsidRDefault="00C32F68" w:rsidP="00507467">
            <w:pPr>
              <w:spacing w:before="100"/>
              <w:jc w:val="right"/>
              <w:rPr>
                <w:rFonts w:cs="Arial"/>
                <w:sz w:val="20"/>
              </w:rPr>
            </w:pPr>
            <w:r w:rsidRPr="008C2AB4">
              <w:rPr>
                <w:rFonts w:cs="Arial"/>
                <w:sz w:val="20"/>
              </w:rPr>
              <w:t>50.28</w:t>
            </w:r>
          </w:p>
        </w:tc>
      </w:tr>
    </w:tbl>
    <w:p w:rsidR="00C32F68" w:rsidRPr="00F15CD6" w:rsidRDefault="00C32F68" w:rsidP="00F15CD6">
      <w:pPr>
        <w:rPr>
          <w:sz w:val="32"/>
          <w:szCs w:val="32"/>
        </w:rPr>
      </w:pPr>
    </w:p>
    <w:p w:rsidR="00C32F68" w:rsidRPr="008C2AB4" w:rsidRDefault="00C32F68" w:rsidP="00F15CD6">
      <w:r w:rsidRPr="008C2AB4">
        <w:t>Sebbene con scarto ridotto, la maggioranza della popolazione di entrambi i Comuni ha ritenuto di non seguire le indicazioni dei Municipi.</w:t>
      </w:r>
    </w:p>
    <w:p w:rsidR="00C32F68" w:rsidRPr="008C2AB4" w:rsidRDefault="00C32F68" w:rsidP="00C32F68">
      <w:pPr>
        <w:rPr>
          <w:rFonts w:cs="Arial"/>
        </w:rPr>
      </w:pPr>
    </w:p>
    <w:p w:rsidR="00C32F68" w:rsidRPr="008C2AB4" w:rsidRDefault="00C32F68" w:rsidP="00C32F68">
      <w:pPr>
        <w:rPr>
          <w:rFonts w:cs="Arial"/>
        </w:rPr>
      </w:pPr>
    </w:p>
    <w:p w:rsidR="00C32F68" w:rsidRPr="008C2AB4" w:rsidRDefault="00C32F68" w:rsidP="00C32F68">
      <w:pPr>
        <w:rPr>
          <w:rFonts w:cs="Arial"/>
        </w:rPr>
      </w:pPr>
    </w:p>
    <w:p w:rsidR="00F15CD6" w:rsidRDefault="00F15CD6">
      <w:pPr>
        <w:rPr>
          <w:rFonts w:cs="Arial"/>
          <w:b/>
          <w:caps/>
          <w:szCs w:val="24"/>
          <w:lang w:val="it-IT" w:eastAsia="it-IT"/>
        </w:rPr>
      </w:pPr>
      <w:r>
        <w:rPr>
          <w:rFonts w:cs="Arial"/>
        </w:rPr>
        <w:br w:type="page"/>
      </w:r>
    </w:p>
    <w:p w:rsidR="00C32F68" w:rsidRPr="008C2AB4" w:rsidRDefault="00C32F68" w:rsidP="00C32F68">
      <w:pPr>
        <w:pStyle w:val="Titolo1"/>
        <w:rPr>
          <w:rFonts w:cs="Arial"/>
        </w:rPr>
      </w:pPr>
      <w:r w:rsidRPr="008C2AB4">
        <w:rPr>
          <w:rFonts w:cs="Arial"/>
        </w:rPr>
        <w:lastRenderedPageBreak/>
        <w:t>CONSIDERA</w:t>
      </w:r>
      <w:r w:rsidRPr="008C2AB4">
        <w:rPr>
          <w:rFonts w:cs="Arial"/>
          <w:lang w:val="it-CH"/>
        </w:rPr>
        <w:t>ZIONI DELLA COMMISSIONE</w:t>
      </w:r>
    </w:p>
    <w:p w:rsidR="00C32F68" w:rsidRPr="00F15CD6" w:rsidRDefault="00C32F68" w:rsidP="00F15CD6">
      <w:r w:rsidRPr="00F15CD6">
        <w:t>Va osservato che, per quanto risicato, il prevalere dell'avversione della popolazione a una aggregazione imporrebbe accresciuta ponderazione di eventuali interessi superiori ai sensi della legge.</w:t>
      </w:r>
    </w:p>
    <w:p w:rsidR="00C32F68" w:rsidRPr="008C2AB4" w:rsidRDefault="00C32F68" w:rsidP="00F15CD6">
      <w:pPr>
        <w:rPr>
          <w:lang w:val="de-CH"/>
        </w:rPr>
      </w:pPr>
    </w:p>
    <w:p w:rsidR="00C32F68" w:rsidRDefault="00C32F68" w:rsidP="00F15CD6">
      <w:r w:rsidRPr="008C2AB4">
        <w:t xml:space="preserve">L'art. 20 cpv. 3 della Costituzione cantonale dispone che il Gran Consiglio può decidere la fusione di Comuni </w:t>
      </w:r>
      <w:r w:rsidRPr="008C2AB4">
        <w:rPr>
          <w:lang w:val="de-CH"/>
        </w:rPr>
        <w:t>alle</w:t>
      </w:r>
      <w:r w:rsidRPr="008C2AB4">
        <w:t xml:space="preserve"> condizioni previste dalla legge. La Legge sulle aggregazioni e separazioni dei Comuni (LAggr) stabilisce, all'art. 8 cpv. 1, che il Gran Consiglio decide sulla proposta di aggregazione formulata dal Consiglio di Stato, tenuto conto dell'interesse generale, degli obiettivi di legge e del Piano cantonale delle aggregazioni (PCA). Inoltre, nel caso in cui l'aggregazione riguardi anche Comuni nei quali l'esito della votazione consultiva non sia stato favorevole, occorre riferirsi pure all'art. 9 LAggr che, sostanzialmente, prevede che, con il voto della maggioranza assoluta dei suoi membri, tenuto conto dell'esito della votazione consultiva in tutto il comprensorio, il Gran Consiglio può decidere l'aggregazione anche quando i preavvisi assembleari non sono favorevoli. </w:t>
      </w:r>
    </w:p>
    <w:p w:rsidR="00C32F68" w:rsidRDefault="00C32F68" w:rsidP="00F15CD6"/>
    <w:p w:rsidR="00C32F68" w:rsidRPr="008C2AB4" w:rsidRDefault="00C32F68" w:rsidP="00F15CD6">
      <w:r w:rsidRPr="008C2AB4">
        <w:t>Ciò sarebbe possibile, in particolare:</w:t>
      </w:r>
    </w:p>
    <w:p w:rsidR="00C32F68" w:rsidRPr="008C2AB4" w:rsidRDefault="00C32F68" w:rsidP="00F15CD6">
      <w:pPr>
        <w:tabs>
          <w:tab w:val="left" w:pos="426"/>
        </w:tabs>
        <w:spacing w:before="80"/>
        <w:ind w:left="425" w:hanging="425"/>
        <w:rPr>
          <w:rFonts w:cs="Arial"/>
        </w:rPr>
      </w:pPr>
      <w:r w:rsidRPr="008C2AB4">
        <w:rPr>
          <w:rFonts w:cs="Arial"/>
        </w:rPr>
        <w:t>a)</w:t>
      </w:r>
      <w:r w:rsidRPr="008C2AB4">
        <w:rPr>
          <w:rFonts w:cs="Arial"/>
        </w:rPr>
        <w:tab/>
        <w:t>quando la pregiudicata struttura finanziaria e le limitate risorse economiche di un Comune non gli permettono più di conseguire il pareggio della gestione corrente;</w:t>
      </w:r>
    </w:p>
    <w:p w:rsidR="00C32F68" w:rsidRPr="008C2AB4" w:rsidRDefault="00C32F68" w:rsidP="00F15CD6">
      <w:pPr>
        <w:tabs>
          <w:tab w:val="left" w:pos="426"/>
        </w:tabs>
        <w:spacing w:before="80"/>
        <w:ind w:left="425" w:hanging="425"/>
        <w:rPr>
          <w:rFonts w:cs="Arial"/>
        </w:rPr>
      </w:pPr>
      <w:r w:rsidRPr="008C2AB4">
        <w:rPr>
          <w:rFonts w:cs="Arial"/>
        </w:rPr>
        <w:t>b)</w:t>
      </w:r>
      <w:r w:rsidRPr="008C2AB4">
        <w:rPr>
          <w:rFonts w:cs="Arial"/>
        </w:rPr>
        <w:tab/>
        <w:t>se la partecipazione di un Comune alla costituzione di un nuovo Comune è necessaria per ragioni geografiche, pianificatorie, territoriali, di sviluppo economico, di funzionalità dei servizi e di apporto di risorse umane e finanziarie;</w:t>
      </w:r>
    </w:p>
    <w:p w:rsidR="00C32F68" w:rsidRPr="008C2AB4" w:rsidRDefault="00C32F68" w:rsidP="00F15CD6">
      <w:pPr>
        <w:tabs>
          <w:tab w:val="left" w:pos="426"/>
        </w:tabs>
        <w:spacing w:before="80"/>
        <w:ind w:left="425" w:hanging="425"/>
        <w:rPr>
          <w:rFonts w:cs="Arial"/>
          <w:lang w:val="de-CH"/>
        </w:rPr>
      </w:pPr>
      <w:r w:rsidRPr="008C2AB4">
        <w:rPr>
          <w:rFonts w:cs="Arial"/>
        </w:rPr>
        <w:t>c)</w:t>
      </w:r>
      <w:r w:rsidRPr="008C2AB4">
        <w:rPr>
          <w:rFonts w:cs="Arial"/>
        </w:rPr>
        <w:tab/>
        <w:t>se perdura l'impossibilità di un Comune di costituire i suoi organi o di assicurare una normale amministrazione o quando gli organi comunali si sottraggono in modo deliberato ai loro doveri d'ufficio.</w:t>
      </w:r>
      <w:r w:rsidRPr="008C2AB4">
        <w:rPr>
          <w:rFonts w:cs="Arial"/>
          <w:lang w:val="de-CH"/>
        </w:rPr>
        <w:t xml:space="preserve"> </w:t>
      </w:r>
    </w:p>
    <w:p w:rsidR="00C32F68" w:rsidRDefault="00C32F68" w:rsidP="00F15CD6">
      <w:pPr>
        <w:rPr>
          <w:lang w:val="de-CH"/>
        </w:rPr>
      </w:pPr>
    </w:p>
    <w:p w:rsidR="00C32F68" w:rsidRPr="00F15CD6" w:rsidRDefault="00C32F68" w:rsidP="00F15CD6">
      <w:r w:rsidRPr="00F15CD6">
        <w:t xml:space="preserve">Nessuno dei predetti motivi è applicabile alla situazione che ci occupa. </w:t>
      </w:r>
    </w:p>
    <w:p w:rsidR="00C32F68" w:rsidRPr="00F15CD6" w:rsidRDefault="00C32F68" w:rsidP="00F15CD6"/>
    <w:p w:rsidR="00C32F68" w:rsidRPr="00F15CD6" w:rsidRDefault="00C32F68" w:rsidP="00F15CD6">
      <w:r w:rsidRPr="00F15CD6">
        <w:t>Lo stesso Consiglio di Stato, nel messaggio in esame, conclude con la domanda di abbandono del progetto aggregativo secondo l'art. 7 cpv. 1 LAggr, riservandosi per il futuro di contattare i Municipi dei Comuni interessati. Tale valutazione è stata preceduta dalla considerazione per cui il PCA, di principio, propone una visione aperta all'adattamento e che lascia ai Comuni autosufficienti la priorità nel determinarsi nei concreti processi aggregativi, in modo particolare tra Comuni contigui dalle interrelazioni sostanziali, posto che per il Cantone restano di riferimento la congruenza, l'equilibrio e la sostenibilità dell'insieme degli scenari aggregativi in ottica complessiva.</w:t>
      </w:r>
    </w:p>
    <w:p w:rsidR="00F15CD6" w:rsidRDefault="00F15CD6" w:rsidP="00F15CD6"/>
    <w:p w:rsidR="00C32F68" w:rsidRPr="00F15CD6" w:rsidRDefault="00C32F68" w:rsidP="00F15CD6">
      <w:r w:rsidRPr="00F15CD6">
        <w:t xml:space="preserve">Circa la portata del PCA (cfr. messaggio n. 7606 del 5 dicembre 2018), nella risposta del </w:t>
      </w:r>
      <w:r w:rsidRPr="00F15CD6">
        <w:br/>
        <w:t>23 ottobre 2019 del Consiglio di Stato alla scrivente Commissione, si ribadisce che si tratta di uno strumento predisposto per essere adattato e modificato nel tempo. In ogni caso esso non impone alcuna scelta immediata a nessun Comune.</w:t>
      </w:r>
    </w:p>
    <w:p w:rsidR="00F15CD6" w:rsidRDefault="00F15CD6" w:rsidP="00F15CD6"/>
    <w:p w:rsidR="00C32F68" w:rsidRPr="00F15CD6" w:rsidRDefault="00C32F68" w:rsidP="00F15CD6">
      <w:r w:rsidRPr="00F15CD6">
        <w:t>Significativa la presa di posizione del 20 settembre 2019 dei Municipi della Collina Nord di Lugano (per il tramite del Tavolo dei Sindaci dei Comuni della Collina Nord) all'attenzione della Commissione Costituzione e leggi: essi ribadiscono una contrarietà di principio verso ogni forma di imposizione dall'alto; gli stessi Comuni ribadiscono che «</w:t>
      </w:r>
      <w:r w:rsidRPr="00F15CD6">
        <w:rPr>
          <w:i/>
        </w:rPr>
        <w:t xml:space="preserve">hanno dimostrato e possono continuare a dimostrare di essere in grado di svolgere i propri compiti in modo autonomo e contemporaneamente di ottimizzare, ampliare e migliorare le collaborazioni. Tenuto conto del concetto, ora rilevato anche dal Dipartimento delle Istituzioni, di </w:t>
      </w:r>
      <w:r w:rsidRPr="00F15CD6">
        <w:rPr>
          <w:i/>
        </w:rPr>
        <w:lastRenderedPageBreak/>
        <w:t>necessitare del consenso "della base" per nuovi progetti, siamo attenti a evoluzioni aggregative tra due o più Enti senza alcuna premura o tempistiche inopportune</w:t>
      </w:r>
      <w:r w:rsidRPr="00F15CD6">
        <w:t>».</w:t>
      </w:r>
    </w:p>
    <w:p w:rsidR="00C32F68" w:rsidRPr="00F15CD6" w:rsidRDefault="00C32F68" w:rsidP="00F15CD6"/>
    <w:p w:rsidR="00C32F68" w:rsidRPr="00F15CD6" w:rsidRDefault="00C32F68" w:rsidP="00F15CD6">
      <w:r w:rsidRPr="00F15CD6">
        <w:t>Da queste considerazioni, segnatamente dalla predetta avversione e comunque la non condivisione della "base" manifestatasi in esito alla votazione consultiva, non sussistono i presupposti per imporre un'aggregazione non voluta dalla popolazione e nemmeno ritenuta necessaria dal Governo.</w:t>
      </w:r>
    </w:p>
    <w:p w:rsidR="00C32F68" w:rsidRPr="00F15CD6" w:rsidRDefault="00C32F68" w:rsidP="00F15CD6"/>
    <w:p w:rsidR="00C32F68" w:rsidRPr="008C2AB4" w:rsidRDefault="00C32F68" w:rsidP="00F15CD6">
      <w:pPr>
        <w:rPr>
          <w:lang w:val="de-CH"/>
        </w:rPr>
      </w:pPr>
    </w:p>
    <w:p w:rsidR="00C32F68" w:rsidRPr="008C2AB4" w:rsidRDefault="00C32F68" w:rsidP="00C32F68">
      <w:pPr>
        <w:pStyle w:val="Titolo1"/>
        <w:rPr>
          <w:rFonts w:cs="Arial"/>
        </w:rPr>
      </w:pPr>
      <w:r w:rsidRPr="008C2AB4">
        <w:rPr>
          <w:rFonts w:cs="Arial"/>
        </w:rPr>
        <w:t>CONCLUSIONI</w:t>
      </w:r>
    </w:p>
    <w:p w:rsidR="00C32F68" w:rsidRPr="008C2AB4" w:rsidRDefault="00C32F68" w:rsidP="00F15CD6">
      <w:r w:rsidRPr="008C2AB4">
        <w:t>Ai sensi dell'art. 8 LAggr è compito del Gran Consiglio pronunciarsi sul messaggio di proposta di aggregazione o di abbandono del Consiglio di Stato. Per la sua decisione il Gran Consiglio considera l'interesse pubblico generale.</w:t>
      </w:r>
    </w:p>
    <w:p w:rsidR="00F15CD6" w:rsidRDefault="00F15CD6" w:rsidP="00F15CD6"/>
    <w:p w:rsidR="00C32F68" w:rsidRPr="008C2AB4" w:rsidRDefault="00C32F68" w:rsidP="00F15CD6">
      <w:r w:rsidRPr="008C2AB4">
        <w:t>Preso atto del risultato, per quanto risicato, della votazione consultiva avvenuta nei Comuni di Collina d'Oro e Muzzano, letto il messaggio del Consiglio di Stato che propone l'abbandono del progetto aggregativo e le motivazioni ivi menzionate, considerato il fatto che non vi è attualmente interesse pubblico generale a non seguire il risultato della votazione consultiva del 20 ottobre 2019 e a imporre quindi un progetto di aggregazione contrario al volere della maggioranza della popolazione, in una regione in cui un'aggregazione rappresentava e semmai potrà rappresentare un'opportunità piuttosto che una necessità, la Commissione Costituzione e leggi invita il Gran Consiglio ad accogliere il presente rapporto e il Disegno di decreto legislativo concernente l'abbandono del progetto di aggregazione tra i Comuni di Collina d'Oro e Muzzano annesso al messaggio governativo.</w:t>
      </w:r>
    </w:p>
    <w:p w:rsidR="00C32F68" w:rsidRPr="008C2AB4" w:rsidRDefault="00C32F68" w:rsidP="00F15CD6"/>
    <w:p w:rsidR="00C32F68" w:rsidRPr="008C2AB4" w:rsidRDefault="00C32F68" w:rsidP="00F15CD6"/>
    <w:p w:rsidR="00C32F68" w:rsidRPr="008C2AB4" w:rsidRDefault="00C32F68" w:rsidP="00C32F68">
      <w:pPr>
        <w:rPr>
          <w:rFonts w:cs="Arial"/>
        </w:rPr>
      </w:pPr>
    </w:p>
    <w:p w:rsidR="00C32F68" w:rsidRPr="008C2AB4" w:rsidRDefault="00C32F68" w:rsidP="00C32F68">
      <w:pPr>
        <w:rPr>
          <w:rFonts w:cs="Arial"/>
        </w:rPr>
      </w:pPr>
      <w:r w:rsidRPr="008C2AB4">
        <w:rPr>
          <w:rFonts w:cs="Arial"/>
        </w:rPr>
        <w:t>Per la Commissione Costituzione e leggi:</w:t>
      </w:r>
    </w:p>
    <w:p w:rsidR="00C32F68" w:rsidRDefault="00C32F68" w:rsidP="00C32F68">
      <w:pPr>
        <w:spacing w:before="120"/>
        <w:rPr>
          <w:rFonts w:cs="Arial"/>
        </w:rPr>
      </w:pPr>
      <w:r w:rsidRPr="008C2AB4">
        <w:rPr>
          <w:rFonts w:cs="Arial"/>
        </w:rPr>
        <w:t>Marco Bertoli, relatore</w:t>
      </w:r>
    </w:p>
    <w:p w:rsidR="00C32F68" w:rsidRDefault="00C32F68" w:rsidP="00C32F68">
      <w:pPr>
        <w:rPr>
          <w:rFonts w:cs="Arial"/>
        </w:rPr>
      </w:pPr>
      <w:r>
        <w:rPr>
          <w:rFonts w:cs="Arial"/>
        </w:rPr>
        <w:t>Aldi - Balli - Buzzini - Censi - Corti -</w:t>
      </w:r>
    </w:p>
    <w:p w:rsidR="00C32F68" w:rsidRDefault="00C32F68" w:rsidP="00C32F68">
      <w:pPr>
        <w:rPr>
          <w:rFonts w:cs="Arial"/>
        </w:rPr>
      </w:pPr>
      <w:r>
        <w:rPr>
          <w:rFonts w:cs="Arial"/>
        </w:rPr>
        <w:t>Filippini - Gendotti - Isabella - Käppeli -</w:t>
      </w:r>
    </w:p>
    <w:p w:rsidR="00C32F68" w:rsidRPr="008C2AB4" w:rsidRDefault="00C32F68" w:rsidP="00C32F68">
      <w:pPr>
        <w:rPr>
          <w:rFonts w:cs="Arial"/>
        </w:rPr>
      </w:pPr>
      <w:r>
        <w:rPr>
          <w:rFonts w:cs="Arial"/>
        </w:rPr>
        <w:t xml:space="preserve">Lepori </w:t>
      </w:r>
      <w:r w:rsidR="00F15CD6">
        <w:rPr>
          <w:rFonts w:cs="Arial"/>
        </w:rPr>
        <w:t xml:space="preserve">C. </w:t>
      </w:r>
      <w:r>
        <w:rPr>
          <w:rFonts w:cs="Arial"/>
        </w:rPr>
        <w:t>- Ortelli - Ris - Viscardi</w:t>
      </w:r>
    </w:p>
    <w:p w:rsidR="00B860C2" w:rsidRDefault="00B860C2" w:rsidP="00B860C2"/>
    <w:bookmarkEnd w:id="1"/>
    <w:sectPr w:rsid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9679A" w:rsidRPr="00F9679A">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32F68"/>
    <w:rsid w:val="00CF6858"/>
    <w:rsid w:val="00D377B5"/>
    <w:rsid w:val="00D93B31"/>
    <w:rsid w:val="00E505DB"/>
    <w:rsid w:val="00E765A9"/>
    <w:rsid w:val="00F15CD6"/>
    <w:rsid w:val="00F9679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DB43D-259B-478D-8F78-23EFBEED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8164-1D70-4800-97CA-25F0F8A6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2020-10-28T10:07:00Z</cp:lastPrinted>
  <dcterms:created xsi:type="dcterms:W3CDTF">2020-10-28T10:07:00Z</dcterms:created>
  <dcterms:modified xsi:type="dcterms:W3CDTF">2020-10-28T10:07:00Z</dcterms:modified>
</cp:coreProperties>
</file>