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8634E0" w:rsidRDefault="008634E0" w:rsidP="00B860C2">
      <w:pPr>
        <w:rPr>
          <w:rFonts w:ascii="Gill Sans MT" w:hAnsi="Gill Sans MT" w:cs="Arial"/>
          <w:b/>
          <w:sz w:val="56"/>
          <w:szCs w:val="56"/>
        </w:rPr>
      </w:pPr>
      <w:r w:rsidRPr="008634E0">
        <w:rPr>
          <w:rFonts w:ascii="Gill Sans MT" w:hAnsi="Gill Sans MT" w:cs="Arial"/>
          <w:b/>
          <w:sz w:val="56"/>
          <w:szCs w:val="56"/>
        </w:rPr>
        <w:t>Rapporto</w:t>
      </w:r>
      <w:bookmarkStart w:id="0" w:name="_GoBack"/>
      <w:bookmarkEnd w:id="0"/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2E765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7899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3 novembre 2020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SANITÀ E SOCIALITÀ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</w:t>
      </w:r>
      <w:r w:rsidRPr="00673B33">
        <w:rPr>
          <w:rFonts w:cs="Arial"/>
          <w:b/>
          <w:sz w:val="28"/>
          <w:szCs w:val="28"/>
        </w:rPr>
        <w:t xml:space="preserve"> gestione e finanze</w:t>
      </w:r>
    </w:p>
    <w:p w:rsidR="002E7652" w:rsidRPr="002E7652" w:rsidRDefault="002E7652" w:rsidP="002E7652">
      <w:pPr>
        <w:rPr>
          <w:rFonts w:cs="Arial"/>
          <w:b/>
          <w:sz w:val="28"/>
          <w:szCs w:val="28"/>
        </w:rPr>
      </w:pPr>
      <w:r w:rsidRPr="002E7652">
        <w:rPr>
          <w:rFonts w:cs="Arial"/>
          <w:b/>
          <w:sz w:val="28"/>
          <w:szCs w:val="28"/>
        </w:rPr>
        <w:t>sul messaggio 1° ottobre 2020 concernente la concessione all’Ente autonomo casa per anziani Canobbio-Lugano di Canobbio di un contributo unico di 8 milioni di franchi per le opere di realizzazione della nuova casa per anziani di Canobbio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8D7D8E" w:rsidRPr="00C824DE" w:rsidRDefault="008D7D8E" w:rsidP="008D7D8E">
      <w:pPr>
        <w:rPr>
          <w:rFonts w:cs="Arial"/>
          <w:szCs w:val="24"/>
        </w:rPr>
      </w:pPr>
      <w:bookmarkStart w:id="1" w:name="_Toc532286235"/>
    </w:p>
    <w:p w:rsidR="008D7D8E" w:rsidRPr="002E7652" w:rsidRDefault="008D7D8E" w:rsidP="002E7652">
      <w:pPr>
        <w:pStyle w:val="Titolo1"/>
      </w:pPr>
      <w:r w:rsidRPr="002E7652">
        <w:t>Introduzione</w:t>
      </w:r>
    </w:p>
    <w:p w:rsidR="008D7D8E" w:rsidRDefault="008D7D8E" w:rsidP="008D7D8E">
      <w:pPr>
        <w:rPr>
          <w:lang w:val="it-IT" w:eastAsia="it-IT"/>
        </w:rPr>
      </w:pPr>
      <w:r>
        <w:rPr>
          <w:lang w:val="it-IT" w:eastAsia="it-IT"/>
        </w:rPr>
        <w:t>Con il Messaggio governativo proposto, il Gran Consiglio è chiamato ad approvare lo stanziamento di un contributo unico a fondo perso di 8 milioni di franchi per la realizzazione della nuova casa per anziani di Canobbio. Il finanziamento andrà a favore dell’Ente autonomo casa per anziani Canobbio-Lugano, costituito dai Comuni di Canobbio e Lugano.</w:t>
      </w:r>
    </w:p>
    <w:p w:rsidR="008D7D8E" w:rsidRDefault="008D7D8E" w:rsidP="008D7D8E">
      <w:pPr>
        <w:rPr>
          <w:lang w:val="it-IT" w:eastAsia="it-IT"/>
        </w:rPr>
      </w:pPr>
      <w:r>
        <w:rPr>
          <w:lang w:val="it-IT" w:eastAsia="it-IT"/>
        </w:rPr>
        <w:t>La struttura prevede la creazione di 80 posti letto con la creazione di un reparto protetto per persone affette da deficit cognitivi. Il costo finale del progetto ammonta a quasi 31 milioni.</w:t>
      </w:r>
    </w:p>
    <w:p w:rsidR="008D7D8E" w:rsidRDefault="008D7D8E" w:rsidP="008D7D8E">
      <w:pPr>
        <w:rPr>
          <w:lang w:val="it-IT" w:eastAsia="it-IT"/>
        </w:rPr>
      </w:pPr>
      <w:r>
        <w:rPr>
          <w:lang w:val="it-IT" w:eastAsia="it-IT"/>
        </w:rPr>
        <w:t>Da notare, secondo quanto indicato, che la</w:t>
      </w:r>
      <w:r w:rsidRPr="00061796">
        <w:rPr>
          <w:lang w:val="it-IT" w:eastAsia="it-IT"/>
        </w:rPr>
        <w:t xml:space="preserve"> gestione della futura casa per an</w:t>
      </w:r>
      <w:r>
        <w:rPr>
          <w:lang w:val="it-IT" w:eastAsia="it-IT"/>
        </w:rPr>
        <w:t xml:space="preserve">ziani </w:t>
      </w:r>
      <w:r w:rsidRPr="00061796">
        <w:rPr>
          <w:lang w:val="it-IT" w:eastAsia="it-IT"/>
        </w:rPr>
        <w:t>sarà condotta dall'Ente autonomo Lugano Istituti Sociali.</w:t>
      </w:r>
    </w:p>
    <w:p w:rsidR="008D7D8E" w:rsidRDefault="008D7D8E" w:rsidP="008D7D8E">
      <w:pPr>
        <w:rPr>
          <w:lang w:val="it-IT" w:eastAsia="it-IT"/>
        </w:rPr>
      </w:pPr>
    </w:p>
    <w:p w:rsidR="002E7652" w:rsidRDefault="002E7652" w:rsidP="008D7D8E">
      <w:pPr>
        <w:rPr>
          <w:lang w:val="it-IT" w:eastAsia="it-IT"/>
        </w:rPr>
      </w:pPr>
    </w:p>
    <w:p w:rsidR="002E7652" w:rsidRDefault="002E7652" w:rsidP="008D7D8E">
      <w:pPr>
        <w:rPr>
          <w:lang w:val="it-IT" w:eastAsia="it-IT"/>
        </w:rPr>
      </w:pPr>
    </w:p>
    <w:p w:rsidR="008D7D8E" w:rsidRDefault="008D7D8E" w:rsidP="002E7652">
      <w:pPr>
        <w:pStyle w:val="Titolo1"/>
      </w:pPr>
      <w:r w:rsidRPr="00C824DE">
        <w:t>Il progetto</w:t>
      </w:r>
    </w:p>
    <w:p w:rsidR="008D7D8E" w:rsidRPr="00901D27" w:rsidRDefault="008D7D8E" w:rsidP="008D7D8E">
      <w:pPr>
        <w:rPr>
          <w:lang w:val="it-IT" w:eastAsia="it-IT"/>
        </w:rPr>
      </w:pPr>
      <w:r>
        <w:rPr>
          <w:lang w:val="it-IT" w:eastAsia="it-IT"/>
        </w:rPr>
        <w:t>Nel Messaggio viene riportata un’esaustiva descrizione architettonica di quello che è il progetto, in particolare per rapporto all’inserimento urbanistico, la volumetria, l’accessibilità e l’organizzazione, la qualità spaziale e la materialità utilizzata, redatta da parte dei progettisti.</w:t>
      </w:r>
    </w:p>
    <w:p w:rsidR="008D7D8E" w:rsidRDefault="008D7D8E" w:rsidP="008D7D8E">
      <w:pPr>
        <w:rPr>
          <w:rFonts w:cs="Arial"/>
          <w:szCs w:val="24"/>
        </w:rPr>
      </w:pPr>
    </w:p>
    <w:p w:rsidR="002E7652" w:rsidRDefault="002E7652" w:rsidP="008D7D8E">
      <w:pPr>
        <w:rPr>
          <w:rFonts w:cs="Arial"/>
          <w:szCs w:val="24"/>
        </w:rPr>
      </w:pPr>
    </w:p>
    <w:p w:rsidR="002E7652" w:rsidRPr="00C824DE" w:rsidRDefault="002E7652" w:rsidP="008D7D8E">
      <w:pPr>
        <w:rPr>
          <w:rFonts w:cs="Arial"/>
          <w:szCs w:val="24"/>
        </w:rPr>
      </w:pPr>
    </w:p>
    <w:p w:rsidR="008D7D8E" w:rsidRDefault="008D7D8E" w:rsidP="002E7652">
      <w:pPr>
        <w:pStyle w:val="Titolo1"/>
      </w:pPr>
      <w:r w:rsidRPr="00C824DE">
        <w:t>ASPETTI SULLA PIANIFICAZIONE SETTORIALE</w:t>
      </w:r>
    </w:p>
    <w:p w:rsidR="008D7D8E" w:rsidRPr="001B6ED0" w:rsidRDefault="008D7D8E" w:rsidP="008D7D8E">
      <w:pPr>
        <w:rPr>
          <w:rFonts w:cs="Arial"/>
          <w:szCs w:val="24"/>
        </w:rPr>
      </w:pPr>
      <w:r>
        <w:rPr>
          <w:lang w:val="it-IT" w:eastAsia="it-IT"/>
        </w:rPr>
        <w:t>Il riferimento settoriale e strategico della proposta di credito è la</w:t>
      </w:r>
      <w:r w:rsidRPr="001B6ED0">
        <w:rPr>
          <w:rFonts w:cs="Arial"/>
          <w:szCs w:val="24"/>
        </w:rPr>
        <w:t xml:space="preserve"> Pianificazione 2010-2020 della capacità d’accoglienza degli istituti per anziani nel Cantone Ticino, adottata</w:t>
      </w:r>
      <w:r w:rsidR="002E7652">
        <w:rPr>
          <w:rFonts w:cs="Arial"/>
          <w:szCs w:val="24"/>
        </w:rPr>
        <w:t xml:space="preserve"> dal Consiglio di Stato con il m</w:t>
      </w:r>
      <w:r w:rsidRPr="001B6ED0">
        <w:rPr>
          <w:rFonts w:cs="Arial"/>
          <w:szCs w:val="24"/>
        </w:rPr>
        <w:t xml:space="preserve">essaggio </w:t>
      </w:r>
      <w:r w:rsidR="002E7652">
        <w:rPr>
          <w:rFonts w:cs="Arial"/>
          <w:szCs w:val="24"/>
        </w:rPr>
        <w:t xml:space="preserve">n. </w:t>
      </w:r>
      <w:r w:rsidRPr="001B6ED0">
        <w:rPr>
          <w:rFonts w:cs="Arial"/>
          <w:szCs w:val="24"/>
        </w:rPr>
        <w:t>6621 del 21 marzo 2012 e approvata dal Gran Consiglio il 23 settembre 2013.</w:t>
      </w:r>
      <w:r>
        <w:rPr>
          <w:rFonts w:cs="Arial"/>
          <w:szCs w:val="24"/>
        </w:rPr>
        <w:t xml:space="preserve"> Più specificatamente, l’iniziativa in questione è tesa</w:t>
      </w:r>
      <w:r w:rsidRPr="001B6ED0">
        <w:rPr>
          <w:rFonts w:cs="Arial"/>
          <w:szCs w:val="24"/>
        </w:rPr>
        <w:t xml:space="preserve"> a soddisfare in maniera adeguata il fabbisogno di prestazioni di assistenza e cura in</w:t>
      </w:r>
      <w:r>
        <w:rPr>
          <w:rFonts w:cs="Arial"/>
          <w:szCs w:val="24"/>
        </w:rPr>
        <w:t xml:space="preserve"> ambito stazionario, secondo i seguenti aspetti:</w:t>
      </w:r>
    </w:p>
    <w:p w:rsidR="008D7D8E" w:rsidRPr="001B6ED0" w:rsidRDefault="008D7D8E" w:rsidP="002E7652">
      <w:pPr>
        <w:pStyle w:val="Paragrafoelenco"/>
        <w:numPr>
          <w:ilvl w:val="0"/>
          <w:numId w:val="12"/>
        </w:numPr>
        <w:spacing w:before="80"/>
        <w:ind w:left="284" w:hanging="284"/>
        <w:rPr>
          <w:rFonts w:cs="Arial"/>
          <w:szCs w:val="24"/>
        </w:rPr>
      </w:pPr>
      <w:r w:rsidRPr="001B6ED0">
        <w:rPr>
          <w:rFonts w:cs="Arial"/>
          <w:szCs w:val="24"/>
        </w:rPr>
        <w:t>l’adeguamento dell’offerta di posti letto alla domanda determinata sulla base dell’analisi del bisogno;</w:t>
      </w:r>
    </w:p>
    <w:p w:rsidR="008D7D8E" w:rsidRPr="001B6ED0" w:rsidRDefault="008D7D8E" w:rsidP="002E7652">
      <w:pPr>
        <w:pStyle w:val="Paragrafoelenco"/>
        <w:numPr>
          <w:ilvl w:val="0"/>
          <w:numId w:val="12"/>
        </w:numPr>
        <w:spacing w:before="80"/>
        <w:ind w:left="284" w:hanging="284"/>
        <w:rPr>
          <w:rFonts w:cs="Arial"/>
          <w:szCs w:val="24"/>
        </w:rPr>
      </w:pPr>
      <w:r w:rsidRPr="001B6ED0">
        <w:rPr>
          <w:rFonts w:cs="Arial"/>
          <w:szCs w:val="24"/>
        </w:rPr>
        <w:t>la differenziazione dell’offerta in relazione all’evoluzione dei bisogni, con la creazione di unità abitativ</w:t>
      </w:r>
      <w:r>
        <w:rPr>
          <w:rFonts w:cs="Arial"/>
          <w:szCs w:val="24"/>
        </w:rPr>
        <w:t>a</w:t>
      </w:r>
      <w:r w:rsidRPr="001B6ED0">
        <w:rPr>
          <w:rFonts w:cs="Arial"/>
          <w:szCs w:val="24"/>
        </w:rPr>
        <w:t xml:space="preserve"> per utenti colpiti dal morbo di Alzheimer;</w:t>
      </w:r>
    </w:p>
    <w:p w:rsidR="008D7D8E" w:rsidRPr="001B6ED0" w:rsidRDefault="008D7D8E" w:rsidP="002E7652">
      <w:pPr>
        <w:pStyle w:val="Paragrafoelenco"/>
        <w:numPr>
          <w:ilvl w:val="0"/>
          <w:numId w:val="12"/>
        </w:numPr>
        <w:spacing w:before="80"/>
        <w:ind w:left="284" w:hanging="284"/>
        <w:rPr>
          <w:rFonts w:cs="Arial"/>
          <w:szCs w:val="24"/>
        </w:rPr>
      </w:pPr>
      <w:r w:rsidRPr="001B6ED0">
        <w:rPr>
          <w:rFonts w:cs="Arial"/>
          <w:szCs w:val="24"/>
        </w:rPr>
        <w:lastRenderedPageBreak/>
        <w:t>il mantenimento, per quanto possibile, dell’offerta di prossimità, come elemento di una rete di servizi strutturata con orientamento all’utente;</w:t>
      </w:r>
    </w:p>
    <w:p w:rsidR="008D7D8E" w:rsidRPr="001B6ED0" w:rsidRDefault="008D7D8E" w:rsidP="002E7652">
      <w:pPr>
        <w:pStyle w:val="Paragrafoelenco"/>
        <w:numPr>
          <w:ilvl w:val="0"/>
          <w:numId w:val="12"/>
        </w:numPr>
        <w:spacing w:before="80"/>
        <w:ind w:left="284" w:hanging="284"/>
        <w:rPr>
          <w:rFonts w:cs="Arial"/>
          <w:szCs w:val="24"/>
        </w:rPr>
      </w:pPr>
      <w:r w:rsidRPr="001B6ED0">
        <w:rPr>
          <w:rFonts w:cs="Arial"/>
          <w:szCs w:val="24"/>
        </w:rPr>
        <w:t>l’offerta di condizioni strutturali tali da garantire un buon livello di qualità di vita e di sicurezza degli utenti.</w:t>
      </w:r>
    </w:p>
    <w:p w:rsidR="002E7652" w:rsidRDefault="002E7652" w:rsidP="008D7D8E">
      <w:pPr>
        <w:rPr>
          <w:rFonts w:cs="Arial"/>
          <w:szCs w:val="24"/>
        </w:rPr>
      </w:pPr>
    </w:p>
    <w:p w:rsidR="008D7D8E" w:rsidRDefault="008D7D8E" w:rsidP="008D7D8E">
      <w:pPr>
        <w:rPr>
          <w:rFonts w:cs="Arial"/>
          <w:szCs w:val="24"/>
        </w:rPr>
      </w:pPr>
      <w:r>
        <w:rPr>
          <w:rFonts w:cs="Arial"/>
          <w:szCs w:val="24"/>
        </w:rPr>
        <w:t xml:space="preserve">Per quanto riguarda l’aspetto quantitativo dei posti letto del comprensorio, nel Messaggio si specifica che </w:t>
      </w:r>
      <w:r w:rsidRPr="001B6ED0">
        <w:rPr>
          <w:rFonts w:cs="Arial"/>
          <w:szCs w:val="24"/>
        </w:rPr>
        <w:t xml:space="preserve">la realizzazione </w:t>
      </w:r>
      <w:r>
        <w:rPr>
          <w:rFonts w:cs="Arial"/>
          <w:szCs w:val="24"/>
        </w:rPr>
        <w:t>della nuova struttura</w:t>
      </w:r>
      <w:r w:rsidRPr="001B6ED0">
        <w:rPr>
          <w:rFonts w:cs="Arial"/>
          <w:szCs w:val="24"/>
        </w:rPr>
        <w:t xml:space="preserve"> </w:t>
      </w:r>
      <w:r w:rsidRPr="00E10826">
        <w:rPr>
          <w:rFonts w:cs="Arial"/>
          <w:i/>
          <w:szCs w:val="24"/>
        </w:rPr>
        <w:t xml:space="preserve">porterà a mitigare la necessità di posti letto e a portare il fabbisogno scoperto previsto per il 2020 del comprensorio a 88 posti letto. Infatti, a fronte di una domanda stimata per la fine del decennio in corso di 1’590 posti letto (riferita a uno scenario prudenziale d’invecchiamento demografico), esso disporrà di </w:t>
      </w:r>
      <w:r w:rsidR="002E7652">
        <w:rPr>
          <w:rFonts w:cs="Arial"/>
          <w:i/>
          <w:szCs w:val="24"/>
        </w:rPr>
        <w:br/>
      </w:r>
      <w:r w:rsidRPr="00E10826">
        <w:rPr>
          <w:rFonts w:cs="Arial"/>
          <w:i/>
          <w:szCs w:val="24"/>
        </w:rPr>
        <w:t>ca. 1’422 posti letto</w:t>
      </w:r>
      <w:r w:rsidRPr="001B6ED0">
        <w:rPr>
          <w:rFonts w:cs="Arial"/>
          <w:szCs w:val="24"/>
        </w:rPr>
        <w:t>.</w:t>
      </w:r>
    </w:p>
    <w:p w:rsidR="008D7D8E" w:rsidRDefault="008D7D8E" w:rsidP="008D7D8E">
      <w:pPr>
        <w:rPr>
          <w:rFonts w:cs="Arial"/>
          <w:szCs w:val="24"/>
        </w:rPr>
      </w:pPr>
    </w:p>
    <w:p w:rsidR="002E7652" w:rsidRDefault="002E7652" w:rsidP="008D7D8E">
      <w:pPr>
        <w:rPr>
          <w:rFonts w:cs="Arial"/>
          <w:szCs w:val="24"/>
        </w:rPr>
      </w:pPr>
    </w:p>
    <w:p w:rsidR="002E7652" w:rsidRPr="00C824DE" w:rsidRDefault="002E7652" w:rsidP="008D7D8E">
      <w:pPr>
        <w:rPr>
          <w:rFonts w:cs="Arial"/>
          <w:szCs w:val="24"/>
        </w:rPr>
      </w:pPr>
    </w:p>
    <w:p w:rsidR="008D7D8E" w:rsidRDefault="008D7D8E" w:rsidP="002E7652">
      <w:pPr>
        <w:pStyle w:val="Titolo1"/>
      </w:pPr>
      <w:r w:rsidRPr="00C824DE">
        <w:t>ASPETTI FINANZIARI</w:t>
      </w:r>
    </w:p>
    <w:p w:rsidR="008D7D8E" w:rsidRDefault="008D7D8E" w:rsidP="008D7D8E">
      <w:pPr>
        <w:rPr>
          <w:lang w:val="it-IT" w:eastAsia="it-IT"/>
        </w:rPr>
      </w:pPr>
      <w:r>
        <w:rPr>
          <w:lang w:val="it-IT" w:eastAsia="it-IT"/>
        </w:rPr>
        <w:t xml:space="preserve">Rispetto al preventivo delle opere di 31 milioni, l’importo di </w:t>
      </w:r>
      <w:r w:rsidR="002E7652">
        <w:rPr>
          <w:lang w:val="it-IT" w:eastAsia="it-IT"/>
        </w:rPr>
        <w:t>fr.</w:t>
      </w:r>
      <w:r>
        <w:rPr>
          <w:lang w:val="it-IT" w:eastAsia="it-IT"/>
        </w:rPr>
        <w:t xml:space="preserve"> 475'592.00 riguarda l’esecuzione di un’autorimessa non riconosciuta che dovrà essere autofinanziata da parte dell’Ente. L’importo finale dei costi sussidiabili ammonta pertanto a </w:t>
      </w:r>
      <w:r w:rsidR="002E7652">
        <w:rPr>
          <w:lang w:val="it-IT" w:eastAsia="it-IT"/>
        </w:rPr>
        <w:t>fr.</w:t>
      </w:r>
      <w:r>
        <w:rPr>
          <w:lang w:val="it-IT" w:eastAsia="it-IT"/>
        </w:rPr>
        <w:t xml:space="preserve"> 30.5 milioni, finanziati secondo il seguente schema:</w:t>
      </w:r>
    </w:p>
    <w:p w:rsidR="008D7D8E" w:rsidRDefault="008D7D8E" w:rsidP="008D7D8E">
      <w:pPr>
        <w:rPr>
          <w:lang w:val="it-IT" w:eastAsia="it-IT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8D7D8E" w:rsidRPr="002E7652" w:rsidTr="002E7652">
        <w:trPr>
          <w:trHeight w:val="454"/>
        </w:trPr>
        <w:tc>
          <w:tcPr>
            <w:tcW w:w="7371" w:type="dxa"/>
          </w:tcPr>
          <w:p w:rsidR="008D7D8E" w:rsidRPr="002E7652" w:rsidRDefault="008D7D8E" w:rsidP="00284153">
            <w:pPr>
              <w:pStyle w:val="Corpodeltesto32"/>
              <w:tabs>
                <w:tab w:val="left" w:pos="284"/>
              </w:tabs>
              <w:jc w:val="both"/>
              <w:rPr>
                <w:rFonts w:cs="Arial"/>
                <w:b/>
                <w:i w:val="0"/>
                <w:sz w:val="22"/>
                <w:szCs w:val="22"/>
              </w:rPr>
            </w:pPr>
            <w:r w:rsidRPr="002E7652">
              <w:rPr>
                <w:rFonts w:cs="Arial"/>
                <w:b/>
                <w:i w:val="0"/>
                <w:sz w:val="22"/>
                <w:szCs w:val="22"/>
              </w:rPr>
              <w:t>Costo complessivo delle opere</w:t>
            </w:r>
          </w:p>
        </w:tc>
        <w:tc>
          <w:tcPr>
            <w:tcW w:w="2268" w:type="dxa"/>
          </w:tcPr>
          <w:p w:rsidR="008D7D8E" w:rsidRPr="002E7652" w:rsidRDefault="002E7652" w:rsidP="002E7652">
            <w:pPr>
              <w:pStyle w:val="Corpodeltesto32"/>
              <w:tabs>
                <w:tab w:val="right" w:pos="2471"/>
                <w:tab w:val="left" w:pos="6804"/>
              </w:tabs>
              <w:ind w:right="169"/>
              <w:jc w:val="both"/>
              <w:rPr>
                <w:rFonts w:cs="Arial"/>
                <w:b/>
                <w:i w:val="0"/>
                <w:sz w:val="22"/>
                <w:szCs w:val="22"/>
              </w:rPr>
            </w:pPr>
            <w:r>
              <w:rPr>
                <w:rFonts w:cs="Arial"/>
                <w:b/>
                <w:i w:val="0"/>
                <w:sz w:val="22"/>
                <w:szCs w:val="22"/>
              </w:rPr>
              <w:t>fr.</w:t>
            </w:r>
            <w:r w:rsidRPr="002E7652">
              <w:rPr>
                <w:rFonts w:cs="Arial"/>
                <w:b/>
                <w:i w:val="0"/>
                <w:sz w:val="22"/>
                <w:szCs w:val="22"/>
              </w:rPr>
              <w:tab/>
            </w:r>
            <w:r w:rsidR="008D7D8E" w:rsidRPr="002E7652">
              <w:rPr>
                <w:rFonts w:cs="Arial"/>
                <w:b/>
                <w:bCs/>
                <w:i w:val="0"/>
                <w:color w:val="000000"/>
                <w:sz w:val="22"/>
                <w:szCs w:val="22"/>
              </w:rPr>
              <w:t>30'508'008.00</w:t>
            </w:r>
          </w:p>
        </w:tc>
      </w:tr>
      <w:tr w:rsidR="008D7D8E" w:rsidRPr="002E7652" w:rsidTr="002E7652">
        <w:trPr>
          <w:trHeight w:val="454"/>
        </w:trPr>
        <w:tc>
          <w:tcPr>
            <w:tcW w:w="7371" w:type="dxa"/>
          </w:tcPr>
          <w:p w:rsidR="008D7D8E" w:rsidRPr="002E7652" w:rsidRDefault="008D7D8E" w:rsidP="00284153">
            <w:pPr>
              <w:pStyle w:val="Corpodeltesto32"/>
              <w:tabs>
                <w:tab w:val="left" w:pos="284"/>
              </w:tabs>
              <w:jc w:val="both"/>
              <w:rPr>
                <w:rFonts w:cs="Arial"/>
                <w:i w:val="0"/>
                <w:sz w:val="22"/>
                <w:szCs w:val="22"/>
              </w:rPr>
            </w:pPr>
            <w:r w:rsidRPr="002E7652">
              <w:rPr>
                <w:rFonts w:cs="Arial"/>
                <w:i w:val="0"/>
                <w:sz w:val="22"/>
                <w:szCs w:val="22"/>
              </w:rPr>
              <w:t>Contributo cantonale unico</w:t>
            </w:r>
          </w:p>
        </w:tc>
        <w:tc>
          <w:tcPr>
            <w:tcW w:w="2268" w:type="dxa"/>
          </w:tcPr>
          <w:p w:rsidR="008D7D8E" w:rsidRPr="002E7652" w:rsidRDefault="002E7652" w:rsidP="002E7652">
            <w:pPr>
              <w:pStyle w:val="Corpodeltesto32"/>
              <w:tabs>
                <w:tab w:val="right" w:pos="2471"/>
                <w:tab w:val="left" w:pos="3969"/>
                <w:tab w:val="decimal" w:pos="5670"/>
              </w:tabs>
              <w:ind w:right="169"/>
              <w:jc w:val="both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fr.</w:t>
            </w:r>
            <w:r w:rsidRPr="002E7652">
              <w:rPr>
                <w:rFonts w:cs="Arial"/>
                <w:i w:val="0"/>
                <w:sz w:val="22"/>
                <w:szCs w:val="22"/>
              </w:rPr>
              <w:tab/>
            </w:r>
            <w:r w:rsidR="008D7D8E" w:rsidRPr="002E7652">
              <w:rPr>
                <w:rFonts w:cs="Arial"/>
                <w:i w:val="0"/>
                <w:sz w:val="22"/>
                <w:szCs w:val="22"/>
              </w:rPr>
              <w:t>8'000'000.00</w:t>
            </w:r>
          </w:p>
        </w:tc>
      </w:tr>
      <w:tr w:rsidR="008D7D8E" w:rsidRPr="002E7652" w:rsidTr="002E7652">
        <w:trPr>
          <w:trHeight w:val="454"/>
        </w:trPr>
        <w:tc>
          <w:tcPr>
            <w:tcW w:w="7371" w:type="dxa"/>
          </w:tcPr>
          <w:p w:rsidR="008D7D8E" w:rsidRPr="002E7652" w:rsidRDefault="008D7D8E" w:rsidP="00284153">
            <w:pPr>
              <w:pStyle w:val="Corpodeltesto32"/>
              <w:tabs>
                <w:tab w:val="left" w:pos="284"/>
                <w:tab w:val="left" w:pos="3969"/>
                <w:tab w:val="decimal" w:pos="5670"/>
              </w:tabs>
              <w:jc w:val="both"/>
              <w:rPr>
                <w:rFonts w:cs="Arial"/>
                <w:i w:val="0"/>
                <w:sz w:val="22"/>
                <w:szCs w:val="22"/>
              </w:rPr>
            </w:pPr>
            <w:r w:rsidRPr="002E7652">
              <w:rPr>
                <w:rFonts w:cs="Arial"/>
                <w:i w:val="0"/>
                <w:sz w:val="22"/>
                <w:szCs w:val="22"/>
              </w:rPr>
              <w:t>Mutuo ipotecario aggiuntivo riconosciuto</w:t>
            </w:r>
          </w:p>
        </w:tc>
        <w:tc>
          <w:tcPr>
            <w:tcW w:w="2268" w:type="dxa"/>
          </w:tcPr>
          <w:p w:rsidR="008D7D8E" w:rsidRPr="002E7652" w:rsidRDefault="002E7652" w:rsidP="002E7652">
            <w:pPr>
              <w:pStyle w:val="Corpodeltesto32"/>
              <w:tabs>
                <w:tab w:val="right" w:pos="2471"/>
                <w:tab w:val="left" w:pos="3969"/>
                <w:tab w:val="decimal" w:pos="5670"/>
              </w:tabs>
              <w:ind w:right="169"/>
              <w:jc w:val="both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fr.</w:t>
            </w:r>
            <w:r w:rsidRPr="002E7652">
              <w:rPr>
                <w:rFonts w:cs="Arial"/>
                <w:i w:val="0"/>
                <w:sz w:val="22"/>
                <w:szCs w:val="22"/>
              </w:rPr>
              <w:tab/>
            </w:r>
            <w:r w:rsidR="008D7D8E" w:rsidRPr="002E7652">
              <w:rPr>
                <w:rFonts w:cs="Arial"/>
                <w:i w:val="0"/>
                <w:sz w:val="22"/>
                <w:szCs w:val="22"/>
              </w:rPr>
              <w:t>16'000'000.00</w:t>
            </w:r>
          </w:p>
        </w:tc>
      </w:tr>
      <w:tr w:rsidR="008D7D8E" w:rsidRPr="002E7652" w:rsidTr="002E7652">
        <w:trPr>
          <w:trHeight w:val="454"/>
        </w:trPr>
        <w:tc>
          <w:tcPr>
            <w:tcW w:w="7371" w:type="dxa"/>
          </w:tcPr>
          <w:p w:rsidR="008D7D8E" w:rsidRPr="002E7652" w:rsidRDefault="008D7D8E" w:rsidP="002E7652">
            <w:pPr>
              <w:pStyle w:val="Corpodeltesto32"/>
              <w:tabs>
                <w:tab w:val="left" w:pos="284"/>
                <w:tab w:val="left" w:pos="3969"/>
                <w:tab w:val="decimal" w:pos="5670"/>
              </w:tabs>
              <w:rPr>
                <w:rFonts w:cs="Arial"/>
                <w:i w:val="0"/>
                <w:sz w:val="22"/>
                <w:szCs w:val="22"/>
                <w:highlight w:val="yellow"/>
              </w:rPr>
            </w:pPr>
            <w:r w:rsidRPr="002E7652">
              <w:rPr>
                <w:rFonts w:cs="Arial"/>
                <w:i w:val="0"/>
                <w:sz w:val="22"/>
                <w:szCs w:val="22"/>
              </w:rPr>
              <w:t>Mutuo ipotecario a carico dall’Ente autonomo comunale casa anziani Canobbio Lugano, finanziato dai Comuni costituenti</w:t>
            </w:r>
          </w:p>
        </w:tc>
        <w:tc>
          <w:tcPr>
            <w:tcW w:w="2268" w:type="dxa"/>
          </w:tcPr>
          <w:p w:rsidR="008D7D8E" w:rsidRPr="002E7652" w:rsidRDefault="002E7652" w:rsidP="002E7652">
            <w:pPr>
              <w:pStyle w:val="Corpodeltesto32"/>
              <w:tabs>
                <w:tab w:val="right" w:pos="2471"/>
                <w:tab w:val="left" w:pos="3969"/>
                <w:tab w:val="decimal" w:pos="5670"/>
              </w:tabs>
              <w:ind w:right="169"/>
              <w:jc w:val="both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fr.</w:t>
            </w:r>
            <w:r w:rsidRPr="002E7652">
              <w:rPr>
                <w:rFonts w:cs="Arial"/>
                <w:i w:val="0"/>
                <w:sz w:val="22"/>
                <w:szCs w:val="22"/>
              </w:rPr>
              <w:tab/>
            </w:r>
            <w:r w:rsidR="008D7D8E" w:rsidRPr="002E7652">
              <w:rPr>
                <w:rFonts w:cs="Arial"/>
                <w:i w:val="0"/>
                <w:sz w:val="22"/>
                <w:szCs w:val="22"/>
              </w:rPr>
              <w:t>6'508'008.00</w:t>
            </w:r>
          </w:p>
        </w:tc>
      </w:tr>
      <w:tr w:rsidR="008D7D8E" w:rsidRPr="002E7652" w:rsidTr="002E7652">
        <w:tc>
          <w:tcPr>
            <w:tcW w:w="7371" w:type="dxa"/>
          </w:tcPr>
          <w:p w:rsidR="008D7D8E" w:rsidRPr="002E7652" w:rsidRDefault="008D7D8E" w:rsidP="002E7652">
            <w:pPr>
              <w:spacing w:before="60"/>
              <w:rPr>
                <w:sz w:val="22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7D8E" w:rsidRPr="002E7652" w:rsidRDefault="002E7652" w:rsidP="002E7652">
            <w:pPr>
              <w:tabs>
                <w:tab w:val="right" w:pos="2471"/>
              </w:tabs>
              <w:spacing w:before="60"/>
              <w:ind w:right="169"/>
              <w:rPr>
                <w:sz w:val="22"/>
                <w:lang w:val="it-IT" w:eastAsia="it-IT"/>
              </w:rPr>
            </w:pPr>
            <w:r>
              <w:rPr>
                <w:sz w:val="22"/>
                <w:lang w:val="it-IT" w:eastAsia="it-IT"/>
              </w:rPr>
              <w:t>fr.</w:t>
            </w:r>
            <w:r w:rsidRPr="002E7652">
              <w:rPr>
                <w:sz w:val="22"/>
                <w:lang w:val="it-IT" w:eastAsia="it-IT"/>
              </w:rPr>
              <w:tab/>
            </w:r>
            <w:r w:rsidR="008D7D8E" w:rsidRPr="002E7652">
              <w:rPr>
                <w:sz w:val="22"/>
                <w:lang w:val="it-IT" w:eastAsia="it-IT"/>
              </w:rPr>
              <w:t>30'508'008.00</w:t>
            </w:r>
          </w:p>
        </w:tc>
      </w:tr>
    </w:tbl>
    <w:p w:rsidR="002E7652" w:rsidRDefault="002E7652" w:rsidP="008D7D8E">
      <w:pPr>
        <w:rPr>
          <w:lang w:val="it-IT" w:eastAsia="it-IT"/>
        </w:rPr>
      </w:pPr>
    </w:p>
    <w:p w:rsidR="008D7D8E" w:rsidRDefault="008D7D8E" w:rsidP="008D7D8E">
      <w:pPr>
        <w:rPr>
          <w:lang w:val="it-IT" w:eastAsia="it-IT"/>
        </w:rPr>
      </w:pPr>
      <w:r>
        <w:rPr>
          <w:lang w:val="it-IT" w:eastAsia="it-IT"/>
        </w:rPr>
        <w:t xml:space="preserve">Per gli 80 posti letto previsti, il costo totale riconosciuto dal Cantone ammonta a </w:t>
      </w:r>
      <w:r w:rsidR="002E7652">
        <w:rPr>
          <w:lang w:val="it-IT" w:eastAsia="it-IT"/>
        </w:rPr>
        <w:t>fr.</w:t>
      </w:r>
      <w:r>
        <w:rPr>
          <w:lang w:val="it-IT" w:eastAsia="it-IT"/>
        </w:rPr>
        <w:t xml:space="preserve"> 24 milioni, determinato secondo il parametro previsto nella </w:t>
      </w:r>
      <w:r w:rsidRPr="00A50E4C">
        <w:rPr>
          <w:i/>
          <w:lang w:val="it-IT" w:eastAsia="it-IT"/>
        </w:rPr>
        <w:t>Pianificazione 2010-2020</w:t>
      </w:r>
      <w:r>
        <w:rPr>
          <w:i/>
          <w:lang w:val="it-IT" w:eastAsia="it-IT"/>
        </w:rPr>
        <w:t xml:space="preserve"> </w:t>
      </w:r>
      <w:r>
        <w:rPr>
          <w:lang w:val="it-IT" w:eastAsia="it-IT"/>
        </w:rPr>
        <w:t xml:space="preserve">che ammonta a </w:t>
      </w:r>
      <w:r w:rsidR="002E7652">
        <w:rPr>
          <w:lang w:val="it-IT" w:eastAsia="it-IT"/>
        </w:rPr>
        <w:t>fr.</w:t>
      </w:r>
      <w:r>
        <w:rPr>
          <w:lang w:val="it-IT" w:eastAsia="it-IT"/>
        </w:rPr>
        <w:t xml:space="preserve"> 300'000.00 per posto letto per le nuove realizzazioni. Tale importo si suddivide tra contributo unico a fondo perso di </w:t>
      </w:r>
      <w:r w:rsidR="002E7652">
        <w:rPr>
          <w:lang w:val="it-IT" w:eastAsia="it-IT"/>
        </w:rPr>
        <w:t>fr.</w:t>
      </w:r>
      <w:r>
        <w:rPr>
          <w:lang w:val="it-IT" w:eastAsia="it-IT"/>
        </w:rPr>
        <w:t xml:space="preserve"> 8 milioni e finanziamento in gestione del mutuo ipotecario residuo di </w:t>
      </w:r>
      <w:r w:rsidR="002E7652">
        <w:rPr>
          <w:lang w:val="it-IT" w:eastAsia="it-IT"/>
        </w:rPr>
        <w:t>fr.</w:t>
      </w:r>
      <w:r>
        <w:rPr>
          <w:lang w:val="it-IT" w:eastAsia="it-IT"/>
        </w:rPr>
        <w:t xml:space="preserve"> 16 milioni, secondo quanto previsto dall’art. 11 cpv. 2 del Regolamento d’applicazione della LAnz, del 22 agosto 2012. La parte restante rispetto al preventivo presentato dall’Ente, che equivale a ca. 6.5 milioni, rimane a carico dell’Ente e dei comuni costituenti.</w:t>
      </w:r>
    </w:p>
    <w:p w:rsidR="008D7D8E" w:rsidRDefault="008D7D8E" w:rsidP="008D7D8E">
      <w:pPr>
        <w:rPr>
          <w:rFonts w:cs="Arial"/>
          <w:szCs w:val="24"/>
        </w:rPr>
      </w:pPr>
    </w:p>
    <w:p w:rsidR="002E7652" w:rsidRDefault="002E7652" w:rsidP="008D7D8E">
      <w:pPr>
        <w:rPr>
          <w:rFonts w:cs="Arial"/>
          <w:szCs w:val="24"/>
        </w:rPr>
      </w:pPr>
    </w:p>
    <w:p w:rsidR="002E7652" w:rsidRPr="00C824DE" w:rsidRDefault="002E7652" w:rsidP="008D7D8E">
      <w:pPr>
        <w:rPr>
          <w:rFonts w:cs="Arial"/>
          <w:szCs w:val="24"/>
        </w:rPr>
      </w:pPr>
    </w:p>
    <w:p w:rsidR="008D7D8E" w:rsidRPr="00C824DE" w:rsidRDefault="008D7D8E" w:rsidP="002E7652">
      <w:pPr>
        <w:pStyle w:val="Titolo1"/>
      </w:pPr>
      <w:r w:rsidRPr="00C824DE">
        <w:t xml:space="preserve">Aspetti inerenti ALla </w:t>
      </w:r>
      <w:r>
        <w:t>LEGISLAZIONE</w:t>
      </w:r>
      <w:r w:rsidRPr="00C824DE">
        <w:t xml:space="preserve"> sulle commesse pubbliche</w:t>
      </w:r>
    </w:p>
    <w:p w:rsidR="008D7D8E" w:rsidRDefault="008D7D8E" w:rsidP="008D7D8E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L’investimento è soggetto alla legislazione sulle commesse pubbliche, pertanto</w:t>
      </w:r>
      <w:r w:rsidRPr="00F56231">
        <w:rPr>
          <w:rFonts w:cs="Arial"/>
          <w:szCs w:val="24"/>
          <w:lang w:val="it-IT"/>
        </w:rPr>
        <w:t xml:space="preserve"> </w:t>
      </w:r>
      <w:r w:rsidRPr="00061796">
        <w:rPr>
          <w:rFonts w:cs="Arial"/>
          <w:szCs w:val="24"/>
          <w:lang w:val="it-IT"/>
        </w:rPr>
        <w:t>l’assegnazione dei mandati e delle commesse dovrà avvenire secondo i disposti della Legge sulle commesse pubbliche del 20 febbraio 2001 (LCPubb) e del Concordato intercantonale sugli appalti pubblici del 25 novembre 1994 (CIAP).</w:t>
      </w:r>
    </w:p>
    <w:p w:rsidR="002E7652" w:rsidRPr="002E7652" w:rsidRDefault="002E7652" w:rsidP="008D7D8E">
      <w:pPr>
        <w:rPr>
          <w:rFonts w:cs="Arial"/>
          <w:sz w:val="18"/>
          <w:szCs w:val="18"/>
          <w:lang w:val="it-IT"/>
        </w:rPr>
      </w:pPr>
    </w:p>
    <w:p w:rsidR="008D7D8E" w:rsidRDefault="008D7D8E" w:rsidP="008D7D8E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In considerazione di questo, l’Ente autonomo casa per anziani Canobbio Lugano si affiderà al proprio </w:t>
      </w:r>
      <w:r w:rsidRPr="00F56231">
        <w:rPr>
          <w:rFonts w:cs="Arial"/>
          <w:szCs w:val="24"/>
          <w:lang w:val="it-IT"/>
        </w:rPr>
        <w:t>consulente esterno Archi &amp; More, Bellinzona, attraverso l’Avvocato Betty Gatti, specializzata nel diritto della costruzione e nel diri</w:t>
      </w:r>
      <w:r>
        <w:rPr>
          <w:rFonts w:cs="Arial"/>
          <w:szCs w:val="24"/>
          <w:lang w:val="it-IT"/>
        </w:rPr>
        <w:t xml:space="preserve">tto sulle commesse pubbliche e </w:t>
      </w:r>
      <w:r w:rsidRPr="00F56231">
        <w:rPr>
          <w:rFonts w:cs="Arial"/>
          <w:szCs w:val="24"/>
          <w:lang w:val="it-IT"/>
        </w:rPr>
        <w:t>all’Arch. Patrick Wagner, a supporto per il controllo delle delibere dal profilo tecnico e finanziario.</w:t>
      </w:r>
    </w:p>
    <w:p w:rsidR="002E7652" w:rsidRPr="002E7652" w:rsidRDefault="002E7652" w:rsidP="008D7D8E">
      <w:pPr>
        <w:rPr>
          <w:rFonts w:cs="Arial"/>
          <w:sz w:val="18"/>
          <w:szCs w:val="18"/>
          <w:lang w:val="it-IT"/>
        </w:rPr>
      </w:pPr>
    </w:p>
    <w:p w:rsidR="008D7D8E" w:rsidRPr="00F56231" w:rsidRDefault="008D7D8E" w:rsidP="008D7D8E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lastRenderedPageBreak/>
        <w:t>In qualità di istanza esecutiva competente per il sussidio, l’Ufficio degli anziani e delle cure a domicilio ha esonerato l’Ente dal nominare un consulente indipendente, ammettendo l’autocertificazione di conformità. Tale esonero fa seguito alla valutazione che</w:t>
      </w:r>
      <w:r w:rsidRPr="00794C6C">
        <w:rPr>
          <w:rFonts w:cs="Arial"/>
          <w:szCs w:val="24"/>
          <w:lang w:val="it-IT"/>
        </w:rPr>
        <w:t xml:space="preserve"> </w:t>
      </w:r>
      <w:r w:rsidRPr="00F56231">
        <w:rPr>
          <w:rFonts w:cs="Arial"/>
          <w:szCs w:val="24"/>
          <w:lang w:val="it-IT"/>
        </w:rPr>
        <w:t xml:space="preserve">l’organizzazione di progetto presentata dal committente </w:t>
      </w:r>
      <w:r>
        <w:rPr>
          <w:rFonts w:cs="Arial"/>
          <w:szCs w:val="24"/>
          <w:lang w:val="it-IT"/>
        </w:rPr>
        <w:t>assolve</w:t>
      </w:r>
      <w:r w:rsidRPr="00F56231">
        <w:rPr>
          <w:rFonts w:cs="Arial"/>
          <w:szCs w:val="24"/>
          <w:lang w:val="it-IT"/>
        </w:rPr>
        <w:t xml:space="preserve"> i requisiti </w:t>
      </w:r>
      <w:r>
        <w:rPr>
          <w:rFonts w:cs="Arial"/>
          <w:szCs w:val="24"/>
          <w:lang w:val="it-IT"/>
        </w:rPr>
        <w:t>previsti dalla suddetta legislazione</w:t>
      </w:r>
      <w:r w:rsidRPr="00F56231">
        <w:rPr>
          <w:rFonts w:cs="Arial"/>
          <w:szCs w:val="24"/>
          <w:lang w:val="it-IT"/>
        </w:rPr>
        <w:t>.</w:t>
      </w:r>
    </w:p>
    <w:p w:rsidR="008D7D8E" w:rsidRDefault="008D7D8E" w:rsidP="008D7D8E">
      <w:pPr>
        <w:rPr>
          <w:rFonts w:cs="Arial"/>
          <w:szCs w:val="24"/>
          <w:lang w:val="it-IT"/>
        </w:rPr>
      </w:pPr>
    </w:p>
    <w:p w:rsidR="008D7D8E" w:rsidRDefault="008D7D8E" w:rsidP="008D7D8E">
      <w:pPr>
        <w:rPr>
          <w:rFonts w:cs="Arial"/>
          <w:szCs w:val="24"/>
          <w:lang w:val="it-IT"/>
        </w:rPr>
      </w:pPr>
    </w:p>
    <w:p w:rsidR="002E7652" w:rsidRDefault="002E7652" w:rsidP="008D7D8E">
      <w:pPr>
        <w:rPr>
          <w:rFonts w:cs="Arial"/>
          <w:szCs w:val="24"/>
          <w:lang w:val="it-IT"/>
        </w:rPr>
      </w:pPr>
    </w:p>
    <w:p w:rsidR="008D7D8E" w:rsidRDefault="008D7D8E" w:rsidP="002E7652">
      <w:pPr>
        <w:pStyle w:val="Titolo1"/>
      </w:pPr>
      <w:r w:rsidRPr="00C824DE">
        <w:t>ConclusionI</w:t>
      </w:r>
    </w:p>
    <w:p w:rsidR="008D7D8E" w:rsidRPr="00061796" w:rsidRDefault="008D7D8E" w:rsidP="008D7D8E">
      <w:pPr>
        <w:rPr>
          <w:lang w:val="it-IT" w:eastAsia="it-IT"/>
        </w:rPr>
      </w:pPr>
      <w:r>
        <w:rPr>
          <w:lang w:val="it-IT" w:eastAsia="it-IT"/>
        </w:rPr>
        <w:t>La richiesta di finanziamento è coerente con gli scopi della Lanz ed è perfettamente in linea con la relativa pianificazione settoriale.</w:t>
      </w:r>
    </w:p>
    <w:p w:rsidR="008D7D8E" w:rsidRPr="004B5486" w:rsidRDefault="008D7D8E" w:rsidP="008D7D8E">
      <w:pPr>
        <w:rPr>
          <w:rFonts w:cs="Arial"/>
          <w:szCs w:val="24"/>
          <w:lang w:val="it-IT"/>
        </w:rPr>
      </w:pPr>
    </w:p>
    <w:p w:rsidR="008D7D8E" w:rsidRPr="00C824DE" w:rsidRDefault="008D7D8E" w:rsidP="008D7D8E">
      <w:pPr>
        <w:rPr>
          <w:rFonts w:cs="Arial"/>
          <w:szCs w:val="24"/>
        </w:rPr>
      </w:pPr>
      <w:r w:rsidRPr="00C824DE">
        <w:rPr>
          <w:rFonts w:cs="Arial"/>
          <w:szCs w:val="24"/>
        </w:rPr>
        <w:t xml:space="preserve">Alla luce degli approfondimenti esperiti, la Commissione </w:t>
      </w:r>
      <w:r w:rsidR="002E7652">
        <w:rPr>
          <w:rFonts w:cs="Arial"/>
          <w:szCs w:val="24"/>
        </w:rPr>
        <w:t xml:space="preserve">gestione e finanze </w:t>
      </w:r>
      <w:r w:rsidRPr="00C824DE">
        <w:rPr>
          <w:rFonts w:cs="Arial"/>
          <w:szCs w:val="24"/>
        </w:rPr>
        <w:t xml:space="preserve">si dichiara favorevole al Messaggio e propone al Gran Consiglio di approvare il Decreto legislativo a esso allegato. </w:t>
      </w:r>
    </w:p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Pr="002E7652">
        <w:rPr>
          <w:rFonts w:cs="Arial"/>
          <w:color w:val="002060"/>
          <w:szCs w:val="24"/>
        </w:rPr>
        <w:t>gestione e finanze:</w:t>
      </w:r>
    </w:p>
    <w:p w:rsidR="00B860C2" w:rsidRPr="00076E70" w:rsidRDefault="002E7652" w:rsidP="00B860C2">
      <w:pPr>
        <w:rPr>
          <w:rFonts w:cs="Arial"/>
          <w:szCs w:val="24"/>
        </w:rPr>
      </w:pPr>
      <w:r>
        <w:rPr>
          <w:rFonts w:cs="Arial"/>
          <w:szCs w:val="24"/>
        </w:rPr>
        <w:t>Fiorenzo Dadò</w:t>
      </w:r>
      <w:r w:rsidR="00B860C2" w:rsidRPr="00076E70">
        <w:rPr>
          <w:rFonts w:cs="Arial"/>
          <w:szCs w:val="24"/>
        </w:rPr>
        <w:t>, relatore</w:t>
      </w:r>
    </w:p>
    <w:p w:rsidR="002E7652" w:rsidRDefault="002E7652" w:rsidP="002E7652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Agustoni - Bang - Bignasca - Bourgoin - </w:t>
      </w:r>
    </w:p>
    <w:p w:rsidR="002E7652" w:rsidRDefault="002E7652" w:rsidP="002E7652">
      <w:pPr>
        <w:rPr>
          <w:rFonts w:cs="Arial"/>
        </w:rPr>
      </w:pPr>
      <w:r>
        <w:rPr>
          <w:rFonts w:cs="Arial"/>
        </w:rPr>
        <w:t xml:space="preserve">Caprara - Durisch - Ferrara - Foletti - </w:t>
      </w:r>
    </w:p>
    <w:p w:rsidR="002E7652" w:rsidRDefault="002E7652" w:rsidP="002E7652">
      <w:pPr>
        <w:rPr>
          <w:rFonts w:cs="Arial"/>
        </w:rPr>
      </w:pPr>
      <w:r>
        <w:rPr>
          <w:rFonts w:cs="Arial"/>
        </w:rPr>
        <w:t xml:space="preserve">Gianella Alessandra - Guerra - Jelmini - </w:t>
      </w:r>
    </w:p>
    <w:p w:rsidR="002E7652" w:rsidRDefault="002E7652" w:rsidP="002E7652">
      <w:pPr>
        <w:rPr>
          <w:rFonts w:cs="Arial"/>
        </w:rPr>
      </w:pPr>
      <w:r>
        <w:rPr>
          <w:rFonts w:cs="Arial"/>
        </w:rPr>
        <w:t>Pamini - Pini - Quadranti</w:t>
      </w:r>
    </w:p>
    <w:bookmarkEnd w:id="2"/>
    <w:bookmarkEnd w:id="3"/>
    <w:p w:rsidR="00B860C2" w:rsidRDefault="00B860C2" w:rsidP="00B860C2">
      <w:pPr>
        <w:tabs>
          <w:tab w:val="left" w:pos="284"/>
        </w:tabs>
      </w:pPr>
    </w:p>
    <w:sectPr w:rsidR="00B860C2" w:rsidSect="008634E0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8634E0" w:rsidRPr="008634E0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CF9647A4"/>
    <w:lvl w:ilvl="0" w:tplc="AE1CD39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1522"/>
    <w:multiLevelType w:val="hybridMultilevel"/>
    <w:tmpl w:val="3028C4C4"/>
    <w:lvl w:ilvl="0" w:tplc="8FBA586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2E7652"/>
    <w:rsid w:val="0052425A"/>
    <w:rsid w:val="00586A8D"/>
    <w:rsid w:val="00673B33"/>
    <w:rsid w:val="006C17AA"/>
    <w:rsid w:val="006D7A3B"/>
    <w:rsid w:val="006E4AE2"/>
    <w:rsid w:val="007352D3"/>
    <w:rsid w:val="007B5462"/>
    <w:rsid w:val="008034BD"/>
    <w:rsid w:val="008634E0"/>
    <w:rsid w:val="00876352"/>
    <w:rsid w:val="008B2655"/>
    <w:rsid w:val="008B4137"/>
    <w:rsid w:val="008C767A"/>
    <w:rsid w:val="008D7D8E"/>
    <w:rsid w:val="008E77C6"/>
    <w:rsid w:val="009770BB"/>
    <w:rsid w:val="009E008D"/>
    <w:rsid w:val="00A5465F"/>
    <w:rsid w:val="00A77678"/>
    <w:rsid w:val="00B860C2"/>
    <w:rsid w:val="00BC4C95"/>
    <w:rsid w:val="00BD5944"/>
    <w:rsid w:val="00CF6858"/>
    <w:rsid w:val="00D377B5"/>
    <w:rsid w:val="00D935D0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2A190D8"/>
  <w15:docId w15:val="{E9D2121C-5515-4CB5-A6CA-F097BA71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2E7652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2E7652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rsid w:val="008D7D8E"/>
    <w:pPr>
      <w:jc w:val="left"/>
    </w:pPr>
    <w:rPr>
      <w:rFonts w:eastAsia="Times New Roman" w:cs="Times New Roman"/>
      <w:i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E350-C194-4DFA-A079-4BFAE79C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2020-11-04T09:01:00Z</cp:lastPrinted>
  <dcterms:created xsi:type="dcterms:W3CDTF">2020-11-04T09:02:00Z</dcterms:created>
  <dcterms:modified xsi:type="dcterms:W3CDTF">2020-11-04T09:02:00Z</dcterms:modified>
</cp:coreProperties>
</file>