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AF4187" w:rsidP="00B860C2">
      <w:pPr>
        <w:rPr>
          <w:rFonts w:cs="Arial"/>
          <w:sz w:val="20"/>
          <w:szCs w:val="20"/>
        </w:rPr>
      </w:pPr>
      <w:r w:rsidRPr="00096ED2">
        <w:rPr>
          <w:rFonts w:ascii="Gill Sans MT" w:hAnsi="Gill Sans MT" w:cs="Arial"/>
          <w:b/>
          <w:sz w:val="56"/>
          <w:szCs w:val="56"/>
        </w:rPr>
        <w:t>Rapporto</w:t>
      </w:r>
    </w:p>
    <w:p w:rsidR="00B860C2" w:rsidRPr="00AF4187" w:rsidRDefault="00B860C2" w:rsidP="00B860C2">
      <w:pPr>
        <w:rPr>
          <w:sz w:val="20"/>
          <w:szCs w:val="20"/>
        </w:rPr>
      </w:pP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Default="007C282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7821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12 gennaio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Pr="007C2822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Pr="007C2822">
        <w:rPr>
          <w:rFonts w:cs="Arial"/>
          <w:b/>
          <w:sz w:val="28"/>
          <w:szCs w:val="28"/>
        </w:rPr>
        <w:t>gestione e finanze</w:t>
      </w:r>
    </w:p>
    <w:p w:rsidR="00B860C2" w:rsidRPr="007C2822" w:rsidRDefault="00B860C2" w:rsidP="00B860C2">
      <w:pPr>
        <w:rPr>
          <w:rFonts w:cs="Arial"/>
          <w:b/>
          <w:sz w:val="28"/>
          <w:szCs w:val="28"/>
        </w:rPr>
      </w:pPr>
      <w:r w:rsidRPr="007C2822">
        <w:rPr>
          <w:rFonts w:cs="Arial"/>
          <w:b/>
          <w:sz w:val="28"/>
          <w:szCs w:val="28"/>
        </w:rPr>
        <w:t xml:space="preserve">sul messaggio </w:t>
      </w:r>
      <w:r w:rsidR="007C2822" w:rsidRPr="007C2822">
        <w:rPr>
          <w:rFonts w:cs="Arial"/>
          <w:b/>
          <w:sz w:val="28"/>
          <w:szCs w:val="28"/>
        </w:rPr>
        <w:t xml:space="preserve">3 giugno 2020 concernente la </w:t>
      </w:r>
      <w:r w:rsidR="007C2822">
        <w:rPr>
          <w:rFonts w:cs="Arial"/>
          <w:b/>
          <w:sz w:val="28"/>
          <w:szCs w:val="28"/>
        </w:rPr>
        <w:t>c</w:t>
      </w:r>
      <w:r w:rsidR="007C2822" w:rsidRPr="00E15B02">
        <w:rPr>
          <w:rFonts w:cs="Arial"/>
          <w:b/>
          <w:bCs/>
          <w:sz w:val="28"/>
          <w:szCs w:val="28"/>
          <w:lang w:eastAsia="it-CH"/>
        </w:rPr>
        <w:t>oncessione di un credito di CHF 100 milioni destinato a interventi di manutenzione programmata finalizzati al risanamento energetico, all’adeguamento alle normative vigenti e alla conservazione di diversi</w:t>
      </w:r>
      <w:r w:rsidR="007C2822" w:rsidRPr="00832ED3">
        <w:rPr>
          <w:rFonts w:cs="Arial"/>
          <w:b/>
          <w:bCs/>
          <w:sz w:val="28"/>
          <w:szCs w:val="28"/>
          <w:lang w:eastAsia="it-CH"/>
        </w:rPr>
        <w:t xml:space="preserve"> edifici di proprietà dello Stato relativo al periodo 2020-2027</w:t>
      </w:r>
    </w:p>
    <w:p w:rsidR="00B860C2" w:rsidRPr="00AF4187" w:rsidRDefault="00B860C2" w:rsidP="00B860C2">
      <w:pPr>
        <w:rPr>
          <w:rFonts w:cs="Arial"/>
          <w:sz w:val="20"/>
          <w:szCs w:val="20"/>
        </w:rPr>
      </w:pPr>
      <w:bookmarkStart w:id="0" w:name="_GoBack"/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B860C2" w:rsidRPr="00AF4187" w:rsidRDefault="00B860C2" w:rsidP="00B860C2">
      <w:pPr>
        <w:rPr>
          <w:rFonts w:cs="Arial"/>
          <w:sz w:val="20"/>
          <w:szCs w:val="20"/>
        </w:rPr>
      </w:pPr>
    </w:p>
    <w:p w:rsidR="0039770F" w:rsidRPr="00EE5DBC" w:rsidRDefault="0039770F" w:rsidP="007C2822">
      <w:pPr>
        <w:pStyle w:val="Titolo1"/>
      </w:pPr>
      <w:bookmarkStart w:id="1" w:name="_Toc532286235"/>
      <w:bookmarkEnd w:id="0"/>
      <w:r w:rsidRPr="00EE5DBC">
        <w:t>Considerazione generali</w:t>
      </w:r>
    </w:p>
    <w:p w:rsidR="0039770F" w:rsidRDefault="0039770F" w:rsidP="0039770F">
      <w:pPr>
        <w:rPr>
          <w:color w:val="000000" w:themeColor="text1"/>
        </w:rPr>
      </w:pPr>
      <w:r>
        <w:rPr>
          <w:color w:val="000000" w:themeColor="text1"/>
        </w:rPr>
        <w:t>La manutenzione programmata e straordinaria degli stabili del Cantone è stata oggetto di alcuni messaggi che vale la pena ricordare:</w:t>
      </w:r>
    </w:p>
    <w:p w:rsidR="0039770F" w:rsidRPr="004B5FBC" w:rsidRDefault="0039770F" w:rsidP="0039770F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  <w:lang w:eastAsia="it-CH"/>
        </w:rPr>
      </w:pPr>
      <w:r w:rsidRPr="004B5FBC">
        <w:rPr>
          <w:rFonts w:cs="Arial"/>
          <w:szCs w:val="24"/>
          <w:lang w:eastAsia="it-CH"/>
        </w:rPr>
        <w:t>con il Messaggio n. 5976 del 10 ottobre 2007 sono stati concessi CHF 38'000'000.- destinati a interventi di manutenzione programmata presso diversi edifici di proprietà dello Stato (stabili);</w:t>
      </w:r>
    </w:p>
    <w:p w:rsidR="0039770F" w:rsidRPr="004B5FBC" w:rsidRDefault="0039770F" w:rsidP="0039770F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  <w:lang w:eastAsia="it-CH"/>
        </w:rPr>
      </w:pPr>
      <w:r w:rsidRPr="004B5FBC">
        <w:rPr>
          <w:rFonts w:cs="Arial"/>
          <w:szCs w:val="24"/>
          <w:lang w:eastAsia="it-CH"/>
        </w:rPr>
        <w:t>con il Messaggio n. 6757 del 5 marzo 2013 è stata approvata la concessione, per il periodo 2013-2019, di un credito quadro per un importo di CHF 50'000'000.- destinato a interventi di manutenzione programmata finalizzati al risanamento energetico e all’adeguamento alle normative vigenti di diversi edifici di proprietà dello Stato;</w:t>
      </w:r>
    </w:p>
    <w:p w:rsidR="0039770F" w:rsidRPr="004B5FBC" w:rsidRDefault="0039770F" w:rsidP="0039770F">
      <w:pPr>
        <w:pStyle w:val="Paragrafoelenco"/>
        <w:numPr>
          <w:ilvl w:val="0"/>
          <w:numId w:val="12"/>
        </w:numPr>
        <w:spacing w:before="80"/>
        <w:ind w:left="284" w:hanging="284"/>
        <w:rPr>
          <w:rFonts w:cs="Arial"/>
          <w:szCs w:val="24"/>
          <w:lang w:eastAsia="it-CH"/>
        </w:rPr>
      </w:pPr>
      <w:r w:rsidRPr="004B5FBC">
        <w:rPr>
          <w:rFonts w:cs="Arial"/>
          <w:szCs w:val="24"/>
          <w:lang w:eastAsia="it-CH"/>
        </w:rPr>
        <w:t>con il Messaggio n. 7515 del 28 marzo 2018 è stata approvata la concessione di un credito aggiuntivo di CHF 14’500'000.- al credito quadro di CHF 50'000'000.- destinato a interventi di manutenzione programmata finalizzati al risanamento energetico e all’adeguamento alle normative vigenti di diversi edifici di proprietà dello Stato relativo al periodo 2013-2019.</w:t>
      </w:r>
    </w:p>
    <w:p w:rsidR="0039770F" w:rsidRDefault="0039770F" w:rsidP="0039770F">
      <w:pPr>
        <w:rPr>
          <w:color w:val="000000" w:themeColor="text1"/>
        </w:rPr>
      </w:pPr>
    </w:p>
    <w:p w:rsidR="0039770F" w:rsidRDefault="0039770F" w:rsidP="0039770F">
      <w:pPr>
        <w:rPr>
          <w:color w:val="000000" w:themeColor="text1"/>
        </w:rPr>
      </w:pPr>
      <w:r>
        <w:rPr>
          <w:color w:val="000000" w:themeColor="text1"/>
        </w:rPr>
        <w:t xml:space="preserve">Con questi messaggi, il Consiglio di Stato ha espresso la necessità, condivisa dal Parlamento, di assicurare un’adeguata manutenzione del patrimonio immobiliare dello Stato, ciò che non è una novità. Il Consiglio di Stato rispondeva il 22 giugno 2004 a un’interrogazione e affermava (rapporto al messaggio </w:t>
      </w:r>
      <w:r w:rsidRPr="00896E66">
        <w:rPr>
          <w:color w:val="000000" w:themeColor="text1"/>
        </w:rPr>
        <w:t xml:space="preserve">5976 </w:t>
      </w:r>
      <w:r>
        <w:rPr>
          <w:color w:val="000000" w:themeColor="text1"/>
        </w:rPr>
        <w:t xml:space="preserve">del </w:t>
      </w:r>
      <w:r w:rsidRPr="00896E66">
        <w:rPr>
          <w:color w:val="000000" w:themeColor="text1"/>
        </w:rPr>
        <w:t>13 novembre 2007</w:t>
      </w:r>
      <w:r>
        <w:rPr>
          <w:color w:val="000000" w:themeColor="text1"/>
        </w:rPr>
        <w:t>): “</w:t>
      </w:r>
      <w:r w:rsidRPr="0068747E">
        <w:rPr>
          <w:rFonts w:cs="Arial"/>
          <w:i/>
          <w:sz w:val="22"/>
        </w:rPr>
        <w:t xml:space="preserve">Per i soli interventi di manutenzione si dovrebbero prevedere risorse finanziarie pari all'1.5-2% del valore degli edifici. Questo significa che </w:t>
      </w:r>
      <w:r w:rsidRPr="00817950">
        <w:rPr>
          <w:rFonts w:cs="Arial"/>
          <w:b/>
          <w:i/>
          <w:sz w:val="22"/>
        </w:rPr>
        <w:t>per la gestione dei propri edifici lo Stato necessiterebbe annualmente di almeno 30-40'000'000.-</w:t>
      </w:r>
      <w:r w:rsidRPr="0068747E">
        <w:rPr>
          <w:rFonts w:cs="Arial"/>
          <w:i/>
          <w:sz w:val="22"/>
        </w:rPr>
        <w:t>.</w:t>
      </w:r>
      <w:r>
        <w:rPr>
          <w:rFonts w:cs="Arial"/>
          <w:i/>
          <w:sz w:val="22"/>
        </w:rPr>
        <w:t>”</w:t>
      </w:r>
    </w:p>
    <w:p w:rsidR="0039770F" w:rsidRDefault="0039770F" w:rsidP="0039770F">
      <w:pPr>
        <w:rPr>
          <w:color w:val="000000" w:themeColor="text1"/>
        </w:rPr>
      </w:pPr>
    </w:p>
    <w:p w:rsidR="0039770F" w:rsidRDefault="0039770F" w:rsidP="007C2822">
      <w:r>
        <w:rPr>
          <w:color w:val="000000" w:themeColor="text1"/>
        </w:rPr>
        <w:t xml:space="preserve">La stessa preoccupazione è condivisa nell’auspicio formulato dalla Commissione delle finanze e della gestione nel rapporto </w:t>
      </w:r>
      <w:r w:rsidRPr="004D6060">
        <w:rPr>
          <w:color w:val="000000" w:themeColor="text1"/>
        </w:rPr>
        <w:t>del 28 maggio 2013</w:t>
      </w:r>
      <w:r>
        <w:rPr>
          <w:color w:val="000000" w:themeColor="text1"/>
        </w:rPr>
        <w:t xml:space="preserve"> al citato messaggio </w:t>
      </w:r>
      <w:r w:rsidRPr="004D6060">
        <w:rPr>
          <w:color w:val="000000" w:themeColor="text1"/>
        </w:rPr>
        <w:t xml:space="preserve">6757 </w:t>
      </w:r>
      <w:r>
        <w:rPr>
          <w:color w:val="000000" w:themeColor="text1"/>
        </w:rPr>
        <w:t>che proponeva per il periodo 2013-2019 un credito quadro per la manutenzione programmata di 50 mio di franchi</w:t>
      </w:r>
      <w:r w:rsidRPr="004D6060">
        <w:rPr>
          <w:color w:val="000000" w:themeColor="text1"/>
        </w:rPr>
        <w:t>: “Considerato</w:t>
      </w:r>
      <w:r w:rsidRPr="004D6060">
        <w:rPr>
          <w:i/>
        </w:rPr>
        <w:t xml:space="preserve"> lo stato del patrimonio immobiliare del Cantone, la Commissione invita il Consiglio di Stato a voler proporre in futuro l'importo totale complessivo del fabbisogno finanziario valutato per i relativi interventi di manutenzione – importo che, per quanto concerne il presente messaggio, ammonterebbe a quasi 69 milioni di franchi –, ciò allo scopo di evitare il rischio di cumulare un debito occulto in tale ambito.</w:t>
      </w:r>
      <w:r>
        <w:rPr>
          <w:i/>
        </w:rPr>
        <w:t>”</w:t>
      </w:r>
      <w:r>
        <w:br w:type="page"/>
      </w:r>
    </w:p>
    <w:p w:rsidR="0039770F" w:rsidRPr="004B5FBC" w:rsidRDefault="0039770F" w:rsidP="0039770F">
      <w:r w:rsidRPr="004B5FBC">
        <w:lastRenderedPageBreak/>
        <w:t>Nel C2019 per la Sezione della Logistica si leggono le seguenti voci di spesa (</w:t>
      </w:r>
      <w:r w:rsidRPr="004B5FBC">
        <w:rPr>
          <w:rFonts w:cs="Arial"/>
        </w:rPr>
        <w:t>Rendiconto del CdS allegato statistico a pag. 209):</w:t>
      </w:r>
    </w:p>
    <w:p w:rsidR="0039770F" w:rsidRPr="004B5FBC" w:rsidRDefault="0039770F" w:rsidP="007C2822">
      <w:pPr>
        <w:pStyle w:val="Paragrafoelenco"/>
        <w:numPr>
          <w:ilvl w:val="0"/>
          <w:numId w:val="14"/>
        </w:numPr>
        <w:spacing w:before="60"/>
        <w:ind w:left="425" w:hanging="425"/>
        <w:rPr>
          <w:rFonts w:cs="Arial"/>
        </w:rPr>
      </w:pPr>
      <w:r w:rsidRPr="004B5FBC">
        <w:rPr>
          <w:rFonts w:cs="Arial"/>
        </w:rPr>
        <w:t>Manutenzione crb 942</w:t>
      </w:r>
    </w:p>
    <w:p w:rsidR="0039770F" w:rsidRPr="004B5FBC" w:rsidRDefault="0039770F" w:rsidP="0039770F">
      <w:pPr>
        <w:tabs>
          <w:tab w:val="left" w:pos="426"/>
          <w:tab w:val="left" w:pos="7088"/>
        </w:tabs>
        <w:rPr>
          <w:rFonts w:cs="Arial"/>
        </w:rPr>
      </w:pPr>
      <w:r w:rsidRPr="004B5FBC">
        <w:rPr>
          <w:rFonts w:cs="Arial"/>
        </w:rPr>
        <w:tab/>
        <w:t xml:space="preserve">Manutenzione stabili spese correnti </w:t>
      </w:r>
      <w:r w:rsidRPr="004B5FBC">
        <w:rPr>
          <w:rFonts w:cs="Arial"/>
        </w:rPr>
        <w:tab/>
        <w:t>CHF 14'539'143.-</w:t>
      </w:r>
    </w:p>
    <w:p w:rsidR="0039770F" w:rsidRPr="004B5FBC" w:rsidRDefault="0039770F" w:rsidP="007C2822">
      <w:pPr>
        <w:pStyle w:val="Paragrafoelenco"/>
        <w:numPr>
          <w:ilvl w:val="0"/>
          <w:numId w:val="14"/>
        </w:numPr>
        <w:tabs>
          <w:tab w:val="left" w:pos="7088"/>
        </w:tabs>
        <w:spacing w:before="60"/>
        <w:ind w:left="425" w:hanging="425"/>
        <w:rPr>
          <w:rFonts w:cs="Arial"/>
        </w:rPr>
      </w:pPr>
      <w:r w:rsidRPr="004B5FBC">
        <w:rPr>
          <w:rFonts w:cs="Arial"/>
        </w:rPr>
        <w:t xml:space="preserve">Credito Quadro e Interventi di manutenzione programmata </w:t>
      </w:r>
      <w:r w:rsidRPr="004B5FBC">
        <w:rPr>
          <w:rFonts w:cs="Arial"/>
        </w:rPr>
        <w:tab/>
        <w:t>CHF   8'806'079.-</w:t>
      </w:r>
    </w:p>
    <w:p w:rsidR="0039770F" w:rsidRPr="007C2822" w:rsidRDefault="0039770F" w:rsidP="0039770F">
      <w:pPr>
        <w:tabs>
          <w:tab w:val="left" w:pos="7088"/>
        </w:tabs>
        <w:rPr>
          <w:rFonts w:cs="Arial"/>
          <w:sz w:val="10"/>
          <w:szCs w:val="10"/>
        </w:rPr>
      </w:pPr>
    </w:p>
    <w:p w:rsidR="0039770F" w:rsidRPr="004B5FBC" w:rsidRDefault="0039770F" w:rsidP="0039770F">
      <w:pPr>
        <w:tabs>
          <w:tab w:val="left" w:pos="7088"/>
        </w:tabs>
        <w:rPr>
          <w:rFonts w:cs="Arial"/>
          <w:b/>
        </w:rPr>
      </w:pPr>
      <w:r w:rsidRPr="004B5FBC">
        <w:rPr>
          <w:rFonts w:cs="Arial"/>
          <w:b/>
        </w:rPr>
        <w:t xml:space="preserve">Totale </w:t>
      </w:r>
      <w:r w:rsidRPr="004B5FBC">
        <w:rPr>
          <w:rFonts w:cs="Arial"/>
          <w:b/>
        </w:rPr>
        <w:tab/>
        <w:t>CHF 23'345'222.-</w:t>
      </w:r>
    </w:p>
    <w:p w:rsidR="0039770F" w:rsidRDefault="0039770F" w:rsidP="0039770F">
      <w:pPr>
        <w:rPr>
          <w:highlight w:val="lightGray"/>
        </w:rPr>
      </w:pPr>
    </w:p>
    <w:p w:rsidR="0039770F" w:rsidRDefault="0039770F" w:rsidP="0039770F">
      <w:r w:rsidRPr="004B5FBC">
        <w:t xml:space="preserve">Come detto </w:t>
      </w:r>
      <w:r>
        <w:t xml:space="preserve">sopra, </w:t>
      </w:r>
      <w:r w:rsidRPr="004B5FBC">
        <w:t>in considerazione di un patrimonio immobiliare stimato ad oltre 2,2 miliardi di franchi</w:t>
      </w:r>
      <w:r>
        <w:t>, siamo dunque distanti dall’importo auspicato che dovrebbe situarsi tra i 30 e i 40 mio annui per assicurare il mantenimento del valore degli stabili cantonali.</w:t>
      </w:r>
    </w:p>
    <w:p w:rsidR="0039770F" w:rsidRDefault="0039770F" w:rsidP="0039770F">
      <w:r>
        <w:t>Si tratta di una lacuna che perdura da più anni considerando che dal 2015 l’importo complessivo destinato alla manutenzione si è sempre situato tra i 20 e i 25 mio e questo significa aver accumulato un ritardo importante che coincide con un debito occulto con cui confrontarsi al più presto.</w:t>
      </w:r>
    </w:p>
    <w:p w:rsidR="0039770F" w:rsidRDefault="0039770F" w:rsidP="0039770F"/>
    <w:p w:rsidR="0039770F" w:rsidRDefault="0039770F" w:rsidP="0039770F">
      <w:r w:rsidRPr="00743F1F">
        <w:t>Il messaggio in oggetto propone un importo di 100 mio per</w:t>
      </w:r>
      <w:r>
        <w:t xml:space="preserve"> </w:t>
      </w:r>
      <w:r w:rsidRPr="00743F1F">
        <w:t>il periodo 2020 – 2027 ciò che corri</w:t>
      </w:r>
      <w:r>
        <w:t>s</w:t>
      </w:r>
      <w:r w:rsidRPr="00743F1F">
        <w:t>ponde a 14,2 mio annui</w:t>
      </w:r>
      <w:r>
        <w:t xml:space="preserve">. Rispetto a quanto speso nel 2019 alla voce CQ rappresenta sicuramente un incremento significativo (aumento del 62%) ma pur considerando gli oltre 14 mio annui di manutenzione corrente, come a Consuntivo 2019, non siamo ancora nel range auspicato. </w:t>
      </w:r>
    </w:p>
    <w:p w:rsidR="0039770F" w:rsidRDefault="0039770F" w:rsidP="0039770F">
      <w:r>
        <w:t xml:space="preserve">La questione andrebbe comunque incrociata e approfondita considerando gli oltre 40 mio alla voce “uscite per investimenti” (pag 329, T941.59, lucido del C2019) di cui 9,7 mio quale interventi in stabili esistenti. </w:t>
      </w:r>
    </w:p>
    <w:p w:rsidR="0039770F" w:rsidRDefault="0039770F" w:rsidP="0039770F"/>
    <w:p w:rsidR="0039770F" w:rsidRDefault="0039770F" w:rsidP="0039770F">
      <w:r>
        <w:t xml:space="preserve">L’incremento della manutenzione va pure salutata positivamente considerando il periodo congiunturale difficile considerando la fase pandemica nella quale ci troviamo e che richiederà non poca fatica per essere superata. Nello specifico partiamo dal presupposto che la manutenzione pianificata è caratterizzata da numerosi interventi comunque piuttosto limitati che si auspica saranno attribuiti a ditte locali. </w:t>
      </w:r>
    </w:p>
    <w:p w:rsidR="0039770F" w:rsidRDefault="0039770F" w:rsidP="0039770F"/>
    <w:p w:rsidR="0039770F" w:rsidRDefault="0039770F" w:rsidP="0039770F"/>
    <w:p w:rsidR="0039770F" w:rsidRDefault="0039770F" w:rsidP="007C2822">
      <w:pPr>
        <w:pStyle w:val="Titolo1"/>
      </w:pPr>
      <w:r>
        <w:t xml:space="preserve">Approfondimenti commissionali </w:t>
      </w:r>
    </w:p>
    <w:p w:rsidR="0039770F" w:rsidRPr="007C2822" w:rsidRDefault="007C2822" w:rsidP="007C2822">
      <w:pPr>
        <w:pStyle w:val="Titolo2"/>
      </w:pPr>
      <w:r>
        <w:t>2.1</w:t>
      </w:r>
      <w:r>
        <w:tab/>
      </w:r>
      <w:r w:rsidR="0039770F" w:rsidRPr="007C2822">
        <w:t>Lo strumento del CQ</w:t>
      </w:r>
    </w:p>
    <w:p w:rsidR="0039770F" w:rsidRPr="006A2971" w:rsidRDefault="0039770F" w:rsidP="0039770F">
      <w:pPr>
        <w:rPr>
          <w:rFonts w:cs="Arial"/>
        </w:rPr>
      </w:pPr>
      <w:r w:rsidRPr="006A2971">
        <w:rPr>
          <w:rFonts w:cs="Arial"/>
        </w:rPr>
        <w:t>Lo strumento del credito quadro si è rivelato molto utile e efficace per la manutenzione degli stabili cantonali così come si è rivelato di grande aiuto anche in altri settori come ad esempio per la manutenzione delle strade cantonali. In particolare lo strumento consente una certa flessibilità nel ponderare e nel programmare gli interventi permettendo di rispondere anche a urgenze e imprevisti sempre in agguato quando si ha a che fare con un patrimonio immobiliare di queste dimensioni.</w:t>
      </w:r>
    </w:p>
    <w:p w:rsidR="0039770F" w:rsidRPr="006A2971" w:rsidRDefault="0039770F" w:rsidP="0039770F">
      <w:pPr>
        <w:tabs>
          <w:tab w:val="left" w:pos="360"/>
        </w:tabs>
        <w:rPr>
          <w:rFonts w:cs="Arial"/>
          <w:szCs w:val="24"/>
        </w:rPr>
      </w:pPr>
      <w:r w:rsidRPr="006A2971">
        <w:rPr>
          <w:rFonts w:cs="Arial"/>
          <w:szCs w:val="24"/>
        </w:rPr>
        <w:t xml:space="preserve">Proprio a sottolineare questo aspetto il Messaggio illustra nel dettaglio </w:t>
      </w:r>
      <w:r>
        <w:rPr>
          <w:rFonts w:cs="Arial"/>
          <w:szCs w:val="24"/>
        </w:rPr>
        <w:t xml:space="preserve">e con grande trasparenza </w:t>
      </w:r>
      <w:r w:rsidRPr="006A2971">
        <w:rPr>
          <w:rFonts w:cs="Arial"/>
          <w:szCs w:val="24"/>
        </w:rPr>
        <w:t>gli interventi originariamente non previsti ma che si sono rivelati indispensabili a fronte di imprevisti e problematiche riscontrate nel corso degli anni.</w:t>
      </w:r>
    </w:p>
    <w:p w:rsidR="0039770F" w:rsidRPr="006A2971" w:rsidRDefault="0039770F" w:rsidP="0039770F">
      <w:pPr>
        <w:rPr>
          <w:rFonts w:cs="Arial"/>
        </w:rPr>
      </w:pPr>
    </w:p>
    <w:p w:rsidR="0039770F" w:rsidRPr="006D3F5A" w:rsidRDefault="0039770F" w:rsidP="0039770F">
      <w:pPr>
        <w:rPr>
          <w:rFonts w:cs="Arial"/>
        </w:rPr>
      </w:pPr>
    </w:p>
    <w:p w:rsidR="0039770F" w:rsidRPr="007C2822" w:rsidRDefault="007C2822" w:rsidP="007C2822">
      <w:pPr>
        <w:pStyle w:val="Titolo2"/>
      </w:pPr>
      <w:r>
        <w:t>2.2</w:t>
      </w:r>
      <w:r>
        <w:tab/>
      </w:r>
      <w:r w:rsidR="0039770F" w:rsidRPr="007C2822">
        <w:t>Strategia logistica dell’amministrazione cantonale</w:t>
      </w:r>
    </w:p>
    <w:p w:rsidR="0039770F" w:rsidRPr="006D3F5A" w:rsidRDefault="0039770F" w:rsidP="0039770F">
      <w:pPr>
        <w:rPr>
          <w:rFonts w:cs="Arial"/>
        </w:rPr>
      </w:pPr>
      <w:r w:rsidRPr="006D3F5A">
        <w:rPr>
          <w:rFonts w:cs="Arial"/>
        </w:rPr>
        <w:t>L’impostazione strategica della logistica dell’amministrazione cantonale richiede un fine lavoro di coordinamento e di concertazione tra i dipartimenti. Un processo di valutazione coordinato dalla Sezione della Logistica dapprima bilateralmente con i singoli dipartimenti e semmai sviluppato in progetti sinergici laddove se ne intravvede la possibilità e l’opportunità.</w:t>
      </w:r>
    </w:p>
    <w:p w:rsidR="0039770F" w:rsidRPr="006D3F5A" w:rsidRDefault="0039770F" w:rsidP="0039770F">
      <w:pPr>
        <w:rPr>
          <w:rFonts w:cs="Arial"/>
        </w:rPr>
      </w:pPr>
      <w:r w:rsidRPr="006D3F5A">
        <w:rPr>
          <w:rFonts w:cs="Arial"/>
        </w:rPr>
        <w:lastRenderedPageBreak/>
        <w:t>Richiede soprattutto ai singoli dipartimenti una riflessione approfondita rispetto alle necessità logistiche dei propri servizi. A tal scopo ricordiamo l’esistenza di specifici masterplan come nel caso della Polizia e della Scuola.</w:t>
      </w:r>
    </w:p>
    <w:p w:rsidR="0039770F" w:rsidRPr="006D3F5A" w:rsidRDefault="0039770F" w:rsidP="0039770F">
      <w:pPr>
        <w:rPr>
          <w:rFonts w:cs="Arial"/>
        </w:rPr>
      </w:pPr>
      <w:r w:rsidRPr="006D3F5A">
        <w:rPr>
          <w:rFonts w:cs="Arial"/>
        </w:rPr>
        <w:t xml:space="preserve">Per gli enti para-pubblici esiste invece un’autonomia per l’Ente ospedaliero cantonale così come per l’USI e la SUPSI nel definire l’impostazione logistica delle rispettive attività. Tuttavia il Parlamento in questi ambiti viene confrontato con richieste di credito al momento di definire determinati investimenti come è stato il caso per il campus universitario di Viganello o per la nuova sede della SUPSI di Mendrisio (vedi ad esempio Mess 6957 del 01.luglio 2014, </w:t>
      </w:r>
      <w:r w:rsidRPr="006D3F5A">
        <w:rPr>
          <w:rFonts w:cs="Arial"/>
          <w:i/>
        </w:rPr>
        <w:t>Richiesta di un contributo massimo d’investimento di 53.2 milioni di franchi e lo stanziamento di un prestito cantonale per la costruzione dei campus dell’Università della Svizzera italiana (USI) e della Scuola universitaria professionale della Svizzera italiana (SUPSI) e per l’acquisto del terreno necessario alla costruzione del Campus di Lugano FFS).</w:t>
      </w:r>
    </w:p>
    <w:p w:rsidR="0039770F" w:rsidRPr="006D3F5A" w:rsidRDefault="0039770F" w:rsidP="0039770F">
      <w:pPr>
        <w:rPr>
          <w:rFonts w:cs="Arial"/>
        </w:rPr>
      </w:pPr>
    </w:p>
    <w:p w:rsidR="0039770F" w:rsidRDefault="0039770F" w:rsidP="0039770F">
      <w:pPr>
        <w:rPr>
          <w:rFonts w:cs="Arial"/>
        </w:rPr>
      </w:pPr>
      <w:r w:rsidRPr="006D3F5A">
        <w:rPr>
          <w:rFonts w:cs="Arial"/>
        </w:rPr>
        <w:t xml:space="preserve">Non può mancare una riflessione </w:t>
      </w:r>
      <w:r>
        <w:rPr>
          <w:rFonts w:cs="Arial"/>
        </w:rPr>
        <w:t>generale rispetto a nuovi modelli di lavoro stimolata anche dall’attuale situazione pandemica che ha accelerato l’importanza di pensare a uno sviluppo dell’home office e, in senso generale, dello smart working.</w:t>
      </w:r>
    </w:p>
    <w:p w:rsidR="0039770F" w:rsidRDefault="0039770F" w:rsidP="0039770F">
      <w:pPr>
        <w:rPr>
          <w:rFonts w:cs="Arial"/>
        </w:rPr>
      </w:pPr>
      <w:r>
        <w:rPr>
          <w:rFonts w:cs="Arial"/>
        </w:rPr>
        <w:t>Infatti si tratta soprattutto, e in particolare, non tanto di portare il lavoro d’ufficio a casa, materialmente non sempre possibile, ma di ripensare i processi produttivi secondo una logica digitale. Non è ovviamente un cambiamento che si può impostare dall’oggi al domani e che può essere improvvisato richiedendo lo studio approfondito dei singoli processi produttivi e la reale fattibilità di una loro digitalizzazione e delocalizzazione (secondo il principio che il lavoro può essere condotto dove e quando serve e non forzatamente solo in ufficio).</w:t>
      </w:r>
    </w:p>
    <w:p w:rsidR="0039770F" w:rsidRPr="000919EE" w:rsidRDefault="0039770F" w:rsidP="0039770F">
      <w:pPr>
        <w:rPr>
          <w:rFonts w:cs="Arial"/>
          <w:highlight w:val="yellow"/>
        </w:rPr>
      </w:pPr>
      <w:r w:rsidRPr="000919EE">
        <w:rPr>
          <w:rFonts w:cs="Arial"/>
        </w:rPr>
        <w:t>Ma d’altra parte è altrettanto evidente che se ipotizzasse, solo quale esercizio teorico, che fosse possibile il lavoro a domicilio per un giorno alla settimana per il 50% dei dipendenti dell’AC vi potrebbe essere, su un totale complessivo di 5'000 collaboratori/-trici, una potenziale riduzione di 500 posti di lavoro. Insomma il corrispettivo dello stabile amministrativo 3, tanto per intenderci. È un esempio forse un po’ forzato ma dà l’idea del potenziale riposto nella progressiva delocalizzazione e digitalizzazione dei processi produttivi che avrebbe anche delle conseguenze interessanti a livello di mobilità e quindi di carico ambientale.</w:t>
      </w:r>
    </w:p>
    <w:p w:rsidR="0039770F" w:rsidRPr="009132E2" w:rsidRDefault="0039770F" w:rsidP="0039770F">
      <w:pPr>
        <w:rPr>
          <w:rFonts w:cs="Arial"/>
        </w:rPr>
      </w:pPr>
    </w:p>
    <w:p w:rsidR="0039770F" w:rsidRPr="009132E2" w:rsidRDefault="0039770F" w:rsidP="0039770F">
      <w:pPr>
        <w:rPr>
          <w:rFonts w:cs="Arial"/>
        </w:rPr>
      </w:pPr>
      <w:r w:rsidRPr="009132E2">
        <w:rPr>
          <w:rFonts w:cs="Arial"/>
        </w:rPr>
        <w:t>La pianificazione degli interventi di manutenzione tiene soprattutto conto della strategia generale e delle prospettive relative ad ogni singolo stabile. Ogni stabile considerato nella strategia per il periodo quadro del presente credito è stato oggetto di analisi, dalle quali sono emerse le caratteristiche tecniche e costruttive, le condizioni di conservazione, di degrado e di conformità nonché la durata di vita utile residua (ossia l’indicazione della relativa speranza di vita.</w:t>
      </w:r>
    </w:p>
    <w:p w:rsidR="0039770F" w:rsidRPr="009132E2" w:rsidRDefault="0039770F" w:rsidP="0039770F">
      <w:pPr>
        <w:autoSpaceDE w:val="0"/>
        <w:autoSpaceDN w:val="0"/>
        <w:adjustRightInd w:val="0"/>
        <w:rPr>
          <w:rFonts w:cs="Arial"/>
          <w:szCs w:val="24"/>
          <w:lang w:eastAsia="it-CH"/>
        </w:rPr>
      </w:pPr>
      <w:r w:rsidRPr="009132E2">
        <w:rPr>
          <w:rFonts w:cs="Arial"/>
          <w:szCs w:val="24"/>
          <w:lang w:eastAsia="it-CH"/>
        </w:rPr>
        <w:t>L’indirizzo principale della strategia di manutenzione straordinaria comprende varie tipologie di interventi riassunte in tre tipologie principali:</w:t>
      </w:r>
    </w:p>
    <w:p w:rsidR="0039770F" w:rsidRPr="009132E2" w:rsidRDefault="0039770F" w:rsidP="007C28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/>
        <w:ind w:left="425" w:hanging="425"/>
        <w:rPr>
          <w:rFonts w:cs="Arial"/>
          <w:szCs w:val="24"/>
          <w:lang w:eastAsia="it-CH"/>
        </w:rPr>
      </w:pPr>
      <w:r w:rsidRPr="009132E2">
        <w:rPr>
          <w:rFonts w:cs="Arial"/>
          <w:szCs w:val="24"/>
          <w:lang w:eastAsia="it-CH"/>
        </w:rPr>
        <w:t>un totale o parziale adeguamento alle normative in ambito energetico</w:t>
      </w:r>
    </w:p>
    <w:p w:rsidR="0039770F" w:rsidRPr="009132E2" w:rsidRDefault="0039770F" w:rsidP="007C28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/>
        <w:ind w:left="425" w:hanging="425"/>
        <w:jc w:val="left"/>
        <w:rPr>
          <w:rFonts w:cs="Arial"/>
          <w:szCs w:val="24"/>
          <w:lang w:eastAsia="it-CH"/>
        </w:rPr>
      </w:pPr>
      <w:r w:rsidRPr="009132E2">
        <w:rPr>
          <w:rFonts w:cs="Arial"/>
          <w:szCs w:val="24"/>
          <w:lang w:eastAsia="it-CH"/>
        </w:rPr>
        <w:t>la messa in sicurezza d’esercizio e strutturale degli edifici</w:t>
      </w:r>
    </w:p>
    <w:p w:rsidR="0039770F" w:rsidRPr="009132E2" w:rsidRDefault="0039770F" w:rsidP="007C28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60"/>
        <w:ind w:left="425" w:hanging="425"/>
        <w:jc w:val="left"/>
        <w:rPr>
          <w:rFonts w:cs="Arial"/>
          <w:szCs w:val="24"/>
        </w:rPr>
      </w:pPr>
      <w:r w:rsidRPr="009132E2">
        <w:rPr>
          <w:rFonts w:cs="Arial"/>
          <w:szCs w:val="24"/>
          <w:lang w:eastAsia="it-CH"/>
        </w:rPr>
        <w:t xml:space="preserve">interventi per contrastare efficacemente il degrado e la svalutazione accelerata dell’immobile. </w:t>
      </w:r>
    </w:p>
    <w:p w:rsidR="007C2822" w:rsidRDefault="007C2822" w:rsidP="0039770F">
      <w:pPr>
        <w:autoSpaceDE w:val="0"/>
        <w:autoSpaceDN w:val="0"/>
        <w:adjustRightInd w:val="0"/>
        <w:rPr>
          <w:rFonts w:cs="Arial"/>
          <w:szCs w:val="24"/>
        </w:rPr>
      </w:pPr>
    </w:p>
    <w:p w:rsidR="0039770F" w:rsidRPr="009132E2" w:rsidRDefault="0039770F" w:rsidP="0039770F">
      <w:pPr>
        <w:autoSpaceDE w:val="0"/>
        <w:autoSpaceDN w:val="0"/>
        <w:adjustRightInd w:val="0"/>
        <w:rPr>
          <w:rFonts w:cs="Arial"/>
          <w:szCs w:val="24"/>
        </w:rPr>
      </w:pPr>
      <w:r w:rsidRPr="009132E2">
        <w:rPr>
          <w:rFonts w:cs="Arial"/>
          <w:szCs w:val="24"/>
        </w:rPr>
        <w:t>In base alla radiografia dello stato dell’edifico e in maniera incrociata alle esigenze logistiche delle utenze si imposta poi il rispettivo progetto di intervento.</w:t>
      </w:r>
    </w:p>
    <w:p w:rsidR="0039770F" w:rsidRPr="00FF2AEE" w:rsidRDefault="0039770F" w:rsidP="0039770F">
      <w:pPr>
        <w:rPr>
          <w:rFonts w:cs="Arial"/>
        </w:rPr>
      </w:pPr>
    </w:p>
    <w:p w:rsidR="0039770F" w:rsidRPr="00FF2AEE" w:rsidRDefault="0039770F" w:rsidP="0039770F">
      <w:pPr>
        <w:rPr>
          <w:rFonts w:cs="Arial"/>
        </w:rPr>
      </w:pPr>
    </w:p>
    <w:p w:rsidR="0039770F" w:rsidRPr="007C2822" w:rsidRDefault="007C2822" w:rsidP="007C2822">
      <w:pPr>
        <w:pStyle w:val="Titolo2"/>
      </w:pPr>
      <w:r>
        <w:lastRenderedPageBreak/>
        <w:t>2.3</w:t>
      </w:r>
      <w:r>
        <w:tab/>
      </w:r>
      <w:r w:rsidR="0039770F" w:rsidRPr="007C2822">
        <w:t>Ripartizione della pianificazione dei crediti nei diversi dipartimenti</w:t>
      </w:r>
    </w:p>
    <w:p w:rsidR="0039770F" w:rsidRPr="00FF2AEE" w:rsidRDefault="0039770F" w:rsidP="0039770F">
      <w:pPr>
        <w:rPr>
          <w:rFonts w:cs="Arial"/>
        </w:rPr>
      </w:pPr>
      <w:r w:rsidRPr="00FF2AEE">
        <w:rPr>
          <w:rFonts w:cs="Arial"/>
        </w:rPr>
        <w:t>I progetti di manutenzione rispondono alla logica dello stato dello stabile e non di quale dipartimento ne sia il beneficiario. Pertanto non vi è una ripartizione finanziaria prestabilita e ripartita nei vari dipartimenti ma la Sezione della Logistica pianifica</w:t>
      </w:r>
      <w:r>
        <w:rPr>
          <w:rFonts w:cs="Arial"/>
        </w:rPr>
        <w:t xml:space="preserve"> correttamente </w:t>
      </w:r>
      <w:r w:rsidRPr="00FF2AEE">
        <w:rPr>
          <w:rFonts w:cs="Arial"/>
        </w:rPr>
        <w:t>gli interventi in funzione della valutazione delle priorità</w:t>
      </w:r>
      <w:r>
        <w:rPr>
          <w:rFonts w:cs="Arial"/>
        </w:rPr>
        <w:t xml:space="preserve"> tecniche e normative, nonché</w:t>
      </w:r>
      <w:r w:rsidRPr="00FF2AEE">
        <w:rPr>
          <w:rFonts w:cs="Arial"/>
        </w:rPr>
        <w:t xml:space="preserve"> della vetustà dei diversi stabili</w:t>
      </w:r>
      <w:r>
        <w:rPr>
          <w:rFonts w:cs="Arial"/>
        </w:rPr>
        <w:t>, avendo quale obiettivo generale il raggiungimento della sicurezza e conformità d’uso degli edifici, oltre al prolungo della loro vita utile e del mantenimento del valore immobiliare</w:t>
      </w:r>
      <w:r w:rsidRPr="00FF2AEE">
        <w:rPr>
          <w:rFonts w:cs="Arial"/>
        </w:rPr>
        <w:t xml:space="preserve">. </w:t>
      </w:r>
    </w:p>
    <w:p w:rsidR="0039770F" w:rsidRPr="00FF2AEE" w:rsidRDefault="0039770F" w:rsidP="0039770F">
      <w:pPr>
        <w:rPr>
          <w:rFonts w:cs="Arial"/>
        </w:rPr>
      </w:pPr>
    </w:p>
    <w:p w:rsidR="0039770F" w:rsidRPr="00FF2AEE" w:rsidRDefault="0039770F" w:rsidP="0039770F">
      <w:pPr>
        <w:rPr>
          <w:rFonts w:cs="Arial"/>
        </w:rPr>
      </w:pPr>
    </w:p>
    <w:p w:rsidR="0039770F" w:rsidRPr="007C2822" w:rsidRDefault="007C2822" w:rsidP="007C2822">
      <w:pPr>
        <w:pStyle w:val="Titolo2"/>
      </w:pPr>
      <w:r>
        <w:t>2.4</w:t>
      </w:r>
      <w:r>
        <w:tab/>
      </w:r>
      <w:r w:rsidR="0039770F" w:rsidRPr="007C2822">
        <w:t xml:space="preserve">Gestione dei progetti </w:t>
      </w:r>
    </w:p>
    <w:p w:rsidR="0039770F" w:rsidRPr="00E272D9" w:rsidRDefault="0039770F" w:rsidP="0039770F">
      <w:pPr>
        <w:rPr>
          <w:rFonts w:cs="Arial"/>
        </w:rPr>
      </w:pPr>
      <w:r w:rsidRPr="00E272D9">
        <w:rPr>
          <w:rFonts w:cs="Arial"/>
        </w:rPr>
        <w:t xml:space="preserve">In questo contesto si ritiene utile ribadire </w:t>
      </w:r>
      <w:r>
        <w:rPr>
          <w:rFonts w:cs="Arial"/>
        </w:rPr>
        <w:t xml:space="preserve">quanto già detto nel rapporto al messaggio 7641 per un credito quadro “per </w:t>
      </w:r>
      <w:r w:rsidRPr="00E272D9">
        <w:rPr>
          <w:rFonts w:cs="Arial"/>
        </w:rPr>
        <w:t>il finanziamento delle procedure di concorso e della progettazione fino agli appalti di opere per le quali è pianificato l’inizio della progettazione nel quadriennio 2020-2023</w:t>
      </w:r>
      <w:r>
        <w:rPr>
          <w:rFonts w:cs="Arial"/>
        </w:rPr>
        <w:t xml:space="preserve">”, ossia </w:t>
      </w:r>
      <w:r w:rsidRPr="00E272D9">
        <w:rPr>
          <w:rFonts w:cs="Arial"/>
        </w:rPr>
        <w:t xml:space="preserve">la progressiva specializzazione della SL nella “gestione progetti” (ruolo di project manager) piuttosto che nel ruolo di “progettista” o di “direzione lavori”. </w:t>
      </w:r>
    </w:p>
    <w:p w:rsidR="0039770F" w:rsidRPr="00E272D9" w:rsidRDefault="0039770F" w:rsidP="0039770F">
      <w:pPr>
        <w:rPr>
          <w:rFonts w:cs="Arial"/>
        </w:rPr>
      </w:pPr>
    </w:p>
    <w:p w:rsidR="0039770F" w:rsidRPr="00E272D9" w:rsidRDefault="0039770F" w:rsidP="0039770F">
      <w:pPr>
        <w:rPr>
          <w:rFonts w:cs="Arial"/>
        </w:rPr>
      </w:pPr>
      <w:r w:rsidRPr="00E272D9">
        <w:rPr>
          <w:rFonts w:cs="Arial"/>
        </w:rPr>
        <w:t>L</w:t>
      </w:r>
      <w:r>
        <w:rPr>
          <w:rFonts w:cs="Arial"/>
        </w:rPr>
        <w:t xml:space="preserve">’auspicio di una </w:t>
      </w:r>
      <w:r w:rsidRPr="00E272D9">
        <w:rPr>
          <w:rFonts w:cs="Arial"/>
        </w:rPr>
        <w:t xml:space="preserve">distinzione dei vari ruoli era già stata </w:t>
      </w:r>
      <w:r>
        <w:rPr>
          <w:rFonts w:cs="Arial"/>
        </w:rPr>
        <w:t>evidenziato</w:t>
      </w:r>
      <w:r w:rsidRPr="00E272D9">
        <w:rPr>
          <w:rFonts w:cs="Arial"/>
        </w:rPr>
        <w:t xml:space="preserve"> nel contesto della CPIL in riferimento alla richiesta di una separazione netta tra la progettazione e la direzione lavori. </w:t>
      </w:r>
    </w:p>
    <w:p w:rsidR="0039770F" w:rsidRPr="00E272D9" w:rsidRDefault="0039770F" w:rsidP="0039770F">
      <w:pPr>
        <w:rPr>
          <w:rFonts w:cs="Arial"/>
        </w:rPr>
      </w:pPr>
      <w:r w:rsidRPr="00E272D9">
        <w:rPr>
          <w:rFonts w:cs="Arial"/>
        </w:rPr>
        <w:t>Nel messaggio 6968 del 19 agosto 2014 rispondendo alla mozione presentata dalla commissione parlamentare d’inchiesta sulla sezione della Logistica (CPIL) “</w:t>
      </w:r>
      <w:r w:rsidRPr="00C42263">
        <w:rPr>
          <w:rFonts w:cs="Arial"/>
          <w:i/>
        </w:rPr>
        <w:t>Separazione della direzione lavori dalla progettazione</w:t>
      </w:r>
      <w:r w:rsidRPr="00E272D9">
        <w:rPr>
          <w:rFonts w:cs="Arial"/>
        </w:rPr>
        <w:t>” il CdS concludeva: “</w:t>
      </w:r>
      <w:r w:rsidRPr="00C42263">
        <w:rPr>
          <w:rFonts w:cs="Arial"/>
          <w:i/>
        </w:rPr>
        <w:t>Il Consiglio di Stato ritiene per concludere che su questo tema, prima di introdurre rigidi principi di separazione delle competenze tra progettisti e direzione lavori, sia necessario un approfondito confronto con i rappresentanti delle associazioni di categoria, prima fra tutte la CAT. A questo proposito sono già in atto incontri regolari su vari temi tra i quali il ruolo dell’architetto Cantonale, il calcolo degli onorari e l’applicazione della legislazione sulle commesse pubbliche. Il Consiglio di Stato ritiene utile poter utilizzare questo canale per sviluppare anche questa tematica.</w:t>
      </w:r>
      <w:r w:rsidRPr="00E272D9">
        <w:rPr>
          <w:rFonts w:cs="Arial"/>
        </w:rPr>
        <w:t>”</w:t>
      </w:r>
    </w:p>
    <w:p w:rsidR="0039770F" w:rsidRPr="00E272D9" w:rsidRDefault="0039770F" w:rsidP="0039770F">
      <w:pPr>
        <w:rPr>
          <w:rFonts w:cs="Arial"/>
        </w:rPr>
      </w:pPr>
    </w:p>
    <w:p w:rsidR="0039770F" w:rsidRPr="00E272D9" w:rsidRDefault="0039770F" w:rsidP="0039770F">
      <w:pPr>
        <w:rPr>
          <w:rFonts w:cs="Arial"/>
        </w:rPr>
      </w:pPr>
      <w:r w:rsidRPr="00E272D9">
        <w:rPr>
          <w:rFonts w:cs="Arial"/>
        </w:rPr>
        <w:t>L’impostazione di allora data dal CdS ci sembra mantenere il proprio valore e non viene messa in discussione. Anzi riteniamo utile ribadire che queste due funzioni siano possibilmente sempre delegate ai professionisti del ramo secondo le procedure previste e che la SL assuma invece un ruolo di coordinamento e, appunto, di “gestione di progetto” così da poter attivare un numero maggiore di progetti.</w:t>
      </w:r>
    </w:p>
    <w:p w:rsidR="0039770F" w:rsidRDefault="0039770F" w:rsidP="0039770F">
      <w:pPr>
        <w:rPr>
          <w:rFonts w:cs="Arial"/>
        </w:rPr>
      </w:pPr>
    </w:p>
    <w:p w:rsidR="0039770F" w:rsidRDefault="0039770F" w:rsidP="0039770F">
      <w:pPr>
        <w:rPr>
          <w:rFonts w:cs="Arial"/>
        </w:rPr>
      </w:pPr>
      <w:r>
        <w:rPr>
          <w:rFonts w:cs="Arial"/>
        </w:rPr>
        <w:t xml:space="preserve">Anche nella gestione degli </w:t>
      </w:r>
      <w:r w:rsidRPr="00FF2AEE">
        <w:rPr>
          <w:rFonts w:cs="Arial"/>
        </w:rPr>
        <w:t xml:space="preserve">interventi di manutenzione </w:t>
      </w:r>
      <w:r>
        <w:rPr>
          <w:rFonts w:cs="Arial"/>
        </w:rPr>
        <w:t xml:space="preserve">la SL applica lo stesso principio </w:t>
      </w:r>
      <w:r w:rsidRPr="00FF2AEE">
        <w:rPr>
          <w:rFonts w:cs="Arial"/>
        </w:rPr>
        <w:t>della delega della progettazione della direzione lavori a terzi mantenendo il ruolo di capo progetto per il controllo generale dell’intervento dal punto di vista tecnico e finanziario.</w:t>
      </w:r>
      <w:r>
        <w:rPr>
          <w:rFonts w:cs="Arial"/>
        </w:rPr>
        <w:t xml:space="preserve"> Grazie a questa specifica impostazione il CQ in oggetto non richiede un aumento dell’organico.</w:t>
      </w:r>
    </w:p>
    <w:p w:rsidR="0039770F" w:rsidRPr="00FF2AEE" w:rsidRDefault="0039770F" w:rsidP="0039770F">
      <w:pPr>
        <w:rPr>
          <w:rFonts w:cs="Arial"/>
        </w:rPr>
      </w:pPr>
      <w:r>
        <w:rPr>
          <w:rFonts w:cs="Arial"/>
        </w:rPr>
        <w:t>Si tratta di un’impostazione che si sta attuando progressivamente in quanto richiede anche profili dei collaboratori diversi con magari una specifica riqualifica laddove possibile. È un’impostazione ampiamente diffusa in altre realtà di enti pubblici oltre Gottardo che ha dimostrato di essere efficacie e migliora la capacità produttiva generale dell’ente pubblico.</w:t>
      </w:r>
    </w:p>
    <w:p w:rsidR="0039770F" w:rsidRPr="00FF2AEE" w:rsidRDefault="0039770F" w:rsidP="0039770F">
      <w:pPr>
        <w:rPr>
          <w:rFonts w:cs="Arial"/>
        </w:rPr>
      </w:pPr>
    </w:p>
    <w:p w:rsidR="0039770F" w:rsidRPr="00FF2AEE" w:rsidRDefault="0039770F" w:rsidP="0039770F">
      <w:pPr>
        <w:rPr>
          <w:rFonts w:cs="Arial"/>
        </w:rPr>
      </w:pPr>
    </w:p>
    <w:p w:rsidR="0039770F" w:rsidRPr="007C2822" w:rsidRDefault="007C2822" w:rsidP="007C2822">
      <w:pPr>
        <w:pStyle w:val="Titolo2"/>
      </w:pPr>
      <w:r>
        <w:t>2.5</w:t>
      </w:r>
      <w:r>
        <w:tab/>
      </w:r>
      <w:r w:rsidR="0039770F" w:rsidRPr="007C2822">
        <w:t>Risanamento energetico</w:t>
      </w:r>
    </w:p>
    <w:p w:rsidR="0039770F" w:rsidRPr="009070AC" w:rsidRDefault="0039770F" w:rsidP="0039770F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9070AC">
        <w:rPr>
          <w:rFonts w:cs="Arial"/>
          <w:szCs w:val="24"/>
        </w:rPr>
        <w:t xml:space="preserve">In base alla strategia inserita nel PEC (piano energetico cantonale, 2013) e </w:t>
      </w:r>
      <w:r w:rsidRPr="0050638A">
        <w:rPr>
          <w:rFonts w:cs="Arial"/>
          <w:szCs w:val="24"/>
        </w:rPr>
        <w:t>tenendo conto del “</w:t>
      </w:r>
      <w:r w:rsidRPr="00907772">
        <w:rPr>
          <w:rFonts w:cs="Arial"/>
          <w:szCs w:val="24"/>
        </w:rPr>
        <w:t>P</w:t>
      </w:r>
      <w:r w:rsidRPr="009070AC">
        <w:rPr>
          <w:rFonts w:cs="Arial"/>
          <w:szCs w:val="24"/>
          <w:lang w:eastAsia="it-CH"/>
        </w:rPr>
        <w:t>rogramma di incentivi concernente l’efficacia ed efficienza energetiche, la produzione e la distribuzione di energia termica da fonti indigene rinnovabili, la conversione delle energie di origine fossile e la promozione della formazione continua, dell’informazione, della sensibilizzazione e della consulenza nel settore  dell’energia”, recentemente approvato dal Gran Consiglio</w:t>
      </w:r>
      <w:r w:rsidRPr="009070AC">
        <w:rPr>
          <w:rFonts w:cs="Arial"/>
          <w:szCs w:val="24"/>
        </w:rPr>
        <w:t xml:space="preserve"> si prevede di migliorare il bilancio energetico del parco immobiliare del cantone.</w:t>
      </w:r>
    </w:p>
    <w:p w:rsidR="0039770F" w:rsidRPr="00824B4A" w:rsidRDefault="0039770F" w:rsidP="0039770F">
      <w:pPr>
        <w:rPr>
          <w:rFonts w:cs="Arial"/>
          <w:highlight w:val="yellow"/>
        </w:rPr>
      </w:pPr>
    </w:p>
    <w:p w:rsidR="0039770F" w:rsidRPr="009070AC" w:rsidRDefault="0039770F" w:rsidP="0039770F">
      <w:pPr>
        <w:rPr>
          <w:rFonts w:cs="Arial"/>
        </w:rPr>
      </w:pPr>
      <w:r w:rsidRPr="009070AC">
        <w:rPr>
          <w:rFonts w:cs="Arial"/>
        </w:rPr>
        <w:t>In particolare si ricordano  gli indirizzi strategici del PEC all’art 4.1:</w:t>
      </w:r>
    </w:p>
    <w:p w:rsidR="0039770F" w:rsidRPr="009070AC" w:rsidRDefault="00B01558" w:rsidP="007C2822">
      <w:pPr>
        <w:pStyle w:val="Paragrafoelenco"/>
        <w:numPr>
          <w:ilvl w:val="0"/>
          <w:numId w:val="16"/>
        </w:numPr>
        <w:spacing w:before="80"/>
        <w:ind w:left="284" w:hanging="284"/>
        <w:rPr>
          <w:rFonts w:cs="Arial"/>
        </w:rPr>
      </w:pPr>
      <w:r>
        <w:rPr>
          <w:rFonts w:cs="Arial"/>
        </w:rPr>
        <w:t>e</w:t>
      </w:r>
      <w:r w:rsidR="0039770F" w:rsidRPr="009070AC">
        <w:rPr>
          <w:rFonts w:cs="Arial"/>
        </w:rPr>
        <w:t>fficienza, efficacia e risparmio energetico: riduzione dei consumi negli usi finali dell’energia, attraverso l’attivazione generalizzata di misure tec</w:t>
      </w:r>
      <w:r>
        <w:rPr>
          <w:rFonts w:cs="Arial"/>
        </w:rPr>
        <w:t>niche di efficienza energetica;</w:t>
      </w:r>
    </w:p>
    <w:p w:rsidR="0039770F" w:rsidRPr="009070AC" w:rsidRDefault="00B01558" w:rsidP="007C2822">
      <w:pPr>
        <w:pStyle w:val="Paragrafoelenco"/>
        <w:numPr>
          <w:ilvl w:val="0"/>
          <w:numId w:val="16"/>
        </w:numPr>
        <w:spacing w:before="80"/>
        <w:ind w:left="284" w:hanging="284"/>
        <w:rPr>
          <w:rFonts w:cs="Arial"/>
        </w:rPr>
      </w:pPr>
      <w:r>
        <w:rPr>
          <w:rFonts w:cs="Arial"/>
        </w:rPr>
        <w:t>c</w:t>
      </w:r>
      <w:r w:rsidR="0039770F" w:rsidRPr="009070AC">
        <w:rPr>
          <w:rFonts w:cs="Arial"/>
        </w:rPr>
        <w:t>onversione energetica: sostituzione dei vettori energetici, con progressivo</w:t>
      </w:r>
      <w:r w:rsidR="0039770F">
        <w:rPr>
          <w:rFonts w:cs="Arial"/>
        </w:rPr>
        <w:t xml:space="preserve"> </w:t>
      </w:r>
      <w:r w:rsidR="0039770F" w:rsidRPr="009070AC">
        <w:rPr>
          <w:rFonts w:cs="Arial"/>
        </w:rPr>
        <w:t>abbandono dei combustibili fossili, in particolare olio combustibile e carbur</w:t>
      </w:r>
      <w:r>
        <w:rPr>
          <w:rFonts w:cs="Arial"/>
        </w:rPr>
        <w:t>anti liquidi;</w:t>
      </w:r>
    </w:p>
    <w:p w:rsidR="0039770F" w:rsidRPr="009070AC" w:rsidRDefault="00B01558" w:rsidP="007C2822">
      <w:pPr>
        <w:pStyle w:val="Paragrafoelenco"/>
        <w:numPr>
          <w:ilvl w:val="0"/>
          <w:numId w:val="16"/>
        </w:numPr>
        <w:spacing w:before="80"/>
        <w:ind w:left="284" w:hanging="284"/>
        <w:rPr>
          <w:rFonts w:cs="Arial"/>
        </w:rPr>
      </w:pPr>
      <w:r>
        <w:rPr>
          <w:rFonts w:cs="Arial"/>
        </w:rPr>
        <w:t>p</w:t>
      </w:r>
      <w:r w:rsidR="0039770F" w:rsidRPr="009070AC">
        <w:rPr>
          <w:rFonts w:cs="Arial"/>
        </w:rPr>
        <w:t>roduzione energetica ed approvvigionamento efficienti, sicuri e sostenibili: diversificazione dell’approvvigionamento, valorizzazione della risorsa acqua, confermando ed assicurando le riversioni ed il ruolo dell’AET, e promozione delle altre fonti rinnovabili indigene, quali solare (termico e fotovoltaico), eolico, biomassa, calore ambiente e geotermia di profondità.</w:t>
      </w:r>
    </w:p>
    <w:p w:rsidR="0039770F" w:rsidRPr="009070AC" w:rsidRDefault="0039770F" w:rsidP="00B01558"/>
    <w:p w:rsidR="0039770F" w:rsidRDefault="0039770F" w:rsidP="00B01558">
      <w:pPr>
        <w:shd w:val="clear" w:color="auto" w:fill="D9D9D9" w:themeFill="background1" w:themeFillShade="D9"/>
        <w:tabs>
          <w:tab w:val="num" w:pos="1440"/>
        </w:tabs>
        <w:autoSpaceDE w:val="0"/>
        <w:autoSpaceDN w:val="0"/>
        <w:adjustRightInd w:val="0"/>
        <w:rPr>
          <w:rFonts w:cs="Arial"/>
        </w:rPr>
      </w:pPr>
      <w:r w:rsidRPr="009070AC">
        <w:rPr>
          <w:rFonts w:cs="Arial"/>
        </w:rPr>
        <w:t xml:space="preserve">A cui si aggiungono questi indirizzi definiti dal Messaggio </w:t>
      </w:r>
      <w:r w:rsidR="007C2822">
        <w:rPr>
          <w:rFonts w:cs="Arial"/>
        </w:rPr>
        <w:t xml:space="preserve">n. </w:t>
      </w:r>
      <w:r w:rsidRPr="009070AC">
        <w:rPr>
          <w:rFonts w:cs="Arial"/>
        </w:rPr>
        <w:t>78</w:t>
      </w:r>
      <w:r>
        <w:rPr>
          <w:rFonts w:cs="Arial"/>
        </w:rPr>
        <w:t>95</w:t>
      </w:r>
      <w:r w:rsidRPr="009070AC">
        <w:rPr>
          <w:rFonts w:cs="Arial"/>
        </w:rPr>
        <w:t xml:space="preserve">: </w:t>
      </w:r>
    </w:p>
    <w:p w:rsidR="0039770F" w:rsidRDefault="00B01558" w:rsidP="00B01558">
      <w:pPr>
        <w:shd w:val="clear" w:color="auto" w:fill="D9D9D9" w:themeFill="background1" w:themeFillShade="D9"/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rPr>
          <w:rFonts w:cs="Arial"/>
          <w:sz w:val="23"/>
          <w:szCs w:val="23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39770F" w:rsidRPr="007C2822">
        <w:rPr>
          <w:rFonts w:cs="Arial"/>
          <w:sz w:val="23"/>
          <w:szCs w:val="23"/>
        </w:rPr>
        <w:t>per</w:t>
      </w:r>
      <w:r w:rsidR="0039770F">
        <w:rPr>
          <w:rFonts w:cs="Arial"/>
        </w:rPr>
        <w:t xml:space="preserve"> l’</w:t>
      </w:r>
      <w:r w:rsidR="0039770F">
        <w:rPr>
          <w:rFonts w:cs="Arial"/>
          <w:i/>
          <w:iCs/>
          <w:sz w:val="23"/>
          <w:szCs w:val="23"/>
          <w:u w:val="single"/>
        </w:rPr>
        <w:t>Efficienza energetica</w:t>
      </w:r>
      <w:r w:rsidR="0039770F">
        <w:rPr>
          <w:rFonts w:cs="Arial"/>
          <w:sz w:val="23"/>
          <w:szCs w:val="23"/>
        </w:rPr>
        <w:t>: i parametri che concernono</w:t>
      </w:r>
      <w:r w:rsidR="0039770F" w:rsidRPr="00342CD3">
        <w:rPr>
          <w:sz w:val="23"/>
          <w:szCs w:val="23"/>
        </w:rPr>
        <w:t xml:space="preserve"> </w:t>
      </w:r>
      <w:r w:rsidR="0039770F">
        <w:rPr>
          <w:sz w:val="23"/>
          <w:szCs w:val="23"/>
        </w:rPr>
        <w:t>l'involucro termico degli edifici e complementi per i quali va previsto</w:t>
      </w:r>
      <w:r w:rsidR="0039770F">
        <w:rPr>
          <w:rFonts w:cs="Arial"/>
          <w:sz w:val="23"/>
          <w:szCs w:val="23"/>
        </w:rPr>
        <w:t xml:space="preserve">, per il </w:t>
      </w:r>
      <w:r w:rsidR="0039770F">
        <w:rPr>
          <w:sz w:val="23"/>
          <w:szCs w:val="23"/>
        </w:rPr>
        <w:t xml:space="preserve">risanamento degli edifici esistenti, il raggiungimento  della </w:t>
      </w:r>
      <w:r w:rsidR="0039770F">
        <w:rPr>
          <w:rFonts w:cs="Arial"/>
          <w:sz w:val="23"/>
          <w:szCs w:val="23"/>
        </w:rPr>
        <w:t>certificazione CECE</w:t>
      </w:r>
      <w:r w:rsidR="0039770F">
        <w:rPr>
          <w:rStyle w:val="Rimandonotaapidipagina"/>
          <w:rFonts w:eastAsiaTheme="majorEastAsia" w:cs="Arial"/>
          <w:sz w:val="23"/>
          <w:szCs w:val="23"/>
        </w:rPr>
        <w:footnoteReference w:id="1"/>
      </w:r>
      <w:r w:rsidR="0039770F">
        <w:rPr>
          <w:rFonts w:cs="Arial"/>
          <w:sz w:val="23"/>
          <w:szCs w:val="23"/>
        </w:rPr>
        <w:t xml:space="preserve"> e Minergie</w:t>
      </w:r>
      <w:r w:rsidR="0039770F">
        <w:rPr>
          <w:rStyle w:val="Rimandonotaapidipagina"/>
          <w:rFonts w:eastAsiaTheme="majorEastAsia" w:cs="Arial"/>
          <w:sz w:val="23"/>
          <w:szCs w:val="23"/>
        </w:rPr>
        <w:footnoteReference w:id="2"/>
      </w:r>
      <w:r w:rsidR="0039770F">
        <w:rPr>
          <w:rFonts w:cs="Arial"/>
          <w:sz w:val="23"/>
          <w:szCs w:val="23"/>
        </w:rPr>
        <w:t>, mentre per i nuovi edifici i parametri Minergie-P o Minergie-A,</w:t>
      </w:r>
      <w:r w:rsidR="0039770F" w:rsidRPr="00AD5FE9">
        <w:t xml:space="preserve"> </w:t>
      </w:r>
      <w:r w:rsidR="0039770F">
        <w:t xml:space="preserve">che </w:t>
      </w:r>
      <w:r w:rsidR="0039770F" w:rsidRPr="00AD5FE9">
        <w:rPr>
          <w:rFonts w:cs="Arial"/>
          <w:sz w:val="23"/>
          <w:szCs w:val="23"/>
        </w:rPr>
        <w:t>garantisce un</w:t>
      </w:r>
      <w:r w:rsidR="0039770F">
        <w:rPr>
          <w:rFonts w:cs="Arial"/>
          <w:sz w:val="23"/>
          <w:szCs w:val="23"/>
        </w:rPr>
        <w:t xml:space="preserve"> </w:t>
      </w:r>
      <w:r w:rsidR="0039770F" w:rsidRPr="00AD5FE9">
        <w:rPr>
          <w:rFonts w:cs="Arial"/>
          <w:sz w:val="23"/>
          <w:szCs w:val="23"/>
        </w:rPr>
        <w:t>ottimo isolamento termico dell'edificio accompagnato da un'impiantistica altamente</w:t>
      </w:r>
      <w:r w:rsidR="0039770F">
        <w:rPr>
          <w:rFonts w:cs="Arial"/>
          <w:sz w:val="23"/>
          <w:szCs w:val="23"/>
        </w:rPr>
        <w:t xml:space="preserve"> </w:t>
      </w:r>
      <w:r w:rsidR="0039770F" w:rsidRPr="00AD5FE9">
        <w:rPr>
          <w:rFonts w:cs="Arial"/>
          <w:sz w:val="23"/>
          <w:szCs w:val="23"/>
        </w:rPr>
        <w:t>efficiente per la produzione di calore e per l’illuminazione, apparecchi di ottima efficienza e</w:t>
      </w:r>
      <w:r w:rsidR="0039770F">
        <w:rPr>
          <w:rFonts w:cs="Arial"/>
          <w:sz w:val="23"/>
          <w:szCs w:val="23"/>
        </w:rPr>
        <w:t xml:space="preserve"> </w:t>
      </w:r>
      <w:r w:rsidR="0039770F" w:rsidRPr="00AD5FE9">
        <w:rPr>
          <w:rFonts w:cs="Arial"/>
          <w:sz w:val="23"/>
          <w:szCs w:val="23"/>
        </w:rPr>
        <w:t>l'impiego di energie rinnovabili.</w:t>
      </w:r>
      <w:r w:rsidR="0039770F">
        <w:rPr>
          <w:rFonts w:cs="Arial"/>
          <w:sz w:val="23"/>
          <w:szCs w:val="23"/>
        </w:rPr>
        <w:t>.</w:t>
      </w:r>
    </w:p>
    <w:p w:rsidR="0039770F" w:rsidRDefault="00B01558" w:rsidP="00B01558">
      <w:pPr>
        <w:shd w:val="clear" w:color="auto" w:fill="D9D9D9" w:themeFill="background1" w:themeFillShade="D9"/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</w:r>
      <w:r w:rsidR="0039770F">
        <w:rPr>
          <w:rFonts w:cs="Arial"/>
          <w:sz w:val="23"/>
          <w:szCs w:val="23"/>
        </w:rPr>
        <w:t xml:space="preserve">per la </w:t>
      </w:r>
      <w:r w:rsidR="0039770F">
        <w:rPr>
          <w:rFonts w:cs="Arial"/>
          <w:i/>
          <w:iCs/>
          <w:sz w:val="23"/>
          <w:szCs w:val="23"/>
          <w:u w:val="single"/>
        </w:rPr>
        <w:t>Produzione di energia termica la promozione delle fonti rinnovabili,</w:t>
      </w:r>
      <w:r w:rsidR="0039770F">
        <w:rPr>
          <w:rFonts w:cs="Arial"/>
          <w:sz w:val="23"/>
          <w:szCs w:val="23"/>
        </w:rPr>
        <w:t xml:space="preserve"> incentivando in particolare, oltre a quanto richiamato in precedenza, gli impianti a legna, gli impianti per lo sfruttamento della biomassa vegetale, pompe di calore con potenza superiore a 200kW</w:t>
      </w:r>
      <w:r w:rsidR="0039770F">
        <w:rPr>
          <w:rFonts w:cs="Arial"/>
          <w:sz w:val="23"/>
          <w:szCs w:val="23"/>
          <w:vertAlign w:val="subscript"/>
        </w:rPr>
        <w:t>th</w:t>
      </w:r>
      <w:r w:rsidR="0039770F">
        <w:rPr>
          <w:rFonts w:cs="Arial"/>
          <w:sz w:val="23"/>
          <w:szCs w:val="23"/>
        </w:rPr>
        <w:t>, lo sfruttamento dell’energia solare termica.</w:t>
      </w:r>
    </w:p>
    <w:p w:rsidR="00B01558" w:rsidRDefault="00B01558" w:rsidP="0039770F">
      <w:pPr>
        <w:rPr>
          <w:rFonts w:cs="Arial"/>
        </w:rPr>
      </w:pPr>
    </w:p>
    <w:p w:rsidR="0039770F" w:rsidRPr="009070AC" w:rsidRDefault="0039770F" w:rsidP="0039770F">
      <w:pPr>
        <w:rPr>
          <w:rFonts w:cs="Arial"/>
        </w:rPr>
      </w:pPr>
      <w:r w:rsidRPr="009070AC">
        <w:rPr>
          <w:rFonts w:cs="Arial"/>
        </w:rPr>
        <w:t>Si inserisce in questa strategia anche l’allacciamento di diversi stabili cantonali (tra i quali citiamo i principali: edifici del comparto amministrativo a Bellinzona, gli edifici del comparto scolastico della Torretta a Bellinzona, il Centro Diagnostico a Camorino, eccetera) alla rete Teris per lo sfruttamento del calore prodotto da termovalorizzatore, nonché ad altre reti di teleriscaldamento con vettore a gas (comparto scolastico di Lugano Trevano e le scuole medie di Viganello) nonché a legna (ad esempio gli edifici scolastici del comparto di Biasca, le scuole medie di Quinto, di Caslano e della Capriasca, il comparto agrario di Mezzana eccetera).</w:t>
      </w:r>
    </w:p>
    <w:p w:rsidR="0039770F" w:rsidRDefault="0039770F" w:rsidP="0039770F">
      <w:pPr>
        <w:rPr>
          <w:rFonts w:cs="Arial"/>
        </w:rPr>
      </w:pPr>
    </w:p>
    <w:p w:rsidR="0039770F" w:rsidRPr="009070AC" w:rsidRDefault="0039770F" w:rsidP="0039770F">
      <w:pPr>
        <w:rPr>
          <w:rFonts w:cs="Arial"/>
        </w:rPr>
      </w:pPr>
      <w:r>
        <w:rPr>
          <w:rFonts w:cs="Arial"/>
        </w:rPr>
        <w:t>Si tratta di obiettivi ambiziosi che laddove possibile e finanziariamente sostenibile riteniamo auspicabile siano fatti propri dal</w:t>
      </w:r>
      <w:r w:rsidRPr="00EE3EA2">
        <w:rPr>
          <w:rFonts w:cs="Arial"/>
        </w:rPr>
        <w:t xml:space="preserve"> Cantone per dare, da un lato, il buon esempio, dall’altro essere </w:t>
      </w:r>
      <w:r>
        <w:rPr>
          <w:rFonts w:cs="Arial"/>
        </w:rPr>
        <w:t xml:space="preserve">per divenire, con uil suo parco immobiliare, </w:t>
      </w:r>
      <w:r w:rsidRPr="00EE3EA2">
        <w:rPr>
          <w:rFonts w:cs="Arial"/>
        </w:rPr>
        <w:t>un faro anche tecnico per il resto della popolazione nel campo del risanamento energetico</w:t>
      </w:r>
    </w:p>
    <w:p w:rsidR="0039770F" w:rsidRPr="009070AC" w:rsidRDefault="0039770F" w:rsidP="0039770F">
      <w:pPr>
        <w:rPr>
          <w:rFonts w:cs="Arial"/>
        </w:rPr>
      </w:pPr>
    </w:p>
    <w:p w:rsidR="0039770F" w:rsidRPr="00FF2AEE" w:rsidRDefault="0039770F" w:rsidP="0039770F">
      <w:pPr>
        <w:rPr>
          <w:rFonts w:cs="Arial"/>
        </w:rPr>
      </w:pPr>
      <w:r w:rsidRPr="009070AC">
        <w:rPr>
          <w:rFonts w:cs="Arial"/>
        </w:rPr>
        <w:t>La SL dà concretamente seguito a fronte di questo indirizzo strategico del Cantone, analizzano con attenzione ogni singolo stabile attuando gli interventi ritenuti opportuni e efficaci per un miglioramento dell’impatto energetico del parco immobiliare cantonale coerentemente agli indirizzi predetti, partecipando in maniera importante a raggiungimento degli obiettivi della strategia energetica.</w:t>
      </w:r>
    </w:p>
    <w:p w:rsidR="0039770F" w:rsidRDefault="0039770F" w:rsidP="0039770F">
      <w:pPr>
        <w:rPr>
          <w:rFonts w:cs="Arial"/>
        </w:rPr>
      </w:pPr>
    </w:p>
    <w:p w:rsidR="0039770F" w:rsidRPr="00FF2AEE" w:rsidRDefault="0039770F" w:rsidP="0039770F">
      <w:pPr>
        <w:rPr>
          <w:rFonts w:cs="Arial"/>
        </w:rPr>
      </w:pPr>
    </w:p>
    <w:p w:rsidR="0039770F" w:rsidRPr="007C2822" w:rsidRDefault="007C2822" w:rsidP="007C2822">
      <w:pPr>
        <w:pStyle w:val="Titolo2"/>
      </w:pPr>
      <w:r>
        <w:t>2.6</w:t>
      </w:r>
      <w:r>
        <w:tab/>
      </w:r>
      <w:r w:rsidR="0039770F" w:rsidRPr="007C2822">
        <w:t>Edilizia scolastica</w:t>
      </w:r>
    </w:p>
    <w:p w:rsidR="0039770F" w:rsidRDefault="0039770F" w:rsidP="0039770F">
      <w:pPr>
        <w:rPr>
          <w:rFonts w:cs="Arial"/>
        </w:rPr>
      </w:pPr>
      <w:r w:rsidRPr="00245688">
        <w:rPr>
          <w:rFonts w:cs="Arial"/>
        </w:rPr>
        <w:t>Un aspetto importante da sottolineare è certamente la costatazione del fatto che l’edilizia scolastica richiede mediamente il 50% delle risorse previste.</w:t>
      </w:r>
      <w:r>
        <w:rPr>
          <w:rFonts w:cs="Arial"/>
        </w:rPr>
        <w:t xml:space="preserve"> Il Cantone è proprietario di un numero rilevante di stabili destinati alla formazione ciò che comporta il conseguente forte impegno manutentivo in questo contesto.</w:t>
      </w:r>
    </w:p>
    <w:p w:rsidR="0039770F" w:rsidRDefault="0039770F" w:rsidP="0039770F">
      <w:pPr>
        <w:rPr>
          <w:rFonts w:cs="Arial"/>
        </w:rPr>
      </w:pPr>
      <w:r>
        <w:rPr>
          <w:rFonts w:cs="Arial"/>
        </w:rPr>
        <w:t>C</w:t>
      </w:r>
      <w:r w:rsidRPr="00245688">
        <w:rPr>
          <w:rFonts w:cs="Arial"/>
        </w:rPr>
        <w:t xml:space="preserve">i sembra un aspetto da sottolineare e che conferma l’importanza del patrimonio immobiliare cantonale a favore della formazione delle future generazioni. </w:t>
      </w:r>
      <w:r>
        <w:rPr>
          <w:rFonts w:cs="Arial"/>
        </w:rPr>
        <w:t>La scuola merita certamente sedi dignitose, in buono stato e rispettose di rigorosi criteri di sicurezza.</w:t>
      </w:r>
    </w:p>
    <w:p w:rsidR="0039770F" w:rsidRPr="00245688" w:rsidRDefault="0039770F" w:rsidP="0039770F">
      <w:pPr>
        <w:rPr>
          <w:rFonts w:cs="Arial"/>
        </w:rPr>
      </w:pPr>
      <w:r w:rsidRPr="00245688">
        <w:rPr>
          <w:rFonts w:cs="Arial"/>
        </w:rPr>
        <w:t xml:space="preserve">Sedi scolastiche e istituti di formazione </w:t>
      </w:r>
      <w:r>
        <w:rPr>
          <w:rFonts w:cs="Arial"/>
        </w:rPr>
        <w:t xml:space="preserve">pure </w:t>
      </w:r>
      <w:r w:rsidRPr="00245688">
        <w:rPr>
          <w:rFonts w:cs="Arial"/>
        </w:rPr>
        <w:t>sempre più chiamate ad adattarsi alle nuove sfide chiamate innovazione e digitalizzazione.</w:t>
      </w:r>
    </w:p>
    <w:p w:rsidR="0039770F" w:rsidRDefault="0039770F" w:rsidP="0039770F">
      <w:pPr>
        <w:rPr>
          <w:rFonts w:cs="Arial"/>
        </w:rPr>
      </w:pPr>
    </w:p>
    <w:p w:rsidR="007C2822" w:rsidRDefault="007C2822" w:rsidP="0039770F">
      <w:pPr>
        <w:rPr>
          <w:rFonts w:cs="Arial"/>
        </w:rPr>
      </w:pPr>
    </w:p>
    <w:p w:rsidR="0039770F" w:rsidRPr="00245688" w:rsidRDefault="0039770F" w:rsidP="0039770F">
      <w:pPr>
        <w:rPr>
          <w:rFonts w:cs="Arial"/>
        </w:rPr>
      </w:pPr>
    </w:p>
    <w:p w:rsidR="0039770F" w:rsidRDefault="0039770F" w:rsidP="007C2822">
      <w:pPr>
        <w:pStyle w:val="Titolo1"/>
      </w:pPr>
      <w:r>
        <w:t>Resoconto dei CQ precedenti</w:t>
      </w:r>
    </w:p>
    <w:p w:rsidR="0039770F" w:rsidRDefault="0039770F" w:rsidP="0039770F">
      <w:pPr>
        <w:rPr>
          <w:rFonts w:cs="Arial"/>
        </w:rPr>
      </w:pPr>
      <w:r w:rsidRPr="00CC3B70">
        <w:rPr>
          <w:rFonts w:cs="Arial"/>
        </w:rPr>
        <w:t xml:space="preserve">Il bilancio del primo credito di manutenzione programmata investimenti riguardante il periodo 2008-2012 </w:t>
      </w:r>
      <w:r>
        <w:rPr>
          <w:rFonts w:cs="Arial"/>
        </w:rPr>
        <w:t xml:space="preserve">di un importo complessivo di 50 milioni di franchi </w:t>
      </w:r>
      <w:r w:rsidRPr="00CC3B70">
        <w:rPr>
          <w:rFonts w:cs="Arial"/>
        </w:rPr>
        <w:t>è stato presentato in dettaglio nell’ambito del messaggio governativo n. 6757 per la richiesta del secondo credito quadro per il periodo 2013-2019</w:t>
      </w:r>
    </w:p>
    <w:p w:rsidR="0039770F" w:rsidRDefault="0039770F" w:rsidP="0039770F">
      <w:pPr>
        <w:rPr>
          <w:rFonts w:cs="Arial"/>
        </w:rPr>
      </w:pPr>
      <w:r w:rsidRPr="00CC3B70">
        <w:rPr>
          <w:rFonts w:cs="Arial"/>
        </w:rPr>
        <w:t xml:space="preserve">Il bilancio del secondo credito di manutenzione programmata investimenti riguardante il periodo 2013-2019 è stato presentato in dettaglio nell’ambito del messaggio governativo n. 7515 per la richiesta di un credito aggiuntivo </w:t>
      </w:r>
      <w:r>
        <w:rPr>
          <w:rFonts w:cs="Arial"/>
        </w:rPr>
        <w:t xml:space="preserve">di ulteriori 14.5 milioni di franchi </w:t>
      </w:r>
      <w:r w:rsidRPr="00CC3B70">
        <w:rPr>
          <w:rFonts w:cs="Arial"/>
        </w:rPr>
        <w:t>a quello concesso con messaggio n. 6757</w:t>
      </w:r>
      <w:r>
        <w:rPr>
          <w:rFonts w:cs="Arial"/>
        </w:rPr>
        <w:t>.</w:t>
      </w:r>
    </w:p>
    <w:p w:rsidR="0039770F" w:rsidRDefault="0039770F" w:rsidP="0039770F">
      <w:pPr>
        <w:rPr>
          <w:rFonts w:cs="Arial"/>
        </w:rPr>
      </w:pPr>
      <w:r>
        <w:rPr>
          <w:rFonts w:cs="Arial"/>
        </w:rPr>
        <w:t>Il CQ è stato completamente utilizzato.</w:t>
      </w:r>
    </w:p>
    <w:p w:rsidR="0039770F" w:rsidRDefault="0039770F" w:rsidP="0039770F">
      <w:pPr>
        <w:rPr>
          <w:rFonts w:cs="Arial"/>
        </w:rPr>
      </w:pPr>
    </w:p>
    <w:p w:rsidR="0039770F" w:rsidRDefault="0039770F" w:rsidP="0039770F">
      <w:pPr>
        <w:rPr>
          <w:rFonts w:cs="Arial"/>
        </w:rPr>
      </w:pPr>
    </w:p>
    <w:p w:rsidR="00745003" w:rsidRDefault="00745003" w:rsidP="0039770F">
      <w:pPr>
        <w:rPr>
          <w:rFonts w:cs="Arial"/>
        </w:rPr>
      </w:pPr>
    </w:p>
    <w:p w:rsidR="0039770F" w:rsidRPr="007C2822" w:rsidRDefault="0039770F" w:rsidP="00745003">
      <w:pPr>
        <w:pStyle w:val="Titolo1"/>
      </w:pPr>
      <w:r w:rsidRPr="007C2822">
        <w:t>Fabbisogno finanziario</w:t>
      </w:r>
    </w:p>
    <w:p w:rsidR="0039770F" w:rsidRPr="00E272D9" w:rsidRDefault="0039770F" w:rsidP="0039770F">
      <w:pPr>
        <w:rPr>
          <w:rFonts w:cs="Arial"/>
        </w:rPr>
      </w:pPr>
      <w:r w:rsidRPr="00E272D9">
        <w:rPr>
          <w:rFonts w:cs="Arial"/>
        </w:rPr>
        <w:t>La tabella seguente ricapitola i costi stimati per la realizzazione delle opere per il periodo 2020-2027</w:t>
      </w:r>
      <w:r>
        <w:rPr>
          <w:rFonts w:cs="Arial"/>
        </w:rPr>
        <w:t>.</w:t>
      </w:r>
    </w:p>
    <w:p w:rsidR="0039770F" w:rsidRPr="00E272D9" w:rsidRDefault="0039770F" w:rsidP="0039770F">
      <w:pPr>
        <w:autoSpaceDE w:val="0"/>
        <w:autoSpaceDN w:val="0"/>
        <w:adjustRightInd w:val="0"/>
        <w:rPr>
          <w:rFonts w:cs="Arial"/>
        </w:rPr>
      </w:pPr>
      <w:r w:rsidRPr="00E272D9">
        <w:rPr>
          <w:rFonts w:cs="Arial"/>
        </w:rPr>
        <w:t>Il grado di precisione è del +/-25%. I costi effettivi di intervento potranno essere determinati unicamente a seguito degli studi di intervento.</w:t>
      </w:r>
    </w:p>
    <w:p w:rsidR="0039770F" w:rsidRPr="00416065" w:rsidRDefault="0039770F" w:rsidP="0039770F">
      <w:pPr>
        <w:rPr>
          <w:rFonts w:cs="Arial"/>
          <w:sz w:val="20"/>
          <w:szCs w:val="24"/>
        </w:rPr>
      </w:pPr>
    </w:p>
    <w:tbl>
      <w:tblPr>
        <w:tblW w:w="9669" w:type="dxa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6"/>
        <w:gridCol w:w="2693"/>
      </w:tblGrid>
      <w:tr w:rsidR="0039770F" w:rsidRPr="00416065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416065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416065">
              <w:rPr>
                <w:rFonts w:cs="Arial"/>
                <w:b/>
                <w:color w:val="000000"/>
                <w:sz w:val="18"/>
                <w:lang w:eastAsia="it-CH"/>
              </w:rPr>
              <w:t>Edificio - Progetto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416065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416065">
              <w:rPr>
                <w:rFonts w:cs="Arial"/>
                <w:b/>
                <w:color w:val="000000"/>
                <w:sz w:val="18"/>
                <w:lang w:eastAsia="it-CH"/>
              </w:rPr>
              <w:t>Importo in CHF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Losone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9'000'000.-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Stabile Vignola Lugano (CSIA)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6'500'000.-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Adeguamento impianti elettrici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6'000'000.-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Giornico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5’900'000.-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Centro Professionale Commerciale Bellinzona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5’800'000.-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Strutture carcerarie Cadro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5’000'000.-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Morbio Inferiore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Organizzazione sociopsichiatrica cantonale  (OSC) Mendrisio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3’300'000.-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Ambrì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3'200'000.-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Pretorio Faido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2’900'000.-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Stabio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2'800'000.-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Bedigliora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2'400'000.-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Palazzo di giustizia (PGL) Lugano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2'200'000.-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Liceo La Morettina Locarno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2'200'000.-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Agno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Laboratorio cantonale Bellinzona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2'000'000.-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Sacro Monte Orselina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1'850'000.-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Stabili amministrativi Via Trevano Canobbio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1'600'000.-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Impianti di elevazione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Centro psicoeducativo (CPE) Stabio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Analisi diagnostiche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Riva San Vitale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1'400'000.-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Cadenazzo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1'400'000.-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Gestione accessi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1'270'000.-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Canobbio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Cevio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1'000'000.-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Capriasca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850'000.-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Materiali e sostanze pericolose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850'000.-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Centro G+S Olivone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800'000.-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Gravesano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Liceo Lugano 1, palestra e palestrina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720'000.-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Centro professionale e commerciale (CPC) Lugano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Alta scuola pedagogica (ex magistrale) Locarno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professionale artigianale e industriale Locarno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Liceo Bellinzona palestra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700'000.-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Centro diagnostico Camorino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650'000.-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Pregassona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610'000.-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Scuola media Giubiasco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600'000.-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Casa dei Landfogti Acquarossa Lottigna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Stabile Luganetto Lugano Viganello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Adeguamento impianti di refrigerazione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500'000.-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Totale opere con valore =/&gt; 500'000.-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90'350'000.-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Opere con valore inferiore &lt; 500'000.-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8'400'000.-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Totale parziale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98’750'000.-</w:t>
            </w:r>
          </w:p>
        </w:tc>
      </w:tr>
      <w:tr w:rsidR="0039770F" w:rsidRPr="00E272D9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Riserva per supporto al committente e imprevisti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color w:val="000000"/>
                <w:sz w:val="18"/>
                <w:lang w:eastAsia="it-CH"/>
              </w:rPr>
              <w:t>1'250'000.-</w:t>
            </w:r>
          </w:p>
        </w:tc>
      </w:tr>
      <w:tr w:rsidR="0039770F" w:rsidRPr="00416065" w:rsidTr="0040111D">
        <w:trPr>
          <w:trHeight w:val="340"/>
        </w:trPr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E272D9" w:rsidRDefault="0039770F" w:rsidP="0040111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Totale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70F" w:rsidRPr="00416065" w:rsidRDefault="0039770F" w:rsidP="004011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lang w:eastAsia="it-CH"/>
              </w:rPr>
            </w:pPr>
            <w:r w:rsidRPr="00E272D9">
              <w:rPr>
                <w:rFonts w:cs="Arial"/>
                <w:b/>
                <w:color w:val="000000"/>
                <w:sz w:val="18"/>
                <w:lang w:eastAsia="it-CH"/>
              </w:rPr>
              <w:t>100'000'000.-</w:t>
            </w:r>
          </w:p>
        </w:tc>
      </w:tr>
    </w:tbl>
    <w:p w:rsidR="0039770F" w:rsidRPr="007C2822" w:rsidRDefault="0039770F" w:rsidP="0039770F">
      <w:pPr>
        <w:rPr>
          <w:rFonts w:cs="Arial"/>
          <w:sz w:val="16"/>
          <w:szCs w:val="16"/>
        </w:rPr>
      </w:pPr>
    </w:p>
    <w:p w:rsidR="0039770F" w:rsidRPr="00416065" w:rsidRDefault="0039770F" w:rsidP="007C2822">
      <w:pPr>
        <w:tabs>
          <w:tab w:val="left" w:pos="7938"/>
        </w:tabs>
        <w:rPr>
          <w:rFonts w:cs="Arial"/>
          <w:b/>
          <w:sz w:val="20"/>
          <w:szCs w:val="24"/>
        </w:rPr>
      </w:pPr>
      <w:r w:rsidRPr="00E272D9">
        <w:rPr>
          <w:rFonts w:cs="Arial"/>
          <w:b/>
          <w:sz w:val="20"/>
          <w:szCs w:val="24"/>
        </w:rPr>
        <w:t xml:space="preserve">Scuole </w:t>
      </w:r>
      <w:r w:rsidRPr="00E272D9">
        <w:rPr>
          <w:rFonts w:cs="Arial"/>
          <w:b/>
          <w:sz w:val="20"/>
          <w:szCs w:val="24"/>
        </w:rPr>
        <w:tab/>
        <w:t>55'930'000 (56%)</w:t>
      </w:r>
    </w:p>
    <w:p w:rsidR="0039770F" w:rsidRPr="007C2822" w:rsidRDefault="0039770F" w:rsidP="0039770F">
      <w:pPr>
        <w:rPr>
          <w:rFonts w:cs="Arial"/>
          <w:sz w:val="28"/>
          <w:szCs w:val="28"/>
        </w:rPr>
      </w:pPr>
    </w:p>
    <w:p w:rsidR="0039770F" w:rsidRDefault="0039770F" w:rsidP="0039770F">
      <w:pPr>
        <w:rPr>
          <w:rFonts w:cs="Arial"/>
        </w:rPr>
      </w:pPr>
      <w:r w:rsidRPr="00E272D9">
        <w:rPr>
          <w:rFonts w:cs="Arial"/>
        </w:rPr>
        <w:t xml:space="preserve">Il totale complessivo del fabbisogno finanziario necessario alla realizzazione degli interventi previsti al presente messaggio si attesta a CHF 100’000’000.-. </w:t>
      </w:r>
    </w:p>
    <w:p w:rsidR="0039770F" w:rsidRDefault="0039770F" w:rsidP="0039770F">
      <w:pPr>
        <w:rPr>
          <w:rFonts w:cs="Arial"/>
        </w:rPr>
      </w:pPr>
      <w:r>
        <w:rPr>
          <w:rFonts w:cs="Arial"/>
        </w:rPr>
        <w:t xml:space="preserve">È indicato </w:t>
      </w:r>
      <w:r w:rsidRPr="00E272D9">
        <w:rPr>
          <w:rFonts w:cs="Arial"/>
        </w:rPr>
        <w:t xml:space="preserve">un importo di riserva pari a CHF 1’250'000.- utile all’approfondimento e al supporto al committente facendo capo a professionisti e specialisti esterni, nonché a fronteggiare eventuali imprevisti che dovessero presentarsi. </w:t>
      </w:r>
      <w:r>
        <w:rPr>
          <w:rFonts w:cs="Arial"/>
        </w:rPr>
        <w:t>Infatti si deve tenere conto che il CQ ha una durata piuttosto estesa, 2020-2027, un periodo lungo durante il quale possono insorgere parecchi imprevisti, non da ultimo mutate esigenze dipartimentali, e quindi una certa flessibilità è ritenuta più che opportuna.</w:t>
      </w:r>
    </w:p>
    <w:p w:rsidR="0039770F" w:rsidRDefault="0039770F" w:rsidP="0039770F">
      <w:pPr>
        <w:rPr>
          <w:rFonts w:cs="Arial"/>
        </w:rPr>
      </w:pPr>
    </w:p>
    <w:p w:rsidR="007C2822" w:rsidRDefault="007C2822" w:rsidP="0039770F">
      <w:pPr>
        <w:rPr>
          <w:rFonts w:cs="Arial"/>
        </w:rPr>
      </w:pPr>
    </w:p>
    <w:p w:rsidR="0039770F" w:rsidRPr="00C42263" w:rsidRDefault="0039770F" w:rsidP="0039770F">
      <w:pPr>
        <w:rPr>
          <w:rFonts w:cs="Arial"/>
        </w:rPr>
      </w:pPr>
    </w:p>
    <w:p w:rsidR="0039770F" w:rsidRPr="00C42263" w:rsidRDefault="0039770F" w:rsidP="007C2822">
      <w:pPr>
        <w:pStyle w:val="Titolo1"/>
      </w:pPr>
      <w:r>
        <w:t xml:space="preserve">Procedure </w:t>
      </w:r>
    </w:p>
    <w:p w:rsidR="0039770F" w:rsidRPr="00C42263" w:rsidRDefault="0039770F" w:rsidP="0039770F">
      <w:pPr>
        <w:rPr>
          <w:rFonts w:cs="Arial"/>
        </w:rPr>
      </w:pPr>
      <w:r w:rsidRPr="00C42263">
        <w:rPr>
          <w:rFonts w:cs="Arial"/>
        </w:rPr>
        <w:t>Per i progetti maggiori, ogni intervento dovrà essere preceduto dall’elaborazione di uno studio di intervent</w:t>
      </w:r>
      <w:r>
        <w:rPr>
          <w:rFonts w:cs="Arial"/>
        </w:rPr>
        <w:t>o. In base allo studio saranno definit</w:t>
      </w:r>
      <w:r w:rsidRPr="00C42263">
        <w:rPr>
          <w:rFonts w:cs="Arial"/>
        </w:rPr>
        <w:t xml:space="preserve">e le successive procedure di esecuzione in conformità alla legislazione sulle commesse pubbliche. </w:t>
      </w:r>
    </w:p>
    <w:p w:rsidR="0039770F" w:rsidRPr="00C42263" w:rsidRDefault="0039770F" w:rsidP="0039770F">
      <w:pPr>
        <w:rPr>
          <w:rFonts w:cs="Arial"/>
        </w:rPr>
      </w:pPr>
      <w:r w:rsidRPr="00C42263">
        <w:rPr>
          <w:rFonts w:cs="Arial"/>
        </w:rPr>
        <w:t xml:space="preserve">Tutti i progetti </w:t>
      </w:r>
      <w:r>
        <w:rPr>
          <w:rFonts w:cs="Arial"/>
        </w:rPr>
        <w:t xml:space="preserve">menzionati </w:t>
      </w:r>
      <w:r w:rsidRPr="00C42263">
        <w:rPr>
          <w:rFonts w:cs="Arial"/>
        </w:rPr>
        <w:t>verranno realizzati entro il periodo 2020-2027 secondo un grado di priorità determinato dalle criticità rilevate. Gli studi di intervento, per contro, verranno tutti avviati immediatamente a seguito dell’approvazione del Messaggio e cresciuta in giudicato del Decreto legislativo.</w:t>
      </w:r>
      <w:r>
        <w:rPr>
          <w:rFonts w:cs="Arial"/>
        </w:rPr>
        <w:t xml:space="preserve"> I</w:t>
      </w:r>
      <w:r w:rsidRPr="00C42263">
        <w:rPr>
          <w:rFonts w:cs="Arial"/>
        </w:rPr>
        <w:t>l Consiglio di Stato sarà competente per la suddivisione del credito quadro in singoli crediti di impegno per ogni progetto.</w:t>
      </w:r>
    </w:p>
    <w:p w:rsidR="0039770F" w:rsidRPr="00B221B1" w:rsidRDefault="0039770F" w:rsidP="0039770F">
      <w:pPr>
        <w:autoSpaceDE w:val="0"/>
        <w:autoSpaceDN w:val="0"/>
        <w:adjustRightInd w:val="0"/>
        <w:rPr>
          <w:rFonts w:cs="Arial"/>
        </w:rPr>
      </w:pPr>
    </w:p>
    <w:p w:rsidR="007C2822" w:rsidRDefault="007C2822" w:rsidP="0039770F">
      <w:pPr>
        <w:rPr>
          <w:rFonts w:cs="Arial"/>
        </w:rPr>
      </w:pPr>
    </w:p>
    <w:p w:rsidR="007C2822" w:rsidRPr="00B221B1" w:rsidRDefault="007C2822" w:rsidP="0039770F">
      <w:pPr>
        <w:rPr>
          <w:rFonts w:cs="Arial"/>
        </w:rPr>
      </w:pPr>
    </w:p>
    <w:p w:rsidR="0039770F" w:rsidRPr="00B221B1" w:rsidRDefault="0039770F" w:rsidP="007C2822">
      <w:pPr>
        <w:pStyle w:val="Titolo1"/>
      </w:pPr>
      <w:r>
        <w:t>Linee direttive e Piano finanziario</w:t>
      </w:r>
    </w:p>
    <w:p w:rsidR="0039770F" w:rsidRPr="00B221B1" w:rsidRDefault="0039770F" w:rsidP="0039770F">
      <w:pPr>
        <w:autoSpaceDE w:val="0"/>
        <w:autoSpaceDN w:val="0"/>
        <w:adjustRightInd w:val="0"/>
        <w:rPr>
          <w:rFonts w:cs="Arial"/>
          <w:szCs w:val="24"/>
          <w:lang w:eastAsia="it-CH"/>
        </w:rPr>
      </w:pPr>
      <w:r w:rsidRPr="00B221B1">
        <w:rPr>
          <w:rFonts w:cs="Arial"/>
          <w:szCs w:val="24"/>
          <w:lang w:eastAsia="it-CH"/>
        </w:rPr>
        <w:t xml:space="preserve">Il presente Messaggio rispecchia gli obiettivi previsti nelle linee direttive per il programma di legislatura 2019-2023 </w:t>
      </w:r>
      <w:r>
        <w:rPr>
          <w:rFonts w:cs="Arial"/>
          <w:szCs w:val="24"/>
          <w:lang w:eastAsia="it-CH"/>
        </w:rPr>
        <w:t>in merito al</w:t>
      </w:r>
      <w:r w:rsidRPr="00B221B1">
        <w:rPr>
          <w:rFonts w:cs="Arial"/>
          <w:szCs w:val="24"/>
          <w:lang w:eastAsia="it-CH"/>
        </w:rPr>
        <w:t xml:space="preserve">l’asse strategico 2 “Sviluppo e attrattiva del Cantone Ticino”, in </w:t>
      </w:r>
      <w:r>
        <w:rPr>
          <w:rFonts w:cs="Arial"/>
          <w:szCs w:val="24"/>
          <w:lang w:eastAsia="it-CH"/>
        </w:rPr>
        <w:t xml:space="preserve">relazione </w:t>
      </w:r>
      <w:r w:rsidRPr="00B221B1">
        <w:rPr>
          <w:rFonts w:cs="Arial"/>
          <w:szCs w:val="24"/>
          <w:lang w:eastAsia="it-CH"/>
        </w:rPr>
        <w:t>agli obiettivi 10 “</w:t>
      </w:r>
      <w:r w:rsidRPr="00B221B1">
        <w:t>Riqualificare il territorio costruito, valorizzare il paesaggio, conservare il patrimonio, favorire la biodiversità” e 12 “Valorizzare le risorse naturali, migliorando la qualità dell’ambiente”, e a quelli relativi alla strategia energetica.</w:t>
      </w:r>
    </w:p>
    <w:p w:rsidR="0039770F" w:rsidRPr="00B221B1" w:rsidRDefault="0039770F" w:rsidP="0039770F"/>
    <w:p w:rsidR="0039770F" w:rsidRDefault="0039770F" w:rsidP="0039770F">
      <w:r w:rsidRPr="00B221B1">
        <w:t>Il credito è inserito nei PFI 2020-2023 e 2024-2027 per l’importo complessivo di CHF 100’000'000.- al settore 11, Amministrazione generale, posizione 112 910 5 ed è collegato all’elemento WBS 942 53 3000. La spesa di CHF 100’000'000.- sarà posta a carico del periodo 2020-2027.</w:t>
      </w:r>
    </w:p>
    <w:p w:rsidR="0039770F" w:rsidRDefault="0039770F" w:rsidP="0039770F"/>
    <w:p w:rsidR="007C2822" w:rsidRDefault="007C2822" w:rsidP="0039770F"/>
    <w:p w:rsidR="0039770F" w:rsidRPr="00B221B1" w:rsidRDefault="0039770F" w:rsidP="0039770F"/>
    <w:p w:rsidR="0039770F" w:rsidRPr="00B221B1" w:rsidRDefault="0039770F" w:rsidP="007C2822">
      <w:pPr>
        <w:pStyle w:val="Titolo1"/>
      </w:pPr>
      <w:r>
        <w:t>C</w:t>
      </w:r>
      <w:r w:rsidRPr="00B221B1">
        <w:t>onclusioni</w:t>
      </w:r>
    </w:p>
    <w:p w:rsidR="0039770F" w:rsidRDefault="0039770F" w:rsidP="0039770F">
      <w:pPr>
        <w:tabs>
          <w:tab w:val="left" w:pos="426"/>
        </w:tabs>
        <w:rPr>
          <w:rFonts w:cs="Arial"/>
        </w:rPr>
      </w:pPr>
      <w:r>
        <w:rPr>
          <w:rFonts w:cs="Arial"/>
        </w:rPr>
        <w:t>Il presente messaggio conferma la ferma volontà del Consiglio di Stato di voler curare con grande attenzione il proprio patrimonio immobiliare dal punto di vista qualitativo, energetico e della sicurezza e conformità d’uso. Approccio particolarmente rilevante considerando l’importanza di stabili scolastici di proprietà del Cantone. Il CQ relativo alla manutenzione programmata si è rivelato uno strumento molto dinamico, utile e efficace per consentire alla SL una pianificazione adeguata degli interventi e una gestione efficiente dei progetti assicurandone l’auspicata continuità.</w:t>
      </w:r>
    </w:p>
    <w:p w:rsidR="0039770F" w:rsidRDefault="0039770F" w:rsidP="0039770F">
      <w:pPr>
        <w:tabs>
          <w:tab w:val="left" w:pos="426"/>
        </w:tabs>
        <w:rPr>
          <w:rFonts w:cs="Arial"/>
        </w:rPr>
      </w:pPr>
      <w:r>
        <w:rPr>
          <w:rFonts w:cs="Arial"/>
        </w:rPr>
        <w:t>Trattandosi di interventi che non richiedono lunghi tempi di progettazione, il credito proposto ha un benvenuto effetto anticiclico in un periodo pandemico in cui è probabile attendersi un rallentamento generale anche dell’edilizia e dei vari rami economici annessi.</w:t>
      </w:r>
    </w:p>
    <w:p w:rsidR="0039770F" w:rsidRPr="00B221B1" w:rsidRDefault="0039770F" w:rsidP="0039770F">
      <w:pPr>
        <w:tabs>
          <w:tab w:val="left" w:pos="426"/>
        </w:tabs>
        <w:rPr>
          <w:rFonts w:cs="Arial"/>
        </w:rPr>
      </w:pPr>
      <w:r>
        <w:rPr>
          <w:rFonts w:cs="Arial"/>
        </w:rPr>
        <w:t>Ricordiamo infine che l</w:t>
      </w:r>
      <w:r w:rsidRPr="00B221B1">
        <w:rPr>
          <w:rFonts w:cs="Arial"/>
        </w:rPr>
        <w:t>o stanziamento del credito proposto con l’allegato decreto legislativo richiede l’approvazione da parte della maggioranza assoluta dei membri del Gran Consiglio (cfr. art. 5 cpv. 3 LGF).</w:t>
      </w:r>
    </w:p>
    <w:p w:rsidR="007C2822" w:rsidRDefault="007C2822" w:rsidP="007C2822">
      <w:pPr>
        <w:rPr>
          <w:rFonts w:cs="Arial"/>
          <w:szCs w:val="24"/>
        </w:rPr>
      </w:pPr>
    </w:p>
    <w:p w:rsidR="007C2822" w:rsidRPr="00B860C2" w:rsidRDefault="007C2822" w:rsidP="007C2822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7C2822" w:rsidRDefault="007C2822" w:rsidP="0039770F">
      <w:pPr>
        <w:tabs>
          <w:tab w:val="left" w:pos="426"/>
        </w:tabs>
        <w:rPr>
          <w:rFonts w:cs="Arial"/>
        </w:rPr>
      </w:pPr>
    </w:p>
    <w:p w:rsidR="0039770F" w:rsidRDefault="0039770F" w:rsidP="0039770F">
      <w:pPr>
        <w:tabs>
          <w:tab w:val="left" w:pos="426"/>
        </w:tabs>
        <w:rPr>
          <w:rFonts w:cs="Arial"/>
        </w:rPr>
      </w:pPr>
      <w:r>
        <w:rPr>
          <w:rFonts w:cs="Arial"/>
        </w:rPr>
        <w:t>In base alle considerazioni espresse</w:t>
      </w:r>
      <w:r w:rsidR="00B01558">
        <w:rPr>
          <w:rFonts w:cs="Arial"/>
        </w:rPr>
        <w:t>,</w:t>
      </w:r>
      <w:r>
        <w:rPr>
          <w:rFonts w:cs="Arial"/>
        </w:rPr>
        <w:t xml:space="preserve"> la Commissione invita il Parlamento ad approvare il messaggio in oggetto.</w:t>
      </w:r>
    </w:p>
    <w:p w:rsidR="00B860C2" w:rsidRDefault="00B860C2" w:rsidP="00B860C2"/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7C2822">
        <w:rPr>
          <w:rFonts w:cs="Arial"/>
          <w:szCs w:val="24"/>
        </w:rPr>
        <w:t xml:space="preserve"> gestione e finanze:</w:t>
      </w:r>
    </w:p>
    <w:p w:rsidR="00B860C2" w:rsidRPr="00076E70" w:rsidRDefault="007C2822" w:rsidP="00B860C2">
      <w:pPr>
        <w:rPr>
          <w:rFonts w:cs="Arial"/>
          <w:szCs w:val="24"/>
        </w:rPr>
      </w:pPr>
      <w:r>
        <w:rPr>
          <w:rFonts w:cs="Arial"/>
          <w:szCs w:val="24"/>
        </w:rPr>
        <w:t>Bixio Caprara, Michele Guerra, Fiorenzo Dadò e Anna Biscossa, relatori</w:t>
      </w:r>
    </w:p>
    <w:p w:rsidR="007C2822" w:rsidRDefault="007C2822" w:rsidP="007C2822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Bang - Bignasca - Bourgoin - </w:t>
      </w:r>
    </w:p>
    <w:p w:rsidR="007C2822" w:rsidRDefault="007C2822" w:rsidP="007C2822">
      <w:pPr>
        <w:rPr>
          <w:rFonts w:cs="Arial"/>
        </w:rPr>
      </w:pPr>
      <w:r>
        <w:rPr>
          <w:rFonts w:cs="Arial"/>
        </w:rPr>
        <w:t xml:space="preserve">Durisch - Ferrara - Gianella Alessandra - </w:t>
      </w:r>
    </w:p>
    <w:p w:rsidR="007C2822" w:rsidRDefault="007C2822" w:rsidP="007C2822">
      <w:pPr>
        <w:rPr>
          <w:rFonts w:cs="Arial"/>
        </w:rPr>
      </w:pPr>
      <w:r>
        <w:rPr>
          <w:rFonts w:cs="Arial"/>
        </w:rPr>
        <w:t>Jelmini - Pamini (con riserva) - Pini - Quadranti</w:t>
      </w:r>
    </w:p>
    <w:bookmarkEnd w:id="2"/>
    <w:bookmarkEnd w:id="3"/>
    <w:p w:rsidR="00B860C2" w:rsidRDefault="00B860C2" w:rsidP="00B860C2">
      <w:pPr>
        <w:tabs>
          <w:tab w:val="left" w:pos="284"/>
        </w:tabs>
      </w:pPr>
    </w:p>
    <w:p w:rsidR="006E4AE2" w:rsidRPr="00B860C2" w:rsidRDefault="006E4AE2" w:rsidP="00B860C2"/>
    <w:sectPr w:rsidR="006E4AE2" w:rsidRP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F4187" w:rsidRPr="00AF4187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  <w:footnote w:id="1">
    <w:p w:rsidR="0039770F" w:rsidRDefault="0039770F" w:rsidP="0039770F">
      <w:pPr>
        <w:pStyle w:val="Testonotaapidipagina"/>
        <w:tabs>
          <w:tab w:val="left" w:pos="284"/>
        </w:tabs>
      </w:pPr>
      <w:r>
        <w:rPr>
          <w:rStyle w:val="Rimandonotaapidipagina"/>
          <w:rFonts w:eastAsiaTheme="majorEastAsia"/>
        </w:rPr>
        <w:footnoteRef/>
      </w:r>
      <w:r>
        <w:tab/>
        <w:t xml:space="preserve">Certificato Energetico Cantonale degli Edifici, </w:t>
      </w:r>
      <w:hyperlink r:id="rId1" w:history="1">
        <w:r>
          <w:rPr>
            <w:rStyle w:val="Collegamentoipertestuale"/>
          </w:rPr>
          <w:t>www.cece.ch</w:t>
        </w:r>
      </w:hyperlink>
      <w:r>
        <w:t xml:space="preserve"> </w:t>
      </w:r>
    </w:p>
  </w:footnote>
  <w:footnote w:id="2">
    <w:p w:rsidR="0039770F" w:rsidRDefault="0039770F" w:rsidP="0039770F">
      <w:pPr>
        <w:pStyle w:val="Testonotaapidipagina"/>
        <w:tabs>
          <w:tab w:val="left" w:pos="284"/>
        </w:tabs>
      </w:pPr>
      <w:r>
        <w:rPr>
          <w:rStyle w:val="Rimandonotaapidipagina"/>
          <w:rFonts w:eastAsiaTheme="majorEastAsia"/>
        </w:rPr>
        <w:footnoteRef/>
      </w:r>
      <w:r>
        <w:tab/>
      </w:r>
      <w:hyperlink r:id="rId2" w:history="1">
        <w:r>
          <w:rPr>
            <w:rStyle w:val="Collegamentoipertestuale"/>
          </w:rPr>
          <w:t>www.minergie.ch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F6CBC"/>
    <w:multiLevelType w:val="hybridMultilevel"/>
    <w:tmpl w:val="7510815E"/>
    <w:lvl w:ilvl="0" w:tplc="08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793E2E"/>
    <w:multiLevelType w:val="hybridMultilevel"/>
    <w:tmpl w:val="5288A71E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B59"/>
    <w:multiLevelType w:val="hybridMultilevel"/>
    <w:tmpl w:val="211ECE8C"/>
    <w:lvl w:ilvl="0" w:tplc="8988A6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0C34F9"/>
    <w:multiLevelType w:val="hybridMultilevel"/>
    <w:tmpl w:val="E5E4E09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39770F"/>
    <w:rsid w:val="0052425A"/>
    <w:rsid w:val="00586A8D"/>
    <w:rsid w:val="006C17AA"/>
    <w:rsid w:val="006D7A3B"/>
    <w:rsid w:val="006E4AE2"/>
    <w:rsid w:val="007352D3"/>
    <w:rsid w:val="00745003"/>
    <w:rsid w:val="007B5462"/>
    <w:rsid w:val="007C282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F4187"/>
    <w:rsid w:val="00B01558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845DEA14-F2E1-48F0-86BB-A9A771B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qFormat/>
    <w:rsid w:val="0039770F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770F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39770F"/>
    <w:rPr>
      <w:vertAlign w:val="superscript"/>
    </w:rPr>
  </w:style>
  <w:style w:type="character" w:styleId="Collegamentoipertestuale">
    <w:name w:val="Hyperlink"/>
    <w:uiPriority w:val="99"/>
    <w:unhideWhenUsed/>
    <w:rsid w:val="0039770F"/>
    <w:rPr>
      <w:color w:val="0000FF"/>
      <w:u w:val="single"/>
    </w:rPr>
  </w:style>
  <w:style w:type="paragraph" w:styleId="NormaleWeb">
    <w:name w:val="Normal (Web)"/>
    <w:basedOn w:val="Normale"/>
    <w:uiPriority w:val="99"/>
    <w:rsid w:val="00397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rgie.ch" TargetMode="External"/><Relationship Id="rId1" Type="http://schemas.openxmlformats.org/officeDocument/2006/relationships/hyperlink" Target="http://www.cec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0524-4FB2-4E86-9D4D-E77643D8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2021-01-13T10:02:00Z</cp:lastPrinted>
  <dcterms:created xsi:type="dcterms:W3CDTF">2021-01-13T10:03:00Z</dcterms:created>
  <dcterms:modified xsi:type="dcterms:W3CDTF">2021-01-13T10:03:00Z</dcterms:modified>
</cp:coreProperties>
</file>