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F8" w:rsidRDefault="00043CF8" w:rsidP="00043CF8">
      <w:pPr>
        <w:rPr>
          <w:rFonts w:ascii="Gill Sans MT" w:hAnsi="Gill Sans MT"/>
          <w:b/>
          <w:sz w:val="56"/>
          <w:szCs w:val="56"/>
        </w:rPr>
      </w:pPr>
      <w:r>
        <w:rPr>
          <w:rFonts w:ascii="Gill Sans MT" w:hAnsi="Gill Sans MT"/>
          <w:b/>
          <w:sz w:val="56"/>
          <w:szCs w:val="56"/>
        </w:rPr>
        <w:t>Rapporto</w:t>
      </w:r>
    </w:p>
    <w:p w:rsidR="00C84019" w:rsidRPr="00043CF8" w:rsidRDefault="00C84019" w:rsidP="00AB1B96">
      <w:pPr>
        <w:tabs>
          <w:tab w:val="left" w:pos="2098"/>
          <w:tab w:val="left" w:pos="4933"/>
        </w:tabs>
        <w:rPr>
          <w:sz w:val="29"/>
          <w:szCs w:val="29"/>
        </w:rPr>
      </w:pPr>
    </w:p>
    <w:p w:rsidR="002A1D30" w:rsidRPr="00043CF8" w:rsidRDefault="002A1D30" w:rsidP="00AB1B96">
      <w:pPr>
        <w:tabs>
          <w:tab w:val="left" w:pos="2098"/>
          <w:tab w:val="left" w:pos="4933"/>
        </w:tabs>
        <w:rPr>
          <w:sz w:val="29"/>
          <w:szCs w:val="29"/>
        </w:rPr>
      </w:pPr>
    </w:p>
    <w:p w:rsidR="00BF3FC3" w:rsidRDefault="00F8277A" w:rsidP="00AB1B96">
      <w:pPr>
        <w:tabs>
          <w:tab w:val="left" w:pos="2098"/>
          <w:tab w:val="left" w:pos="4933"/>
        </w:tabs>
      </w:pPr>
      <w:r>
        <w:rPr>
          <w:b/>
          <w:sz w:val="32"/>
        </w:rPr>
        <w:t>7</w:t>
      </w:r>
      <w:r w:rsidR="00531F42">
        <w:rPr>
          <w:b/>
          <w:sz w:val="32"/>
        </w:rPr>
        <w:t>9</w:t>
      </w:r>
      <w:bookmarkStart w:id="0" w:name="_GoBack"/>
      <w:bookmarkEnd w:id="0"/>
      <w:r w:rsidR="00531F42">
        <w:rPr>
          <w:b/>
          <w:sz w:val="32"/>
        </w:rPr>
        <w:t>83</w:t>
      </w:r>
      <w:r w:rsidR="00AB1B96">
        <w:rPr>
          <w:b/>
          <w:sz w:val="32"/>
        </w:rPr>
        <w:t xml:space="preserve"> R</w:t>
      </w:r>
      <w:r w:rsidR="00BF3FC3">
        <w:rPr>
          <w:sz w:val="28"/>
        </w:rPr>
        <w:tab/>
      </w:r>
      <w:r w:rsidR="00264AA9">
        <w:rPr>
          <w:sz w:val="28"/>
        </w:rPr>
        <w:t>2</w:t>
      </w:r>
      <w:r w:rsidR="00B94646">
        <w:rPr>
          <w:sz w:val="28"/>
        </w:rPr>
        <w:t xml:space="preserve">0 aprile </w:t>
      </w:r>
      <w:r>
        <w:rPr>
          <w:sz w:val="28"/>
        </w:rPr>
        <w:t>20</w:t>
      </w:r>
      <w:r w:rsidR="00FF2D3A">
        <w:rPr>
          <w:sz w:val="28"/>
        </w:rPr>
        <w:t>2</w:t>
      </w:r>
      <w:r w:rsidR="009B297E">
        <w:rPr>
          <w:sz w:val="28"/>
        </w:rPr>
        <w:t>1</w:t>
      </w:r>
      <w:r w:rsidR="00BF3FC3">
        <w:rPr>
          <w:sz w:val="28"/>
        </w:rPr>
        <w:tab/>
      </w:r>
      <w:r w:rsidR="002A1D30">
        <w:rPr>
          <w:sz w:val="28"/>
        </w:rPr>
        <w:t>FINANZE E ECONOMIA</w:t>
      </w:r>
    </w:p>
    <w:p w:rsidR="00BF3FC3" w:rsidRDefault="00BF3FC3" w:rsidP="00AB1B96"/>
    <w:p w:rsidR="00FD5A47" w:rsidRDefault="00FD5A47" w:rsidP="00AB1B96"/>
    <w:p w:rsidR="00EA73B9" w:rsidRDefault="00EA73B9" w:rsidP="00AB1B96"/>
    <w:p w:rsidR="002A1D30" w:rsidRDefault="00EA73B9" w:rsidP="00AB1B96">
      <w:pPr>
        <w:rPr>
          <w:b/>
          <w:sz w:val="28"/>
          <w:szCs w:val="28"/>
        </w:rPr>
      </w:pPr>
      <w:r w:rsidRPr="00B94646">
        <w:rPr>
          <w:b/>
          <w:sz w:val="28"/>
          <w:szCs w:val="28"/>
        </w:rPr>
        <w:t xml:space="preserve">della </w:t>
      </w:r>
      <w:r w:rsidR="002A1D30">
        <w:rPr>
          <w:b/>
          <w:sz w:val="28"/>
          <w:szCs w:val="28"/>
        </w:rPr>
        <w:t>C</w:t>
      </w:r>
      <w:r w:rsidRPr="00B94646">
        <w:rPr>
          <w:b/>
          <w:sz w:val="28"/>
          <w:szCs w:val="28"/>
        </w:rPr>
        <w:t xml:space="preserve">ommissione </w:t>
      </w:r>
      <w:r w:rsidR="002A1D30">
        <w:rPr>
          <w:b/>
          <w:sz w:val="28"/>
          <w:szCs w:val="28"/>
        </w:rPr>
        <w:t>g</w:t>
      </w:r>
      <w:r w:rsidRPr="00B94646">
        <w:rPr>
          <w:b/>
          <w:sz w:val="28"/>
          <w:szCs w:val="28"/>
        </w:rPr>
        <w:t>estione</w:t>
      </w:r>
      <w:r w:rsidR="002A1D30">
        <w:rPr>
          <w:b/>
          <w:sz w:val="28"/>
          <w:szCs w:val="28"/>
        </w:rPr>
        <w:t xml:space="preserve"> e finanze</w:t>
      </w:r>
    </w:p>
    <w:p w:rsidR="00531F42" w:rsidRPr="001A51E7" w:rsidRDefault="00531F42" w:rsidP="00531F42">
      <w:pPr>
        <w:rPr>
          <w:rFonts w:cs="Arial"/>
          <w:b/>
          <w:sz w:val="28"/>
          <w:szCs w:val="28"/>
        </w:rPr>
      </w:pPr>
      <w:r>
        <w:rPr>
          <w:rFonts w:cs="Arial"/>
          <w:b/>
          <w:sz w:val="28"/>
          <w:szCs w:val="28"/>
        </w:rPr>
        <w:t>sul messaggio 14 aprile 2021</w:t>
      </w:r>
      <w:r w:rsidR="00214D08">
        <w:rPr>
          <w:rFonts w:cs="Arial"/>
          <w:b/>
          <w:sz w:val="28"/>
          <w:szCs w:val="28"/>
        </w:rPr>
        <w:t xml:space="preserve"> </w:t>
      </w:r>
      <w:r w:rsidR="000A2D70">
        <w:rPr>
          <w:rFonts w:cs="Arial"/>
          <w:b/>
          <w:sz w:val="28"/>
          <w:szCs w:val="28"/>
        </w:rPr>
        <w:t>concernente i</w:t>
      </w:r>
      <w:r>
        <w:rPr>
          <w:rFonts w:cs="Arial"/>
          <w:b/>
          <w:sz w:val="28"/>
          <w:szCs w:val="28"/>
        </w:rPr>
        <w:t xml:space="preserve"> </w:t>
      </w:r>
      <w:r w:rsidR="00137EDD">
        <w:rPr>
          <w:rFonts w:cs="Arial"/>
          <w:b/>
          <w:sz w:val="28"/>
          <w:szCs w:val="28"/>
        </w:rPr>
        <w:t>c</w:t>
      </w:r>
      <w:r w:rsidRPr="002D01C4">
        <w:rPr>
          <w:rFonts w:cs="Arial"/>
          <w:b/>
          <w:sz w:val="28"/>
          <w:szCs w:val="28"/>
        </w:rPr>
        <w:t>asi di rigore: aumento della dotazione finanziaria e adeguamento della Legge sullo stanziamento di un credito lordo di 75.6 milioni di franchi e netto di 24.52 milioni di franchi per l’adozione di misure a favore dei casi di rigore ai sensi dell’ordinanza COVID-19 sui casi di rigore</w:t>
      </w:r>
    </w:p>
    <w:p w:rsidR="00531F42" w:rsidRDefault="00531F42" w:rsidP="00531F42">
      <w:pPr>
        <w:pStyle w:val="Corpotesto"/>
        <w:rPr>
          <w:szCs w:val="24"/>
          <w:lang w:val="it-CH"/>
        </w:rPr>
      </w:pPr>
    </w:p>
    <w:p w:rsidR="00531F42" w:rsidRDefault="00531F42" w:rsidP="00531F42">
      <w:pPr>
        <w:pStyle w:val="Corpotesto"/>
        <w:rPr>
          <w:szCs w:val="24"/>
          <w:lang w:val="it-CH"/>
        </w:rPr>
      </w:pPr>
    </w:p>
    <w:p w:rsidR="00214D08" w:rsidRPr="005944F6" w:rsidRDefault="00214D08" w:rsidP="00531F42">
      <w:pPr>
        <w:pStyle w:val="Corpotesto"/>
        <w:rPr>
          <w:szCs w:val="24"/>
          <w:lang w:val="it-CH"/>
        </w:rPr>
      </w:pPr>
    </w:p>
    <w:p w:rsidR="00531F42" w:rsidRPr="009D0963" w:rsidRDefault="00531F42" w:rsidP="00531F42">
      <w:pPr>
        <w:pStyle w:val="Titolo1"/>
        <w:numPr>
          <w:ilvl w:val="0"/>
          <w:numId w:val="23"/>
        </w:numPr>
        <w:ind w:left="0" w:firstLine="0"/>
        <w:jc w:val="left"/>
      </w:pPr>
      <w:bookmarkStart w:id="1" w:name="_Toc432594754"/>
      <w:bookmarkStart w:id="2" w:name="_Toc69137491"/>
      <w:r>
        <w:t xml:space="preserve">premesse </w:t>
      </w:r>
      <w:bookmarkEnd w:id="1"/>
      <w:bookmarkEnd w:id="2"/>
    </w:p>
    <w:p w:rsidR="00531F42" w:rsidRDefault="00531F42" w:rsidP="00531F42">
      <w:pPr>
        <w:pStyle w:val="Corpotesto"/>
      </w:pPr>
      <w:r>
        <w:t xml:space="preserve">Il 25 gennaio 2021 è stato approvato dal Gran Consiglio il messaggio n. 7948 del </w:t>
      </w:r>
      <w:r>
        <w:br/>
        <w:t>23 dicembre 2020, con alcuni emendamenti resisi necessari per tener conto delle modifiche introdotte il 13 gennaio dal Consiglio federale, in particolare con l’introduzione di</w:t>
      </w:r>
      <w:r>
        <w:rPr>
          <w:rFonts w:cs="Arial"/>
          <w:szCs w:val="24"/>
        </w:rPr>
        <w:t xml:space="preserve"> un programma parallelo per le imprese </w:t>
      </w:r>
      <w:r w:rsidRPr="009F362E">
        <w:rPr>
          <w:rFonts w:cs="Arial"/>
          <w:szCs w:val="24"/>
        </w:rPr>
        <w:t>che a partire dal 1° novembre 2020 hanno dovuto chiudere la loro attività per almeno 40 giorni su ordine delle autorità</w:t>
      </w:r>
      <w:r>
        <w:rPr>
          <w:rFonts w:cs="Arial"/>
          <w:szCs w:val="24"/>
        </w:rPr>
        <w:t xml:space="preserve">. </w:t>
      </w:r>
    </w:p>
    <w:p w:rsidR="00531F42" w:rsidRDefault="00531F42" w:rsidP="00531F42">
      <w:pPr>
        <w:pStyle w:val="Corpotesto"/>
      </w:pPr>
    </w:p>
    <w:p w:rsidR="00531F42" w:rsidRDefault="00531F42" w:rsidP="00531F42">
      <w:pPr>
        <w:pStyle w:val="Corpotesto"/>
      </w:pPr>
      <w:r>
        <w:t xml:space="preserve">Il 27 gennaio 2021 il </w:t>
      </w:r>
      <w:r w:rsidRPr="004E3A82">
        <w:t xml:space="preserve">Consiglio di Stato ha approvato il decreto esecutivo concernente l’adozione di misure a favore dei casi di rigore ai sensi dell’ordinanza COVID-19 sui casi di rigore, </w:t>
      </w:r>
      <w:r>
        <w:t>in modo</w:t>
      </w:r>
      <w:r w:rsidRPr="004E3A82">
        <w:t xml:space="preserve"> da permettere un avvio rapido del progr</w:t>
      </w:r>
      <w:r>
        <w:t>amma relativo ai casi di rigore. Il</w:t>
      </w:r>
      <w:r w:rsidRPr="004E3A82">
        <w:t xml:space="preserve"> </w:t>
      </w:r>
      <w:r>
        <w:br/>
        <w:t xml:space="preserve">1° febbraio </w:t>
      </w:r>
      <w:r w:rsidRPr="004E3A82">
        <w:t xml:space="preserve">2021 </w:t>
      </w:r>
      <w:r>
        <w:t>è stato attivato il sito cantonale dedicato ai casi di rigore (</w:t>
      </w:r>
      <w:hyperlink r:id="rId8" w:history="1">
        <w:r w:rsidRPr="00DC3A66">
          <w:rPr>
            <w:rStyle w:val="Collegamentoipertestuale"/>
          </w:rPr>
          <w:t>www.ti.ch/casidirigore</w:t>
        </w:r>
      </w:hyperlink>
      <w:r>
        <w:t>) sul quale si trovano tutte l</w:t>
      </w:r>
      <w:r w:rsidRPr="004E3A82">
        <w:t xml:space="preserve">e indicazioni di dettaglio e </w:t>
      </w:r>
      <w:r>
        <w:t>dal 4 febbraio 2021 le imprese hanno potuto inoltrare le richieste di aiuto. Le prime decisioni di stanziamento sono avvenute il 12 febbraio 2021.</w:t>
      </w:r>
    </w:p>
    <w:p w:rsidR="00531F42" w:rsidRDefault="00531F42" w:rsidP="00531F42">
      <w:pPr>
        <w:pStyle w:val="Corpotesto"/>
      </w:pPr>
    </w:p>
    <w:p w:rsidR="00531F42" w:rsidRDefault="00531F42" w:rsidP="00531F42">
      <w:pPr>
        <w:pStyle w:val="Corpotesto"/>
      </w:pPr>
      <w:r>
        <w:t>Il Governo ha indicato che al 31 marzo 2021, sono state evase e decise oltre 1000 richieste su 1591 con una erogazione di complessivi 41.6 milioni di franchi che aggiornato al 19 aprile ammontava a 54 milioni. Le domande non ancora evase lo sono o perché le domande sono incomplete o necessitano ancora di qualche chiarimento. La tempistica di evasione varia da 3 a 5 settimane. Il governo ha altresì reso noto, rispondendo ad una interpellanza, che la base legale federale necessaria per trattare la quarantina di richieste provenienti da imprese con cifra d’affari superiore a 5 milioni di franchi, come pure l’inclusione delle aziende create anche dopo il fatidico 1° marzo 2020, è entrata in vigore solo il 1° aprile 2021 e quindi non potevano essere esaminate prima.</w:t>
      </w:r>
    </w:p>
    <w:p w:rsidR="00531F42" w:rsidRDefault="00531F42" w:rsidP="00531F42">
      <w:pPr>
        <w:pStyle w:val="Corpotesto"/>
      </w:pPr>
    </w:p>
    <w:p w:rsidR="00531F42" w:rsidRDefault="00531F42" w:rsidP="00531F42">
      <w:pPr>
        <w:pStyle w:val="Corpotesto"/>
      </w:pPr>
      <w:r>
        <w:t>Da gennaio ad oggi, il programma federale relativo ai casi di rigore ha subito ulteriori modifiche e di conseguenza anche l’attuazione cantonale è stata di volta in volta adattata, segnatamente in base a quanto consentito da e entro i limiti del decreto esecutivo.</w:t>
      </w:r>
    </w:p>
    <w:p w:rsidR="00531F42" w:rsidRDefault="00531F42" w:rsidP="00531F42">
      <w:pPr>
        <w:pStyle w:val="Corpotesto"/>
      </w:pPr>
    </w:p>
    <w:p w:rsidR="00531F42" w:rsidRDefault="00531F42" w:rsidP="00531F42">
      <w:pPr>
        <w:pStyle w:val="Corpotesto"/>
      </w:pPr>
      <w:r>
        <w:t>Il 19 marzo 2021 le camere federali hanno approvato ulteriori modifiche all’art 12 della Legge Covid-19 concernente i casi di rigore, entrate in vigore il 20 marzo e la relativa ordinanza federale aggiornata è stata approvata dal Consiglio federale il 31 marzo 2021 ed è entrata in vigore il 1° aprile 2021.</w:t>
      </w:r>
    </w:p>
    <w:p w:rsidR="00531F42" w:rsidRDefault="00531F42" w:rsidP="00531F42">
      <w:pPr>
        <w:pStyle w:val="Corpotesto"/>
      </w:pPr>
      <w:r>
        <w:lastRenderedPageBreak/>
        <w:t>Di seguito le principali novità introdotte a livello federale:</w:t>
      </w:r>
    </w:p>
    <w:p w:rsidR="00531F42" w:rsidRDefault="00531F42" w:rsidP="00531F42">
      <w:pPr>
        <w:pStyle w:val="Corpotesto"/>
        <w:numPr>
          <w:ilvl w:val="0"/>
          <w:numId w:val="24"/>
        </w:numPr>
        <w:spacing w:before="120" w:after="120"/>
        <w:ind w:left="284" w:hanging="284"/>
      </w:pPr>
      <w:r>
        <w:t>per le i</w:t>
      </w:r>
      <w:r w:rsidRPr="006E3C0A">
        <w:t xml:space="preserve">mprese con </w:t>
      </w:r>
      <w:r>
        <w:t xml:space="preserve">una </w:t>
      </w:r>
      <w:r w:rsidRPr="006E3C0A">
        <w:t xml:space="preserve">cifra d’affari superiore a CHF 5 milioni </w:t>
      </w:r>
      <w:r>
        <w:t xml:space="preserve">sono state stabilite dalla Confederazione delle </w:t>
      </w:r>
      <w:r w:rsidRPr="006E3C0A">
        <w:t>norme vincolanti a livello nazionale</w:t>
      </w:r>
      <w:r>
        <w:t xml:space="preserve">. Il loro finanziamento sarà </w:t>
      </w:r>
      <w:r w:rsidRPr="006E3C0A">
        <w:t xml:space="preserve">interamente </w:t>
      </w:r>
      <w:r>
        <w:t>a carico de</w:t>
      </w:r>
      <w:r w:rsidRPr="006E3C0A">
        <w:t>lla Confederazione</w:t>
      </w:r>
      <w:r>
        <w:t xml:space="preserve">, senza alcuna partecipazione finanziaria cantonale. Ai </w:t>
      </w:r>
      <w:r w:rsidRPr="006E3C0A">
        <w:t xml:space="preserve">Cantoni </w:t>
      </w:r>
      <w:r>
        <w:t>rimane però</w:t>
      </w:r>
      <w:r w:rsidRPr="006E3C0A">
        <w:t xml:space="preserve"> </w:t>
      </w:r>
      <w:r>
        <w:t xml:space="preserve">la </w:t>
      </w:r>
      <w:r w:rsidRPr="006E3C0A">
        <w:t>responsabili</w:t>
      </w:r>
      <w:r>
        <w:t>tà</w:t>
      </w:r>
      <w:r w:rsidRPr="006E3C0A">
        <w:t xml:space="preserve"> </w:t>
      </w:r>
      <w:r>
        <w:t>dell’esame delle</w:t>
      </w:r>
      <w:r w:rsidRPr="006E3C0A">
        <w:t xml:space="preserve"> richieste</w:t>
      </w:r>
      <w:r>
        <w:t xml:space="preserve"> e dalla relativa decisione sugli aiuti;</w:t>
      </w:r>
    </w:p>
    <w:p w:rsidR="00531F42" w:rsidRPr="006E3C0A" w:rsidRDefault="00531F42" w:rsidP="00531F42">
      <w:pPr>
        <w:pStyle w:val="Corpotesto"/>
        <w:numPr>
          <w:ilvl w:val="0"/>
          <w:numId w:val="24"/>
        </w:numPr>
        <w:spacing w:before="120" w:after="120"/>
        <w:ind w:left="284" w:hanging="284"/>
      </w:pPr>
      <w:r>
        <w:t xml:space="preserve">per le imprese con una cifra d’affari inferiore a CHF 5 milioni la Confederazione </w:t>
      </w:r>
      <w:r w:rsidRPr="00810771">
        <w:t>si assume il 70 per cento dei costi dei provvedimenti per i casi di rigore, mentre il restante 30% è a carico dei Cantoni;</w:t>
      </w:r>
    </w:p>
    <w:p w:rsidR="00531F42" w:rsidRDefault="00531F42" w:rsidP="00531F42">
      <w:pPr>
        <w:pStyle w:val="Corpotesto"/>
        <w:numPr>
          <w:ilvl w:val="0"/>
          <w:numId w:val="24"/>
        </w:numPr>
        <w:spacing w:before="120" w:after="120"/>
        <w:ind w:left="284" w:hanging="284"/>
      </w:pPr>
      <w:r>
        <w:t>il programma dei casi di rigore è esteso anche alle imprese costituite tra il 1° marzo 2020 e il 30 settembre 2020;</w:t>
      </w:r>
    </w:p>
    <w:p w:rsidR="00531F42" w:rsidRDefault="00531F42" w:rsidP="00531F42">
      <w:pPr>
        <w:pStyle w:val="Corpotesto"/>
        <w:numPr>
          <w:ilvl w:val="0"/>
          <w:numId w:val="24"/>
        </w:numPr>
        <w:spacing w:before="120" w:after="120"/>
        <w:ind w:left="284" w:hanging="284"/>
      </w:pPr>
      <w:r w:rsidRPr="00FB1F55">
        <w:t xml:space="preserve">la competenza per la procedura concernente i casi di rigore spetta al Cantone nel quale l’impresa aveva la propria sede il 1° ottobre 2020. Il Cantone sostiene </w:t>
      </w:r>
      <w:r>
        <w:t xml:space="preserve">non </w:t>
      </w:r>
      <w:r w:rsidRPr="00FB1F55">
        <w:t xml:space="preserve">soltanto la sede dell’impresa e le succursali ubicate nel suo territorio, ma per il calcolo della prestazione tiene conto di tutte le </w:t>
      </w:r>
      <w:r>
        <w:t xml:space="preserve">altre </w:t>
      </w:r>
      <w:r w:rsidRPr="00FB1F55">
        <w:t>succ</w:t>
      </w:r>
      <w:r>
        <w:t>ursali svizzere dell’impresa;</w:t>
      </w:r>
    </w:p>
    <w:p w:rsidR="00531F42" w:rsidRPr="001A51E7" w:rsidRDefault="00531F42" w:rsidP="00531F42">
      <w:pPr>
        <w:pStyle w:val="Corpotesto"/>
        <w:numPr>
          <w:ilvl w:val="0"/>
          <w:numId w:val="24"/>
        </w:numPr>
        <w:spacing w:before="120"/>
        <w:ind w:left="284" w:hanging="284"/>
        <w:rPr>
          <w:lang w:val="it-CH"/>
        </w:rPr>
      </w:pPr>
      <w:r w:rsidRPr="00FB1F55">
        <w:rPr>
          <w:bCs/>
        </w:rPr>
        <w:t xml:space="preserve">aumento della dotazione finanziaria federale per i casi di rigore, in modo da potere finanziare nella misura del 100% (nel caso delle imprese con una cifra d’affari superiore a CHF 5 milioni) o del 70% (nel caso delle imprese con una cifra d’affari inferiore a CHF 5 milioni) </w:t>
      </w:r>
      <w:r>
        <w:rPr>
          <w:bCs/>
        </w:rPr>
        <w:t xml:space="preserve">tutte </w:t>
      </w:r>
      <w:r w:rsidRPr="00FB1F55">
        <w:rPr>
          <w:bCs/>
        </w:rPr>
        <w:t xml:space="preserve">le misure conformi alla legge </w:t>
      </w:r>
      <w:r>
        <w:rPr>
          <w:bCs/>
        </w:rPr>
        <w:t xml:space="preserve">e all’ordinanza federale </w:t>
      </w:r>
      <w:r w:rsidRPr="00FB1F55">
        <w:rPr>
          <w:bCs/>
        </w:rPr>
        <w:t xml:space="preserve">decise dai cantoni, senza più prevedere una ripartizione </w:t>
      </w:r>
      <w:r>
        <w:rPr>
          <w:bCs/>
        </w:rPr>
        <w:t xml:space="preserve">prestabilita </w:t>
      </w:r>
      <w:r w:rsidRPr="00FB1F55">
        <w:rPr>
          <w:bCs/>
        </w:rPr>
        <w:t>tra singoli cantoni.</w:t>
      </w:r>
    </w:p>
    <w:p w:rsidR="00531F42" w:rsidRDefault="00531F42" w:rsidP="00531F42">
      <w:pPr>
        <w:pStyle w:val="Corpotesto"/>
        <w:rPr>
          <w:lang w:val="it-CH"/>
        </w:rPr>
      </w:pPr>
    </w:p>
    <w:p w:rsidR="00531F42" w:rsidRDefault="00531F42" w:rsidP="00531F42">
      <w:pPr>
        <w:pStyle w:val="Corpotesto"/>
        <w:rPr>
          <w:lang w:val="it-CH"/>
        </w:rPr>
      </w:pPr>
      <w:r>
        <w:rPr>
          <w:lang w:val="it-CH"/>
        </w:rPr>
        <w:t>Tra Confederazione, Cantone e Commissione gestione e finanze vi è stato un</w:t>
      </w:r>
      <w:r w:rsidRPr="007E6FC5">
        <w:rPr>
          <w:lang w:val="it-CH"/>
        </w:rPr>
        <w:t xml:space="preserve"> regolare scambio di informazioni</w:t>
      </w:r>
      <w:r>
        <w:rPr>
          <w:lang w:val="it-CH"/>
        </w:rPr>
        <w:t xml:space="preserve"> circa le continue modifiche al dispositivo dei casi di rigore.</w:t>
      </w:r>
    </w:p>
    <w:p w:rsidR="00531F42" w:rsidRDefault="00531F42" w:rsidP="00531F42">
      <w:pPr>
        <w:pStyle w:val="Corpotesto"/>
        <w:rPr>
          <w:lang w:val="it-CH"/>
        </w:rPr>
      </w:pPr>
    </w:p>
    <w:p w:rsidR="00531F42" w:rsidRDefault="00531F42" w:rsidP="00531F42">
      <w:pPr>
        <w:pStyle w:val="Corpotesto"/>
        <w:rPr>
          <w:lang w:val="it-CH"/>
        </w:rPr>
      </w:pPr>
      <w:r>
        <w:rPr>
          <w:lang w:val="it-CH"/>
        </w:rPr>
        <w:t xml:space="preserve">Visto quanto sopra e l’approssimarsi dell’esaurimento del credito votato a gennaio, peraltro come si prospettava, un adeguamento della dotazione finanziaria cantonale si rende necessario. </w:t>
      </w:r>
    </w:p>
    <w:p w:rsidR="00531F42" w:rsidRPr="00FB1F55" w:rsidRDefault="00531F42" w:rsidP="00531F42">
      <w:pPr>
        <w:pStyle w:val="Corpotesto"/>
        <w:rPr>
          <w:lang w:val="it-CH"/>
        </w:rPr>
      </w:pPr>
    </w:p>
    <w:p w:rsidR="00531F42" w:rsidRDefault="00531F42" w:rsidP="00214D08">
      <w:pPr>
        <w:pStyle w:val="Corpotesto"/>
        <w:spacing w:after="120"/>
      </w:pPr>
      <w:r>
        <w:t>Come per l’adozione della legge, anche in questo caso il Governo sottopone due testi:</w:t>
      </w:r>
    </w:p>
    <w:p w:rsidR="00531F42" w:rsidRDefault="00531F42" w:rsidP="00214D08">
      <w:pPr>
        <w:pStyle w:val="Corpotesto"/>
        <w:numPr>
          <w:ilvl w:val="0"/>
          <w:numId w:val="24"/>
        </w:numPr>
        <w:spacing w:after="120"/>
        <w:ind w:left="284" w:hanging="284"/>
      </w:pPr>
      <w:r>
        <w:t xml:space="preserve">il disegno di decreto legislativo di modifica della legge </w:t>
      </w:r>
      <w:r w:rsidRPr="0027462E">
        <w:t>propost</w:t>
      </w:r>
      <w:r>
        <w:t>o</w:t>
      </w:r>
      <w:r w:rsidRPr="0027462E">
        <w:t xml:space="preserve"> con la clausola dell'urgenza (artt. 43 della Costituzione cantonale</w:t>
      </w:r>
      <w:r w:rsidRPr="0027462E">
        <w:rPr>
          <w:rStyle w:val="Rimandonotaapidipagina"/>
        </w:rPr>
        <w:footnoteReference w:id="1"/>
      </w:r>
      <w:r w:rsidRPr="0027462E">
        <w:t>, 65 cpv. 1 lett. c e 71 LGC</w:t>
      </w:r>
      <w:r w:rsidRPr="0027462E">
        <w:rPr>
          <w:rStyle w:val="Rimandonotaapidipagina"/>
        </w:rPr>
        <w:footnoteReference w:id="2"/>
      </w:r>
      <w:r w:rsidRPr="0027462E">
        <w:t>), così da poter entrare in vigore immediatamente</w:t>
      </w:r>
      <w:r>
        <w:t xml:space="preserve">; </w:t>
      </w:r>
    </w:p>
    <w:p w:rsidR="00531F42" w:rsidRDefault="00531F42" w:rsidP="00214D08">
      <w:pPr>
        <w:pStyle w:val="Corpotesto"/>
        <w:numPr>
          <w:ilvl w:val="0"/>
          <w:numId w:val="24"/>
        </w:numPr>
        <w:ind w:left="284" w:hanging="284"/>
      </w:pPr>
      <w:r>
        <w:t>un identico decreto volto a modificare a tempo indeterminato la legge, sottoposto dunque a clausola referendaria dei 60 giorni dalla pubblicazione sul FUSC.</w:t>
      </w:r>
    </w:p>
    <w:p w:rsidR="00531F42" w:rsidRDefault="00531F42" w:rsidP="00531F42">
      <w:pPr>
        <w:pStyle w:val="Corpotesto"/>
      </w:pPr>
    </w:p>
    <w:p w:rsidR="00214D08" w:rsidRDefault="00214D08" w:rsidP="00531F42">
      <w:pPr>
        <w:pStyle w:val="Corpotesto"/>
      </w:pPr>
    </w:p>
    <w:p w:rsidR="00531F42" w:rsidRDefault="00531F42" w:rsidP="00531F42">
      <w:pPr>
        <w:pStyle w:val="Corpotesto"/>
      </w:pPr>
    </w:p>
    <w:p w:rsidR="00531F42" w:rsidRDefault="00531F42" w:rsidP="00531F42">
      <w:pPr>
        <w:pStyle w:val="Titolo1"/>
        <w:numPr>
          <w:ilvl w:val="0"/>
          <w:numId w:val="23"/>
        </w:numPr>
        <w:ind w:left="0" w:firstLine="0"/>
      </w:pPr>
      <w:bookmarkStart w:id="3" w:name="_Toc69137492"/>
      <w:bookmarkStart w:id="4" w:name="_Toc432594757"/>
      <w:r>
        <w:t xml:space="preserve">Il Messaggio </w:t>
      </w:r>
    </w:p>
    <w:p w:rsidR="00531F42" w:rsidRDefault="00214D08" w:rsidP="00531F42">
      <w:pPr>
        <w:pStyle w:val="Titolo1"/>
        <w:numPr>
          <w:ilvl w:val="1"/>
          <w:numId w:val="26"/>
        </w:numPr>
      </w:pPr>
      <w:r>
        <w:rPr>
          <w:caps w:val="0"/>
        </w:rPr>
        <w:t>Per l’aumento dotazione finanziaria</w:t>
      </w:r>
      <w:bookmarkEnd w:id="3"/>
    </w:p>
    <w:p w:rsidR="00214D08" w:rsidRDefault="00531F42" w:rsidP="00531F42">
      <w:pPr>
        <w:pStyle w:val="Corpotesto"/>
      </w:pPr>
      <w:r>
        <w:t>L’attuale art. 8 cpv.1 della Legge cantonale per l’adozione di misure a favore dei casi di rigore prevede già per il Consiglio di Stato la facoltà di erogare u</w:t>
      </w:r>
      <w:r w:rsidRPr="000E12EB">
        <w:t>lteriori fondi nella misura in cui fossero esclusivamente a carico della Confederazione</w:t>
      </w:r>
      <w:r>
        <w:t xml:space="preserve">. Come visto sopra, questo è il caso per </w:t>
      </w:r>
      <w:r w:rsidRPr="007E6FC5">
        <w:rPr>
          <w:u w:val="single"/>
        </w:rPr>
        <w:t>le imprese con una cifra d’affari superiore a CHF 5 milioni</w:t>
      </w:r>
      <w:r>
        <w:t xml:space="preserve">. Per il Cantone è quindi possibile stanziare contributi per queste imprese alle condizioni previste nell’Ordinanza federale, senza alcuna limitazione per quanto concerne la dotazione complessiva: la </w:t>
      </w:r>
      <w:r w:rsidR="00214D08">
        <w:br/>
      </w:r>
    </w:p>
    <w:p w:rsidR="00531F42" w:rsidRDefault="00531F42" w:rsidP="00531F42">
      <w:pPr>
        <w:pStyle w:val="Corpotesto"/>
      </w:pPr>
      <w:r>
        <w:lastRenderedPageBreak/>
        <w:t>dotazione finanziaria federale per il finanziamento di questa misura è infatti garantita (attualmente ammonta a 3 miliardi di franchi, ma la Confederazione si è già impegnata ad ampliarla ulteriormente se necessario).</w:t>
      </w:r>
    </w:p>
    <w:p w:rsidR="00531F42" w:rsidRDefault="00531F42" w:rsidP="00531F42">
      <w:pPr>
        <w:pStyle w:val="Corpotesto"/>
      </w:pPr>
      <w:r>
        <w:t xml:space="preserve">Per le </w:t>
      </w:r>
      <w:r w:rsidRPr="007E6FC5">
        <w:rPr>
          <w:u w:val="single"/>
        </w:rPr>
        <w:t>imprese con una cifra d’affari inferiore a CHF 5 milioni</w:t>
      </w:r>
      <w:r>
        <w:t>, la confederazione finanzia ora il 70% delle misure decise dai Cantoni. Non è prevista una ripartizione tra i cantoni della dotazione finanziaria federale. Il finanziamento delle misure adottate dai cantoni, se conformi all’ordinanza federale, è garantito (attualmente ammonta a 6 miliardi di franchi, ma anche in questo caso, se necessario, la Confederazione si è già impegnata ad ampliarla ulteriormente).</w:t>
      </w:r>
    </w:p>
    <w:p w:rsidR="00531F42" w:rsidRDefault="00531F42" w:rsidP="00531F42">
      <w:pPr>
        <w:pStyle w:val="Corpotesto"/>
      </w:pPr>
    </w:p>
    <w:p w:rsidR="00531F42" w:rsidRPr="007E6FC5" w:rsidRDefault="00531F42" w:rsidP="00531F42">
      <w:pPr>
        <w:pStyle w:val="Default"/>
        <w:jc w:val="both"/>
      </w:pPr>
      <w:r w:rsidRPr="007E6FC5">
        <w:t>Oltre ai 9 miliardi di cui sopra, la Confederazione ha inoltre previsto un miliardo quale riserva per i Cantoni particolarmente colpiti dalle conseguenze dell’epidemia di COVID-19, alla quale il Canton Ticino ha già richiesto di poter accedere.</w:t>
      </w:r>
    </w:p>
    <w:p w:rsidR="00531F42" w:rsidRDefault="00531F42" w:rsidP="00531F42">
      <w:pPr>
        <w:pStyle w:val="Corpotesto"/>
      </w:pPr>
    </w:p>
    <w:p w:rsidR="00531F42" w:rsidRDefault="00531F42" w:rsidP="00531F42">
      <w:pPr>
        <w:pStyle w:val="Corpotesto"/>
      </w:pPr>
      <w:r>
        <w:t>Se la presa a carico intera da parte della Confederazione del finanziamento delle misure a favore delle imprese più grandi da un lato libera risorse ai cantoni, dall’altro l’inserimento nei casi di rigore delle misure per le imprese chiuse per ordine dell’autorità per più di 40 giorni a partire dal 1° novembre 2021 ha fatto aumentare notevolmente il fabbisogno finanziario per far fronte a tutte le richieste da parte delle imprese con una cifra d’affari inferiore a CHF 5 milioni.</w:t>
      </w:r>
    </w:p>
    <w:p w:rsidR="00531F42" w:rsidRDefault="00531F42" w:rsidP="00531F42">
      <w:pPr>
        <w:pStyle w:val="Corpotesto"/>
      </w:pPr>
    </w:p>
    <w:p w:rsidR="00531F42" w:rsidRDefault="00531F42" w:rsidP="00531F42">
      <w:pPr>
        <w:pStyle w:val="Corpotesto"/>
      </w:pPr>
      <w:r>
        <w:t>Per far fronte alle necessità future si propone quindi di procedere con un aumento della dotazione finanziaria di CHF 50 milioni, arrivando quindi complessivamente a CHF 125 milioni di franchi.</w:t>
      </w:r>
    </w:p>
    <w:p w:rsidR="00531F42" w:rsidRDefault="00531F42" w:rsidP="00531F42">
      <w:pPr>
        <w:pStyle w:val="Corpotesto"/>
      </w:pPr>
    </w:p>
    <w:p w:rsidR="00531F42" w:rsidRDefault="00531F42" w:rsidP="00531F42">
      <w:pPr>
        <w:pStyle w:val="Corpotesto"/>
      </w:pPr>
      <w:r>
        <w:t>La dotazione cantonale di CHF 125 milioni sarebbe così ripartita:</w:t>
      </w:r>
    </w:p>
    <w:p w:rsidR="00531F42" w:rsidRDefault="00531F42" w:rsidP="00531F42">
      <w:pPr>
        <w:pStyle w:val="Corpotesto"/>
        <w:numPr>
          <w:ilvl w:val="0"/>
          <w:numId w:val="25"/>
        </w:numPr>
        <w:spacing w:before="120" w:after="120"/>
        <w:ind w:left="284" w:hanging="284"/>
      </w:pPr>
      <w:r>
        <w:t>CHF 87.5 milioni a carico della Confederazione;</w:t>
      </w:r>
    </w:p>
    <w:p w:rsidR="00531F42" w:rsidRDefault="00531F42" w:rsidP="00531F42">
      <w:pPr>
        <w:pStyle w:val="Corpotesto"/>
        <w:numPr>
          <w:ilvl w:val="0"/>
          <w:numId w:val="25"/>
        </w:numPr>
        <w:spacing w:before="120" w:after="120"/>
        <w:ind w:left="284" w:hanging="284"/>
      </w:pPr>
      <w:r>
        <w:t>CHF 37.5 milioni a carico del Canton Ticino.</w:t>
      </w:r>
    </w:p>
    <w:p w:rsidR="00531F42" w:rsidRDefault="00531F42" w:rsidP="00531F42">
      <w:pPr>
        <w:pStyle w:val="Corpotesto"/>
      </w:pPr>
    </w:p>
    <w:p w:rsidR="00531F42" w:rsidRDefault="00531F42" w:rsidP="00531F42">
      <w:pPr>
        <w:pStyle w:val="Corpotesto"/>
      </w:pPr>
      <w:r>
        <w:t xml:space="preserve">La tabella seguente illustra la nuova ripartizione finanziaria rispetto al finanziamento previsto nel messaggio </w:t>
      </w:r>
      <w:r w:rsidR="00214D08">
        <w:t xml:space="preserve">n. </w:t>
      </w:r>
      <w:r>
        <w:t>7948:</w:t>
      </w:r>
    </w:p>
    <w:p w:rsidR="00531F42" w:rsidRDefault="00531F42" w:rsidP="00531F42">
      <w:pPr>
        <w:pStyle w:val="Corpotesto"/>
      </w:pPr>
    </w:p>
    <w:tbl>
      <w:tblPr>
        <w:tblStyle w:val="Grigliatabella"/>
        <w:tblW w:w="0" w:type="auto"/>
        <w:jc w:val="center"/>
        <w:tblLook w:val="04A0" w:firstRow="1" w:lastRow="0" w:firstColumn="1" w:lastColumn="0" w:noHBand="0" w:noVBand="1"/>
      </w:tblPr>
      <w:tblGrid>
        <w:gridCol w:w="1767"/>
        <w:gridCol w:w="1447"/>
        <w:gridCol w:w="1285"/>
        <w:gridCol w:w="1307"/>
        <w:gridCol w:w="1243"/>
        <w:gridCol w:w="1401"/>
        <w:gridCol w:w="1183"/>
      </w:tblGrid>
      <w:tr w:rsidR="00531F42" w:rsidRPr="009A2EA4" w:rsidTr="00707307">
        <w:trPr>
          <w:jc w:val="center"/>
        </w:trPr>
        <w:tc>
          <w:tcPr>
            <w:tcW w:w="1767" w:type="dxa"/>
            <w:tcBorders>
              <w:top w:val="nil"/>
              <w:left w:val="nil"/>
              <w:bottom w:val="nil"/>
              <w:right w:val="single" w:sz="4" w:space="0" w:color="auto"/>
            </w:tcBorders>
            <w:vAlign w:val="bottom"/>
          </w:tcPr>
          <w:p w:rsidR="00531F42" w:rsidRPr="009A2EA4" w:rsidRDefault="00531F42" w:rsidP="00707307">
            <w:pPr>
              <w:pStyle w:val="Corpotesto"/>
              <w:rPr>
                <w:rFonts w:cs="Arial"/>
                <w:sz w:val="20"/>
                <w:lang w:val="it-CH"/>
              </w:rPr>
            </w:pPr>
          </w:p>
        </w:tc>
        <w:tc>
          <w:tcPr>
            <w:tcW w:w="5282" w:type="dxa"/>
            <w:gridSpan w:val="4"/>
            <w:tcBorders>
              <w:top w:val="single" w:sz="4" w:space="0" w:color="auto"/>
              <w:left w:val="single" w:sz="4" w:space="0" w:color="auto"/>
              <w:bottom w:val="single" w:sz="4" w:space="0" w:color="auto"/>
              <w:right w:val="single" w:sz="4" w:space="0" w:color="auto"/>
            </w:tcBorders>
          </w:tcPr>
          <w:p w:rsidR="00531F42" w:rsidRPr="009A2EA4" w:rsidRDefault="00531F42" w:rsidP="00707307">
            <w:pPr>
              <w:pStyle w:val="Corpotesto"/>
              <w:spacing w:before="60" w:after="60"/>
              <w:jc w:val="center"/>
              <w:rPr>
                <w:rFonts w:cs="Arial"/>
                <w:b/>
                <w:bCs/>
                <w:sz w:val="20"/>
                <w:lang w:val="it-CH"/>
              </w:rPr>
            </w:pPr>
            <w:r w:rsidRPr="009A2EA4">
              <w:rPr>
                <w:rFonts w:cs="Arial"/>
                <w:b/>
                <w:bCs/>
                <w:sz w:val="20"/>
                <w:lang w:val="it-CH"/>
              </w:rPr>
              <w:t>Dotazione M7948</w:t>
            </w:r>
          </w:p>
        </w:tc>
        <w:tc>
          <w:tcPr>
            <w:tcW w:w="25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1F42" w:rsidRPr="009A2EA4" w:rsidRDefault="00531F42" w:rsidP="00707307">
            <w:pPr>
              <w:pStyle w:val="Corpotesto"/>
              <w:spacing w:before="60" w:after="60"/>
              <w:jc w:val="center"/>
              <w:rPr>
                <w:rFonts w:cs="Arial"/>
                <w:b/>
                <w:bCs/>
                <w:sz w:val="20"/>
                <w:lang w:val="it-CH"/>
              </w:rPr>
            </w:pPr>
            <w:r>
              <w:rPr>
                <w:rFonts w:cs="Arial"/>
                <w:b/>
                <w:bCs/>
                <w:sz w:val="20"/>
                <w:lang w:val="it-CH"/>
              </w:rPr>
              <w:t>Aggiornamento</w:t>
            </w:r>
          </w:p>
        </w:tc>
      </w:tr>
      <w:tr w:rsidR="00531F42" w:rsidRPr="009A2EA4" w:rsidTr="00707307">
        <w:trPr>
          <w:jc w:val="center"/>
        </w:trPr>
        <w:tc>
          <w:tcPr>
            <w:tcW w:w="1767" w:type="dxa"/>
            <w:tcBorders>
              <w:top w:val="nil"/>
              <w:left w:val="nil"/>
              <w:bottom w:val="nil"/>
              <w:right w:val="single" w:sz="4" w:space="0" w:color="auto"/>
            </w:tcBorders>
            <w:vAlign w:val="bottom"/>
          </w:tcPr>
          <w:p w:rsidR="00531F42" w:rsidRPr="009A2EA4" w:rsidRDefault="00531F42" w:rsidP="00707307">
            <w:pPr>
              <w:pStyle w:val="Corpotesto"/>
              <w:rPr>
                <w:color w:val="000000"/>
                <w:sz w:val="20"/>
                <w:lang w:val="it-CH"/>
              </w:rPr>
            </w:pPr>
          </w:p>
        </w:tc>
        <w:tc>
          <w:tcPr>
            <w:tcW w:w="1447" w:type="dxa"/>
            <w:tcBorders>
              <w:top w:val="single" w:sz="4" w:space="0" w:color="auto"/>
              <w:left w:val="single" w:sz="4" w:space="0" w:color="auto"/>
              <w:bottom w:val="nil"/>
              <w:right w:val="nil"/>
            </w:tcBorders>
          </w:tcPr>
          <w:p w:rsidR="00531F42" w:rsidRPr="009A2EA4" w:rsidRDefault="00531F42" w:rsidP="00707307">
            <w:pPr>
              <w:pStyle w:val="Corpotesto"/>
              <w:jc w:val="center"/>
              <w:rPr>
                <w:rFonts w:cs="Arial"/>
                <w:b/>
                <w:bCs/>
                <w:sz w:val="20"/>
                <w:lang w:val="it-CH"/>
              </w:rPr>
            </w:pPr>
            <w:r w:rsidRPr="009A2EA4">
              <w:rPr>
                <w:rFonts w:cs="Arial"/>
                <w:b/>
                <w:bCs/>
                <w:sz w:val="20"/>
                <w:lang w:val="it-CH"/>
              </w:rPr>
              <w:t xml:space="preserve">1a tranche </w:t>
            </w:r>
            <w:r w:rsidRPr="009A2EA4">
              <w:rPr>
                <w:rFonts w:cs="Arial"/>
                <w:b/>
                <w:bCs/>
                <w:sz w:val="20"/>
                <w:lang w:val="it-CH"/>
              </w:rPr>
              <w:br/>
              <w:t>(50% a carico de</w:t>
            </w:r>
            <w:r>
              <w:rPr>
                <w:rFonts w:cs="Arial"/>
                <w:b/>
                <w:bCs/>
                <w:sz w:val="20"/>
                <w:lang w:val="it-CH"/>
              </w:rPr>
              <w:t>l</w:t>
            </w:r>
            <w:r w:rsidRPr="009A2EA4">
              <w:rPr>
                <w:rFonts w:cs="Arial"/>
                <w:b/>
                <w:bCs/>
                <w:sz w:val="20"/>
                <w:lang w:val="it-CH"/>
              </w:rPr>
              <w:t xml:space="preserve"> canton</w:t>
            </w:r>
            <w:r>
              <w:rPr>
                <w:rFonts w:cs="Arial"/>
                <w:b/>
                <w:bCs/>
                <w:sz w:val="20"/>
                <w:lang w:val="it-CH"/>
              </w:rPr>
              <w:t>e</w:t>
            </w:r>
            <w:r w:rsidRPr="009A2EA4">
              <w:rPr>
                <w:rFonts w:cs="Arial"/>
                <w:b/>
                <w:bCs/>
                <w:sz w:val="20"/>
                <w:lang w:val="it-CH"/>
              </w:rPr>
              <w:t>)</w:t>
            </w:r>
          </w:p>
        </w:tc>
        <w:tc>
          <w:tcPr>
            <w:tcW w:w="1285" w:type="dxa"/>
            <w:tcBorders>
              <w:top w:val="single" w:sz="4" w:space="0" w:color="auto"/>
              <w:left w:val="nil"/>
              <w:bottom w:val="nil"/>
              <w:right w:val="nil"/>
            </w:tcBorders>
          </w:tcPr>
          <w:p w:rsidR="00531F42" w:rsidRPr="009A2EA4" w:rsidRDefault="00531F42" w:rsidP="00707307">
            <w:pPr>
              <w:pStyle w:val="Corpotesto"/>
              <w:jc w:val="center"/>
              <w:rPr>
                <w:rFonts w:cs="Arial"/>
                <w:b/>
                <w:bCs/>
                <w:sz w:val="20"/>
                <w:lang w:val="it-CH"/>
              </w:rPr>
            </w:pPr>
            <w:r w:rsidRPr="009A2EA4">
              <w:rPr>
                <w:rFonts w:cs="Arial"/>
                <w:b/>
                <w:bCs/>
                <w:sz w:val="20"/>
                <w:lang w:val="it-CH"/>
              </w:rPr>
              <w:t xml:space="preserve">2a tranche </w:t>
            </w:r>
            <w:r w:rsidRPr="009A2EA4">
              <w:rPr>
                <w:rFonts w:cs="Arial"/>
                <w:b/>
                <w:bCs/>
                <w:sz w:val="20"/>
                <w:lang w:val="it-CH"/>
              </w:rPr>
              <w:br/>
              <w:t>(20% a carico de</w:t>
            </w:r>
            <w:r>
              <w:rPr>
                <w:rFonts w:cs="Arial"/>
                <w:b/>
                <w:bCs/>
                <w:sz w:val="20"/>
                <w:lang w:val="it-CH"/>
              </w:rPr>
              <w:t>l</w:t>
            </w:r>
            <w:r w:rsidRPr="009A2EA4">
              <w:rPr>
                <w:rFonts w:cs="Arial"/>
                <w:b/>
                <w:bCs/>
                <w:sz w:val="20"/>
                <w:lang w:val="it-CH"/>
              </w:rPr>
              <w:t xml:space="preserve"> canton</w:t>
            </w:r>
            <w:r>
              <w:rPr>
                <w:rFonts w:cs="Arial"/>
                <w:b/>
                <w:bCs/>
                <w:sz w:val="20"/>
                <w:lang w:val="it-CH"/>
              </w:rPr>
              <w:t>e</w:t>
            </w:r>
          </w:p>
        </w:tc>
        <w:tc>
          <w:tcPr>
            <w:tcW w:w="1307" w:type="dxa"/>
            <w:tcBorders>
              <w:top w:val="single" w:sz="4" w:space="0" w:color="auto"/>
              <w:left w:val="nil"/>
              <w:bottom w:val="nil"/>
              <w:right w:val="nil"/>
            </w:tcBorders>
          </w:tcPr>
          <w:p w:rsidR="00531F42" w:rsidRPr="009A2EA4" w:rsidRDefault="00531F42" w:rsidP="00707307">
            <w:pPr>
              <w:pStyle w:val="Corpotesto"/>
              <w:jc w:val="center"/>
              <w:rPr>
                <w:rFonts w:cs="Arial"/>
                <w:b/>
                <w:bCs/>
                <w:sz w:val="20"/>
                <w:lang w:val="it-CH"/>
              </w:rPr>
            </w:pPr>
            <w:r w:rsidRPr="009A2EA4">
              <w:rPr>
                <w:rFonts w:cs="Arial"/>
                <w:b/>
                <w:bCs/>
                <w:sz w:val="20"/>
                <w:lang w:val="it-CH"/>
              </w:rPr>
              <w:t xml:space="preserve">3a tranche </w:t>
            </w:r>
            <w:r w:rsidRPr="009A2EA4">
              <w:rPr>
                <w:rFonts w:cs="Arial"/>
                <w:b/>
                <w:bCs/>
                <w:sz w:val="20"/>
                <w:lang w:val="it-CH"/>
              </w:rPr>
              <w:br/>
              <w:t>(33% a carico de</w:t>
            </w:r>
            <w:r>
              <w:rPr>
                <w:rFonts w:cs="Arial"/>
                <w:b/>
                <w:bCs/>
                <w:sz w:val="20"/>
                <w:lang w:val="it-CH"/>
              </w:rPr>
              <w:t>l</w:t>
            </w:r>
            <w:r w:rsidRPr="009A2EA4">
              <w:rPr>
                <w:rFonts w:cs="Arial"/>
                <w:b/>
                <w:bCs/>
                <w:sz w:val="20"/>
                <w:lang w:val="it-CH"/>
              </w:rPr>
              <w:t xml:space="preserve"> canton</w:t>
            </w:r>
            <w:r>
              <w:rPr>
                <w:rFonts w:cs="Arial"/>
                <w:b/>
                <w:bCs/>
                <w:sz w:val="20"/>
                <w:lang w:val="it-CH"/>
              </w:rPr>
              <w:t>e</w:t>
            </w:r>
            <w:r w:rsidRPr="009A2EA4">
              <w:rPr>
                <w:rFonts w:cs="Arial"/>
                <w:b/>
                <w:bCs/>
                <w:sz w:val="20"/>
                <w:lang w:val="it-CH"/>
              </w:rPr>
              <w:t>)</w:t>
            </w:r>
          </w:p>
        </w:tc>
        <w:tc>
          <w:tcPr>
            <w:tcW w:w="1243" w:type="dxa"/>
            <w:tcBorders>
              <w:top w:val="single" w:sz="4" w:space="0" w:color="auto"/>
              <w:left w:val="nil"/>
              <w:bottom w:val="nil"/>
              <w:right w:val="single" w:sz="4" w:space="0" w:color="auto"/>
            </w:tcBorders>
            <w:shd w:val="clear" w:color="auto" w:fill="F2F2F2" w:themeFill="background1" w:themeFillShade="F2"/>
          </w:tcPr>
          <w:p w:rsidR="00531F42" w:rsidRDefault="00531F42" w:rsidP="00707307">
            <w:pPr>
              <w:pStyle w:val="Corpotesto"/>
              <w:jc w:val="center"/>
              <w:rPr>
                <w:rFonts w:cs="Arial"/>
                <w:b/>
                <w:bCs/>
                <w:sz w:val="20"/>
                <w:lang w:val="it-CH"/>
              </w:rPr>
            </w:pPr>
            <w:r w:rsidRPr="009A2EA4">
              <w:rPr>
                <w:rFonts w:cs="Arial"/>
                <w:b/>
                <w:bCs/>
                <w:sz w:val="20"/>
                <w:lang w:val="it-CH"/>
              </w:rPr>
              <w:t>Totale</w:t>
            </w:r>
          </w:p>
          <w:p w:rsidR="00531F42" w:rsidRPr="009A2EA4" w:rsidRDefault="00531F42" w:rsidP="00707307">
            <w:pPr>
              <w:pStyle w:val="Corpotesto"/>
              <w:jc w:val="center"/>
              <w:rPr>
                <w:color w:val="000000"/>
                <w:sz w:val="20"/>
                <w:lang w:val="it-CH"/>
              </w:rPr>
            </w:pPr>
            <w:r>
              <w:rPr>
                <w:rFonts w:cs="Arial"/>
                <w:b/>
                <w:bCs/>
                <w:sz w:val="20"/>
                <w:lang w:val="it-CH"/>
              </w:rPr>
              <w:t>M7948</w:t>
            </w:r>
          </w:p>
        </w:tc>
        <w:tc>
          <w:tcPr>
            <w:tcW w:w="1401" w:type="dxa"/>
            <w:tcBorders>
              <w:top w:val="single" w:sz="4" w:space="0" w:color="auto"/>
              <w:left w:val="single" w:sz="4" w:space="0" w:color="auto"/>
              <w:bottom w:val="nil"/>
              <w:right w:val="nil"/>
            </w:tcBorders>
            <w:shd w:val="clear" w:color="auto" w:fill="BFBFBF" w:themeFill="background1" w:themeFillShade="BF"/>
          </w:tcPr>
          <w:p w:rsidR="00531F42" w:rsidRDefault="00531F42" w:rsidP="00707307">
            <w:pPr>
              <w:pStyle w:val="Corpotesto"/>
              <w:jc w:val="center"/>
              <w:rPr>
                <w:rFonts w:cs="Arial"/>
                <w:b/>
                <w:bCs/>
                <w:sz w:val="20"/>
                <w:lang w:val="it-CH"/>
              </w:rPr>
            </w:pPr>
            <w:r>
              <w:rPr>
                <w:rFonts w:cs="Arial"/>
                <w:b/>
                <w:bCs/>
                <w:sz w:val="20"/>
                <w:lang w:val="it-CH"/>
              </w:rPr>
              <w:t>Dotazione totale</w:t>
            </w:r>
          </w:p>
          <w:p w:rsidR="00531F42" w:rsidRPr="009A2EA4" w:rsidRDefault="00531F42" w:rsidP="00707307">
            <w:pPr>
              <w:pStyle w:val="Corpotesto"/>
              <w:spacing w:after="60"/>
              <w:jc w:val="center"/>
              <w:rPr>
                <w:rFonts w:cs="Arial"/>
                <w:b/>
                <w:bCs/>
                <w:sz w:val="20"/>
                <w:lang w:val="it-CH"/>
              </w:rPr>
            </w:pPr>
            <w:r>
              <w:rPr>
                <w:rFonts w:cs="Arial"/>
                <w:b/>
                <w:bCs/>
                <w:sz w:val="20"/>
                <w:lang w:val="it-CH"/>
              </w:rPr>
              <w:t>(30% a carico del cantone</w:t>
            </w:r>
          </w:p>
        </w:tc>
        <w:tc>
          <w:tcPr>
            <w:tcW w:w="1183" w:type="dxa"/>
            <w:tcBorders>
              <w:top w:val="single" w:sz="4" w:space="0" w:color="auto"/>
              <w:left w:val="nil"/>
              <w:bottom w:val="nil"/>
              <w:right w:val="single" w:sz="4" w:space="0" w:color="auto"/>
            </w:tcBorders>
          </w:tcPr>
          <w:p w:rsidR="00531F42" w:rsidRDefault="00531F42" w:rsidP="00707307">
            <w:pPr>
              <w:pStyle w:val="Corpotesto"/>
              <w:jc w:val="center"/>
              <w:rPr>
                <w:rFonts w:cs="Arial"/>
                <w:b/>
                <w:bCs/>
                <w:sz w:val="20"/>
                <w:lang w:val="it-CH"/>
              </w:rPr>
            </w:pPr>
            <w:r>
              <w:rPr>
                <w:rFonts w:cs="Arial"/>
                <w:b/>
                <w:bCs/>
                <w:sz w:val="20"/>
                <w:lang w:val="it-CH"/>
              </w:rPr>
              <w:t>Differenza</w:t>
            </w:r>
          </w:p>
          <w:p w:rsidR="00531F42" w:rsidRDefault="00531F42" w:rsidP="00707307">
            <w:pPr>
              <w:pStyle w:val="Corpotesto"/>
              <w:jc w:val="center"/>
              <w:rPr>
                <w:rFonts w:cs="Arial"/>
                <w:b/>
                <w:bCs/>
                <w:sz w:val="20"/>
                <w:lang w:val="it-CH"/>
              </w:rPr>
            </w:pPr>
            <w:r>
              <w:rPr>
                <w:rFonts w:cs="Arial"/>
                <w:b/>
                <w:bCs/>
                <w:sz w:val="20"/>
                <w:lang w:val="it-CH"/>
              </w:rPr>
              <w:t>Tot</w:t>
            </w:r>
            <w:r w:rsidR="00214D08">
              <w:rPr>
                <w:rFonts w:cs="Arial"/>
                <w:b/>
                <w:bCs/>
                <w:sz w:val="20"/>
                <w:lang w:val="it-CH"/>
              </w:rPr>
              <w:t>.</w:t>
            </w:r>
            <w:r>
              <w:rPr>
                <w:rFonts w:cs="Arial"/>
                <w:b/>
                <w:bCs/>
                <w:sz w:val="20"/>
                <w:lang w:val="it-CH"/>
              </w:rPr>
              <w:t xml:space="preserve"> </w:t>
            </w:r>
            <w:proofErr w:type="spellStart"/>
            <w:r>
              <w:rPr>
                <w:rFonts w:cs="Arial"/>
                <w:b/>
                <w:bCs/>
                <w:sz w:val="20"/>
                <w:lang w:val="it-CH"/>
              </w:rPr>
              <w:t>agg</w:t>
            </w:r>
            <w:proofErr w:type="spellEnd"/>
            <w:r w:rsidR="00214D08">
              <w:rPr>
                <w:rFonts w:cs="Arial"/>
                <w:b/>
                <w:bCs/>
                <w:sz w:val="20"/>
                <w:lang w:val="it-CH"/>
              </w:rPr>
              <w:t>.</w:t>
            </w:r>
            <w:r>
              <w:rPr>
                <w:rFonts w:cs="Arial"/>
                <w:b/>
                <w:bCs/>
                <w:sz w:val="20"/>
                <w:lang w:val="it-CH"/>
              </w:rPr>
              <w:t xml:space="preserve"> / tot M7948</w:t>
            </w:r>
          </w:p>
        </w:tc>
      </w:tr>
      <w:tr w:rsidR="00531F42" w:rsidRPr="009A2EA4" w:rsidTr="00707307">
        <w:trPr>
          <w:jc w:val="center"/>
        </w:trPr>
        <w:tc>
          <w:tcPr>
            <w:tcW w:w="1767" w:type="dxa"/>
            <w:tcBorders>
              <w:top w:val="nil"/>
              <w:left w:val="nil"/>
              <w:bottom w:val="nil"/>
              <w:right w:val="single" w:sz="4" w:space="0" w:color="auto"/>
            </w:tcBorders>
            <w:vAlign w:val="center"/>
          </w:tcPr>
          <w:p w:rsidR="00531F42" w:rsidRPr="009A2EA4" w:rsidRDefault="00531F42" w:rsidP="00707307">
            <w:pPr>
              <w:pStyle w:val="Corpotesto"/>
              <w:jc w:val="left"/>
              <w:rPr>
                <w:color w:val="000000"/>
                <w:sz w:val="20"/>
                <w:lang w:val="it-CH"/>
              </w:rPr>
            </w:pPr>
            <w:r w:rsidRPr="009A2EA4">
              <w:rPr>
                <w:rFonts w:cs="Arial"/>
                <w:sz w:val="20"/>
                <w:lang w:val="it-CH"/>
              </w:rPr>
              <w:t xml:space="preserve">Contributo CH </w:t>
            </w:r>
          </w:p>
        </w:tc>
        <w:tc>
          <w:tcPr>
            <w:tcW w:w="1447" w:type="dxa"/>
            <w:tcBorders>
              <w:top w:val="nil"/>
              <w:left w:val="single" w:sz="4" w:space="0" w:color="auto"/>
              <w:bottom w:val="nil"/>
              <w:right w:val="nil"/>
            </w:tcBorders>
            <w:vAlign w:val="center"/>
          </w:tcPr>
          <w:p w:rsidR="00531F42" w:rsidRPr="009A2EA4" w:rsidRDefault="00531F42" w:rsidP="00707307">
            <w:pPr>
              <w:pStyle w:val="Corpotesto"/>
              <w:jc w:val="center"/>
              <w:rPr>
                <w:color w:val="000000"/>
                <w:sz w:val="20"/>
                <w:lang w:val="it-CH"/>
              </w:rPr>
            </w:pPr>
            <w:r w:rsidRPr="009A2EA4">
              <w:rPr>
                <w:color w:val="000000"/>
                <w:sz w:val="20"/>
                <w:lang w:val="it-CH"/>
              </w:rPr>
              <w:t>8.64</w:t>
            </w:r>
          </w:p>
        </w:tc>
        <w:tc>
          <w:tcPr>
            <w:tcW w:w="1285" w:type="dxa"/>
            <w:tcBorders>
              <w:top w:val="nil"/>
              <w:left w:val="nil"/>
              <w:bottom w:val="nil"/>
              <w:right w:val="nil"/>
            </w:tcBorders>
            <w:vAlign w:val="center"/>
          </w:tcPr>
          <w:p w:rsidR="00531F42" w:rsidRPr="009A2EA4" w:rsidRDefault="00531F42" w:rsidP="00707307">
            <w:pPr>
              <w:pStyle w:val="Corpotesto"/>
              <w:jc w:val="center"/>
              <w:rPr>
                <w:color w:val="000000"/>
                <w:sz w:val="20"/>
                <w:lang w:val="it-CH"/>
              </w:rPr>
            </w:pPr>
            <w:r w:rsidRPr="009A2EA4">
              <w:rPr>
                <w:color w:val="000000"/>
                <w:sz w:val="20"/>
                <w:lang w:val="it-CH"/>
              </w:rPr>
              <w:t>20.74</w:t>
            </w:r>
          </w:p>
        </w:tc>
        <w:tc>
          <w:tcPr>
            <w:tcW w:w="1307" w:type="dxa"/>
            <w:tcBorders>
              <w:top w:val="nil"/>
              <w:left w:val="nil"/>
              <w:bottom w:val="nil"/>
              <w:right w:val="nil"/>
            </w:tcBorders>
            <w:vAlign w:val="center"/>
          </w:tcPr>
          <w:p w:rsidR="00531F42" w:rsidRPr="009A2EA4" w:rsidRDefault="00531F42" w:rsidP="00707307">
            <w:pPr>
              <w:pStyle w:val="Corpotesto"/>
              <w:jc w:val="center"/>
              <w:rPr>
                <w:color w:val="000000"/>
                <w:sz w:val="20"/>
                <w:lang w:val="it-CH"/>
              </w:rPr>
            </w:pPr>
            <w:r w:rsidRPr="009A2EA4">
              <w:rPr>
                <w:color w:val="000000"/>
                <w:sz w:val="20"/>
                <w:lang w:val="it-CH"/>
              </w:rPr>
              <w:t>21.71</w:t>
            </w:r>
          </w:p>
        </w:tc>
        <w:tc>
          <w:tcPr>
            <w:tcW w:w="1243" w:type="dxa"/>
            <w:tcBorders>
              <w:top w:val="nil"/>
              <w:left w:val="nil"/>
              <w:bottom w:val="nil"/>
              <w:right w:val="single" w:sz="4" w:space="0" w:color="auto"/>
            </w:tcBorders>
            <w:shd w:val="clear" w:color="auto" w:fill="F2F2F2" w:themeFill="background1" w:themeFillShade="F2"/>
            <w:vAlign w:val="center"/>
          </w:tcPr>
          <w:p w:rsidR="00531F42" w:rsidRPr="009A2EA4" w:rsidRDefault="00531F42" w:rsidP="00707307">
            <w:pPr>
              <w:pStyle w:val="Corpotesto"/>
              <w:jc w:val="center"/>
              <w:rPr>
                <w:color w:val="000000"/>
                <w:sz w:val="20"/>
                <w:lang w:val="it-CH"/>
              </w:rPr>
            </w:pPr>
            <w:r w:rsidRPr="009A2EA4">
              <w:rPr>
                <w:color w:val="000000"/>
                <w:sz w:val="20"/>
                <w:lang w:val="it-CH"/>
              </w:rPr>
              <w:t>51.08</w:t>
            </w:r>
          </w:p>
        </w:tc>
        <w:tc>
          <w:tcPr>
            <w:tcW w:w="1401" w:type="dxa"/>
            <w:tcBorders>
              <w:top w:val="nil"/>
              <w:left w:val="single" w:sz="4" w:space="0" w:color="auto"/>
              <w:bottom w:val="nil"/>
              <w:right w:val="nil"/>
            </w:tcBorders>
            <w:shd w:val="clear" w:color="auto" w:fill="BFBFBF" w:themeFill="background1" w:themeFillShade="BF"/>
            <w:vAlign w:val="center"/>
          </w:tcPr>
          <w:p w:rsidR="00531F42" w:rsidRPr="009A2EA4" w:rsidRDefault="00531F42" w:rsidP="00707307">
            <w:pPr>
              <w:pStyle w:val="Corpotesto"/>
              <w:jc w:val="center"/>
              <w:rPr>
                <w:color w:val="000000"/>
                <w:sz w:val="20"/>
                <w:lang w:val="it-CH"/>
              </w:rPr>
            </w:pPr>
            <w:r w:rsidRPr="009A2EA4">
              <w:rPr>
                <w:color w:val="000000"/>
                <w:sz w:val="20"/>
                <w:lang w:val="it-CH"/>
              </w:rPr>
              <w:t>87.5</w:t>
            </w:r>
          </w:p>
        </w:tc>
        <w:tc>
          <w:tcPr>
            <w:tcW w:w="1183" w:type="dxa"/>
            <w:tcBorders>
              <w:top w:val="nil"/>
              <w:left w:val="nil"/>
              <w:bottom w:val="nil"/>
              <w:right w:val="single" w:sz="4" w:space="0" w:color="auto"/>
            </w:tcBorders>
            <w:vAlign w:val="center"/>
          </w:tcPr>
          <w:p w:rsidR="00531F42" w:rsidRPr="009A2EA4" w:rsidRDefault="00531F42" w:rsidP="00707307">
            <w:pPr>
              <w:pStyle w:val="Corpotesto"/>
              <w:jc w:val="center"/>
              <w:rPr>
                <w:color w:val="000000"/>
                <w:sz w:val="20"/>
                <w:lang w:val="it-CH"/>
              </w:rPr>
            </w:pPr>
            <w:r>
              <w:rPr>
                <w:color w:val="000000"/>
                <w:sz w:val="20"/>
                <w:lang w:val="it-CH"/>
              </w:rPr>
              <w:t>+36.42</w:t>
            </w:r>
          </w:p>
        </w:tc>
      </w:tr>
      <w:tr w:rsidR="00531F42" w:rsidRPr="009A2EA4" w:rsidTr="00707307">
        <w:trPr>
          <w:jc w:val="center"/>
        </w:trPr>
        <w:tc>
          <w:tcPr>
            <w:tcW w:w="1767" w:type="dxa"/>
            <w:tcBorders>
              <w:top w:val="nil"/>
              <w:left w:val="nil"/>
              <w:bottom w:val="single" w:sz="4" w:space="0" w:color="auto"/>
              <w:right w:val="single" w:sz="4" w:space="0" w:color="auto"/>
            </w:tcBorders>
            <w:vAlign w:val="center"/>
          </w:tcPr>
          <w:p w:rsidR="00531F42" w:rsidRPr="009A2EA4" w:rsidRDefault="00531F42" w:rsidP="00707307">
            <w:pPr>
              <w:pStyle w:val="Corpotesto"/>
              <w:jc w:val="left"/>
              <w:rPr>
                <w:color w:val="000000"/>
                <w:sz w:val="20"/>
                <w:lang w:val="it-CH"/>
              </w:rPr>
            </w:pPr>
            <w:r w:rsidRPr="009A2EA4">
              <w:rPr>
                <w:rFonts w:cs="Arial"/>
                <w:sz w:val="20"/>
                <w:lang w:val="it-CH"/>
              </w:rPr>
              <w:t>Contributo TI</w:t>
            </w:r>
          </w:p>
        </w:tc>
        <w:tc>
          <w:tcPr>
            <w:tcW w:w="1447" w:type="dxa"/>
            <w:tcBorders>
              <w:top w:val="nil"/>
              <w:left w:val="single" w:sz="4" w:space="0" w:color="auto"/>
              <w:bottom w:val="single" w:sz="4" w:space="0" w:color="auto"/>
              <w:right w:val="nil"/>
            </w:tcBorders>
            <w:vAlign w:val="center"/>
          </w:tcPr>
          <w:p w:rsidR="00531F42" w:rsidRPr="009A2EA4" w:rsidRDefault="00531F42" w:rsidP="00707307">
            <w:pPr>
              <w:pStyle w:val="Corpotesto"/>
              <w:jc w:val="center"/>
              <w:rPr>
                <w:color w:val="000000"/>
                <w:sz w:val="20"/>
                <w:lang w:val="it-CH"/>
              </w:rPr>
            </w:pPr>
            <w:r w:rsidRPr="009A2EA4">
              <w:rPr>
                <w:color w:val="000000"/>
                <w:sz w:val="20"/>
                <w:lang w:val="it-CH"/>
              </w:rPr>
              <w:t>8.64</w:t>
            </w:r>
          </w:p>
        </w:tc>
        <w:tc>
          <w:tcPr>
            <w:tcW w:w="1285" w:type="dxa"/>
            <w:tcBorders>
              <w:top w:val="nil"/>
              <w:left w:val="nil"/>
              <w:bottom w:val="single" w:sz="4" w:space="0" w:color="auto"/>
              <w:right w:val="nil"/>
            </w:tcBorders>
            <w:vAlign w:val="center"/>
          </w:tcPr>
          <w:p w:rsidR="00531F42" w:rsidRPr="009A2EA4" w:rsidRDefault="00531F42" w:rsidP="00707307">
            <w:pPr>
              <w:pStyle w:val="Corpotesto"/>
              <w:jc w:val="center"/>
              <w:rPr>
                <w:color w:val="000000"/>
                <w:sz w:val="20"/>
                <w:lang w:val="it-CH"/>
              </w:rPr>
            </w:pPr>
            <w:r w:rsidRPr="009A2EA4">
              <w:rPr>
                <w:color w:val="000000"/>
                <w:sz w:val="20"/>
                <w:lang w:val="it-CH"/>
              </w:rPr>
              <w:t>5.18</w:t>
            </w:r>
          </w:p>
        </w:tc>
        <w:tc>
          <w:tcPr>
            <w:tcW w:w="1307" w:type="dxa"/>
            <w:tcBorders>
              <w:top w:val="nil"/>
              <w:left w:val="nil"/>
              <w:bottom w:val="single" w:sz="4" w:space="0" w:color="auto"/>
              <w:right w:val="nil"/>
            </w:tcBorders>
            <w:vAlign w:val="center"/>
          </w:tcPr>
          <w:p w:rsidR="00531F42" w:rsidRPr="009A2EA4" w:rsidRDefault="00531F42" w:rsidP="00707307">
            <w:pPr>
              <w:pStyle w:val="Corpotesto"/>
              <w:jc w:val="center"/>
              <w:rPr>
                <w:color w:val="000000"/>
                <w:sz w:val="20"/>
                <w:lang w:val="it-CH"/>
              </w:rPr>
            </w:pPr>
            <w:r w:rsidRPr="009A2EA4">
              <w:rPr>
                <w:color w:val="000000"/>
                <w:sz w:val="20"/>
                <w:lang w:val="it-CH"/>
              </w:rPr>
              <w:t>10.69</w:t>
            </w:r>
          </w:p>
        </w:tc>
        <w:tc>
          <w:tcPr>
            <w:tcW w:w="1243" w:type="dxa"/>
            <w:tcBorders>
              <w:top w:val="nil"/>
              <w:left w:val="nil"/>
              <w:bottom w:val="single" w:sz="4" w:space="0" w:color="auto"/>
              <w:right w:val="single" w:sz="4" w:space="0" w:color="auto"/>
            </w:tcBorders>
            <w:shd w:val="clear" w:color="auto" w:fill="F2F2F2" w:themeFill="background1" w:themeFillShade="F2"/>
            <w:vAlign w:val="center"/>
          </w:tcPr>
          <w:p w:rsidR="00531F42" w:rsidRPr="009A2EA4" w:rsidRDefault="00531F42" w:rsidP="00707307">
            <w:pPr>
              <w:pStyle w:val="Corpotesto"/>
              <w:jc w:val="center"/>
              <w:rPr>
                <w:color w:val="000000"/>
                <w:sz w:val="20"/>
                <w:lang w:val="it-CH"/>
              </w:rPr>
            </w:pPr>
            <w:r w:rsidRPr="009A2EA4">
              <w:rPr>
                <w:color w:val="000000"/>
                <w:sz w:val="20"/>
                <w:lang w:val="it-CH"/>
              </w:rPr>
              <w:t>24.52</w:t>
            </w:r>
          </w:p>
        </w:tc>
        <w:tc>
          <w:tcPr>
            <w:tcW w:w="1401" w:type="dxa"/>
            <w:tcBorders>
              <w:top w:val="nil"/>
              <w:left w:val="single" w:sz="4" w:space="0" w:color="auto"/>
              <w:bottom w:val="single" w:sz="4" w:space="0" w:color="auto"/>
              <w:right w:val="nil"/>
            </w:tcBorders>
            <w:shd w:val="clear" w:color="auto" w:fill="BFBFBF" w:themeFill="background1" w:themeFillShade="BF"/>
          </w:tcPr>
          <w:p w:rsidR="00531F42" w:rsidRPr="009A2EA4" w:rsidRDefault="00531F42" w:rsidP="00707307">
            <w:pPr>
              <w:pStyle w:val="Corpotesto"/>
              <w:jc w:val="center"/>
              <w:rPr>
                <w:color w:val="000000"/>
                <w:sz w:val="20"/>
                <w:lang w:val="it-CH"/>
              </w:rPr>
            </w:pPr>
            <w:r w:rsidRPr="009A2EA4">
              <w:rPr>
                <w:color w:val="000000"/>
                <w:sz w:val="20"/>
                <w:lang w:val="it-CH"/>
              </w:rPr>
              <w:t>37.5</w:t>
            </w:r>
          </w:p>
        </w:tc>
        <w:tc>
          <w:tcPr>
            <w:tcW w:w="1183" w:type="dxa"/>
            <w:tcBorders>
              <w:top w:val="nil"/>
              <w:left w:val="nil"/>
              <w:bottom w:val="single" w:sz="4" w:space="0" w:color="auto"/>
              <w:right w:val="single" w:sz="4" w:space="0" w:color="auto"/>
            </w:tcBorders>
            <w:vAlign w:val="center"/>
          </w:tcPr>
          <w:p w:rsidR="00531F42" w:rsidRPr="009A2EA4" w:rsidRDefault="00531F42" w:rsidP="00707307">
            <w:pPr>
              <w:pStyle w:val="Corpotesto"/>
              <w:jc w:val="center"/>
              <w:rPr>
                <w:color w:val="000000"/>
                <w:sz w:val="20"/>
                <w:lang w:val="it-CH"/>
              </w:rPr>
            </w:pPr>
            <w:r>
              <w:rPr>
                <w:color w:val="000000"/>
                <w:sz w:val="20"/>
                <w:lang w:val="it-CH"/>
              </w:rPr>
              <w:t>+12.98</w:t>
            </w:r>
          </w:p>
        </w:tc>
      </w:tr>
      <w:tr w:rsidR="00531F42" w:rsidRPr="009A2EA4" w:rsidTr="00707307">
        <w:trPr>
          <w:jc w:val="center"/>
        </w:trPr>
        <w:tc>
          <w:tcPr>
            <w:tcW w:w="1767" w:type="dxa"/>
            <w:tcBorders>
              <w:top w:val="single" w:sz="4" w:space="0" w:color="auto"/>
              <w:left w:val="nil"/>
              <w:bottom w:val="nil"/>
              <w:right w:val="single" w:sz="4" w:space="0" w:color="auto"/>
            </w:tcBorders>
            <w:shd w:val="clear" w:color="auto" w:fill="FFFFFF" w:themeFill="background1"/>
            <w:vAlign w:val="center"/>
          </w:tcPr>
          <w:p w:rsidR="00531F42" w:rsidRPr="009A2EA4" w:rsidRDefault="00531F42" w:rsidP="00707307">
            <w:pPr>
              <w:pStyle w:val="Corpotesto"/>
              <w:jc w:val="left"/>
              <w:rPr>
                <w:color w:val="000000"/>
                <w:sz w:val="20"/>
                <w:lang w:val="it-CH"/>
              </w:rPr>
            </w:pPr>
            <w:r w:rsidRPr="009A2EA4">
              <w:rPr>
                <w:rFonts w:cs="Arial"/>
                <w:b/>
                <w:bCs/>
                <w:sz w:val="20"/>
                <w:lang w:val="it-CH"/>
              </w:rPr>
              <w:t>T</w:t>
            </w:r>
            <w:r>
              <w:rPr>
                <w:rFonts w:cs="Arial"/>
                <w:b/>
                <w:bCs/>
                <w:sz w:val="20"/>
                <w:lang w:val="it-CH"/>
              </w:rPr>
              <w:t>otale disponibilità finanziaria</w:t>
            </w:r>
            <w:r w:rsidRPr="009A2EA4">
              <w:rPr>
                <w:rFonts w:cs="Arial"/>
                <w:b/>
                <w:bCs/>
                <w:sz w:val="20"/>
                <w:lang w:val="it-CH"/>
              </w:rPr>
              <w:t>*</w:t>
            </w:r>
          </w:p>
        </w:tc>
        <w:tc>
          <w:tcPr>
            <w:tcW w:w="1447" w:type="dxa"/>
            <w:tcBorders>
              <w:top w:val="single" w:sz="4" w:space="0" w:color="auto"/>
              <w:left w:val="single" w:sz="4" w:space="0" w:color="auto"/>
              <w:bottom w:val="single" w:sz="4" w:space="0" w:color="auto"/>
              <w:right w:val="nil"/>
            </w:tcBorders>
            <w:shd w:val="clear" w:color="auto" w:fill="FFFFFF" w:themeFill="background1"/>
            <w:vAlign w:val="center"/>
          </w:tcPr>
          <w:p w:rsidR="00531F42" w:rsidRPr="009A2EA4" w:rsidRDefault="00531F42" w:rsidP="00707307">
            <w:pPr>
              <w:pStyle w:val="Corpotesto"/>
              <w:jc w:val="center"/>
              <w:rPr>
                <w:b/>
                <w:color w:val="000000"/>
                <w:sz w:val="20"/>
                <w:lang w:val="it-CH"/>
              </w:rPr>
            </w:pPr>
            <w:r w:rsidRPr="009A2EA4">
              <w:rPr>
                <w:b/>
                <w:color w:val="000000"/>
                <w:sz w:val="20"/>
                <w:lang w:val="it-CH"/>
              </w:rPr>
              <w:t>17.28</w:t>
            </w:r>
          </w:p>
        </w:tc>
        <w:tc>
          <w:tcPr>
            <w:tcW w:w="1285" w:type="dxa"/>
            <w:tcBorders>
              <w:top w:val="single" w:sz="4" w:space="0" w:color="auto"/>
              <w:left w:val="nil"/>
              <w:bottom w:val="single" w:sz="4" w:space="0" w:color="auto"/>
              <w:right w:val="nil"/>
            </w:tcBorders>
            <w:shd w:val="clear" w:color="auto" w:fill="FFFFFF" w:themeFill="background1"/>
            <w:vAlign w:val="center"/>
          </w:tcPr>
          <w:p w:rsidR="00531F42" w:rsidRPr="009A2EA4" w:rsidRDefault="00531F42" w:rsidP="00707307">
            <w:pPr>
              <w:pStyle w:val="Corpotesto"/>
              <w:jc w:val="center"/>
              <w:rPr>
                <w:b/>
                <w:color w:val="000000"/>
                <w:sz w:val="20"/>
                <w:lang w:val="it-CH"/>
              </w:rPr>
            </w:pPr>
            <w:r w:rsidRPr="009A2EA4">
              <w:rPr>
                <w:b/>
                <w:color w:val="000000"/>
                <w:sz w:val="20"/>
                <w:lang w:val="it-CH"/>
              </w:rPr>
              <w:t>25.92</w:t>
            </w:r>
          </w:p>
        </w:tc>
        <w:tc>
          <w:tcPr>
            <w:tcW w:w="1307" w:type="dxa"/>
            <w:tcBorders>
              <w:top w:val="single" w:sz="4" w:space="0" w:color="auto"/>
              <w:left w:val="nil"/>
              <w:bottom w:val="single" w:sz="4" w:space="0" w:color="auto"/>
              <w:right w:val="nil"/>
            </w:tcBorders>
            <w:shd w:val="clear" w:color="auto" w:fill="FFFFFF" w:themeFill="background1"/>
            <w:vAlign w:val="center"/>
          </w:tcPr>
          <w:p w:rsidR="00531F42" w:rsidRPr="009A2EA4" w:rsidRDefault="00531F42" w:rsidP="00707307">
            <w:pPr>
              <w:pStyle w:val="Corpotesto"/>
              <w:jc w:val="center"/>
              <w:rPr>
                <w:b/>
                <w:color w:val="000000"/>
                <w:sz w:val="20"/>
                <w:lang w:val="it-CH"/>
              </w:rPr>
            </w:pPr>
            <w:r w:rsidRPr="009A2EA4">
              <w:rPr>
                <w:b/>
                <w:color w:val="000000"/>
                <w:sz w:val="20"/>
                <w:lang w:val="it-CH"/>
              </w:rPr>
              <w:t>32.4</w:t>
            </w:r>
          </w:p>
        </w:tc>
        <w:tc>
          <w:tcPr>
            <w:tcW w:w="12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31F42" w:rsidRPr="009A2EA4" w:rsidRDefault="00531F42" w:rsidP="00707307">
            <w:pPr>
              <w:pStyle w:val="Corpotesto"/>
              <w:jc w:val="center"/>
              <w:rPr>
                <w:b/>
                <w:color w:val="000000"/>
                <w:sz w:val="20"/>
                <w:lang w:val="it-CH"/>
              </w:rPr>
            </w:pPr>
            <w:r w:rsidRPr="009A2EA4">
              <w:rPr>
                <w:b/>
                <w:color w:val="000000"/>
                <w:sz w:val="20"/>
                <w:lang w:val="it-CH"/>
              </w:rPr>
              <w:t>75.6</w:t>
            </w:r>
          </w:p>
        </w:tc>
        <w:tc>
          <w:tcPr>
            <w:tcW w:w="1401"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531F42" w:rsidRPr="009A2EA4" w:rsidRDefault="00531F42" w:rsidP="00707307">
            <w:pPr>
              <w:pStyle w:val="Corpotesto"/>
              <w:jc w:val="center"/>
              <w:rPr>
                <w:b/>
                <w:color w:val="000000"/>
                <w:sz w:val="20"/>
                <w:lang w:val="it-CH"/>
              </w:rPr>
            </w:pPr>
            <w:r>
              <w:rPr>
                <w:b/>
                <w:color w:val="000000"/>
                <w:sz w:val="20"/>
                <w:lang w:val="it-CH"/>
              </w:rPr>
              <w:t>125</w:t>
            </w:r>
          </w:p>
        </w:tc>
        <w:tc>
          <w:tcPr>
            <w:tcW w:w="1183" w:type="dxa"/>
            <w:tcBorders>
              <w:top w:val="single" w:sz="4" w:space="0" w:color="auto"/>
              <w:left w:val="nil"/>
              <w:bottom w:val="single" w:sz="4" w:space="0" w:color="auto"/>
              <w:right w:val="single" w:sz="4" w:space="0" w:color="auto"/>
            </w:tcBorders>
            <w:shd w:val="clear" w:color="auto" w:fill="FFFFFF" w:themeFill="background1"/>
            <w:vAlign w:val="center"/>
          </w:tcPr>
          <w:p w:rsidR="00531F42" w:rsidRPr="009A2EA4" w:rsidRDefault="00531F42" w:rsidP="00707307">
            <w:pPr>
              <w:pStyle w:val="Corpotesto"/>
              <w:jc w:val="center"/>
              <w:rPr>
                <w:b/>
                <w:color w:val="000000"/>
                <w:sz w:val="20"/>
                <w:lang w:val="it-CH"/>
              </w:rPr>
            </w:pPr>
            <w:r>
              <w:rPr>
                <w:b/>
                <w:color w:val="000000"/>
                <w:sz w:val="20"/>
                <w:lang w:val="it-CH"/>
              </w:rPr>
              <w:t>+49.40</w:t>
            </w:r>
          </w:p>
        </w:tc>
      </w:tr>
    </w:tbl>
    <w:p w:rsidR="00531F42" w:rsidRPr="009A2EA4" w:rsidRDefault="00531F42" w:rsidP="00214D08">
      <w:pPr>
        <w:pStyle w:val="Corpotesto"/>
        <w:spacing w:before="120"/>
        <w:rPr>
          <w:color w:val="000000"/>
          <w:sz w:val="16"/>
          <w:szCs w:val="16"/>
          <w:lang w:val="it-CH"/>
        </w:rPr>
      </w:pPr>
      <w:r w:rsidRPr="009A2EA4">
        <w:rPr>
          <w:color w:val="000000"/>
          <w:sz w:val="16"/>
          <w:szCs w:val="16"/>
          <w:lang w:val="it-CH"/>
        </w:rPr>
        <w:t>*</w:t>
      </w:r>
      <w:r w:rsidRPr="009A2EA4">
        <w:rPr>
          <w:rFonts w:cs="Arial"/>
          <w:sz w:val="16"/>
          <w:szCs w:val="16"/>
          <w:lang w:val="it-CH"/>
        </w:rPr>
        <w:t>importi in mio. CHF</w:t>
      </w:r>
    </w:p>
    <w:p w:rsidR="00531F42" w:rsidRPr="00064ACA" w:rsidRDefault="00531F42" w:rsidP="00531F42">
      <w:pPr>
        <w:pStyle w:val="Corpotesto"/>
        <w:rPr>
          <w:lang w:val="it-CH"/>
        </w:rPr>
      </w:pPr>
    </w:p>
    <w:p w:rsidR="00531F42" w:rsidRDefault="00531F42" w:rsidP="00531F42">
      <w:pPr>
        <w:pStyle w:val="Corpotesto"/>
      </w:pPr>
      <w:r>
        <w:t>Con un aumento del contributo cantonale ai casi di rigore di poco meno di CHF 13 milioni, è pertanto possibile attivare per i finanziamenti delle misure a favore delle imprese con una cifra d’affari inferiori a CHF 5 milioni una dotazione finanziaria complessiva di CHF 125 milioni.</w:t>
      </w:r>
    </w:p>
    <w:p w:rsidR="00531F42" w:rsidRDefault="00531F42" w:rsidP="00531F42">
      <w:pPr>
        <w:pStyle w:val="Corpotesto"/>
      </w:pPr>
    </w:p>
    <w:p w:rsidR="00531F42" w:rsidRDefault="00531F42" w:rsidP="00214D08">
      <w:pPr>
        <w:pStyle w:val="Corpotesto"/>
        <w:spacing w:after="240"/>
      </w:pPr>
      <w:r>
        <w:t>Qualora dovessero sorgere in seguito necessità ulteriori si procederà con una nuova richiesta di aggiornamento del credito con relativa copertura finanziaria federale pari al 70%.</w:t>
      </w:r>
    </w:p>
    <w:p w:rsidR="00531F42" w:rsidRDefault="00531F42" w:rsidP="00531F42">
      <w:pPr>
        <w:pStyle w:val="Corpotesto"/>
      </w:pPr>
      <w:r>
        <w:lastRenderedPageBreak/>
        <w:t xml:space="preserve">L’aumento della dotazione finanziaria comporta la necessità di modificare l’art. 8 cpv.1 della legge cantonale. L’aumento delle richieste da trattare comporta la necessità di adeguare anche i costi interni per la gestione dei casi (art. 8 cpv.3), oltre a sistemare formalmente altri aspetti, tra cui l’articolo della legge come si vedrà di seguito in una tabella sinottica. </w:t>
      </w:r>
    </w:p>
    <w:p w:rsidR="00531F42" w:rsidRDefault="00531F42" w:rsidP="00531F42">
      <w:pPr>
        <w:pStyle w:val="Corpotesto"/>
      </w:pPr>
    </w:p>
    <w:p w:rsidR="00531F42" w:rsidRDefault="00531F42" w:rsidP="00531F42">
      <w:pPr>
        <w:pStyle w:val="Corpotesto"/>
      </w:pPr>
    </w:p>
    <w:p w:rsidR="00531F42" w:rsidRPr="005B79D5" w:rsidRDefault="00214D08" w:rsidP="00531F42">
      <w:pPr>
        <w:pStyle w:val="Titolo1"/>
        <w:numPr>
          <w:ilvl w:val="1"/>
          <w:numId w:val="26"/>
        </w:numPr>
      </w:pPr>
      <w:bookmarkStart w:id="5" w:name="_Toc69137493"/>
      <w:bookmarkEnd w:id="4"/>
      <w:r>
        <w:rPr>
          <w:caps w:val="0"/>
        </w:rPr>
        <w:t>Stralcio delle percentuali minime</w:t>
      </w:r>
      <w:bookmarkEnd w:id="5"/>
    </w:p>
    <w:p w:rsidR="00531F42" w:rsidRDefault="00531F42" w:rsidP="00531F42">
      <w:pPr>
        <w:pStyle w:val="Corpotesto"/>
        <w:rPr>
          <w:szCs w:val="24"/>
        </w:rPr>
      </w:pPr>
      <w:r w:rsidRPr="009F22E2">
        <w:rPr>
          <w:szCs w:val="24"/>
        </w:rPr>
        <w:t>Secondo l’arti</w:t>
      </w:r>
      <w:r w:rsidR="00214D08">
        <w:rPr>
          <w:szCs w:val="24"/>
        </w:rPr>
        <w:t>.</w:t>
      </w:r>
      <w:r w:rsidRPr="009F22E2">
        <w:rPr>
          <w:szCs w:val="24"/>
        </w:rPr>
        <w:t xml:space="preserve"> 12 cpv</w:t>
      </w:r>
      <w:r w:rsidR="00214D08">
        <w:rPr>
          <w:szCs w:val="24"/>
        </w:rPr>
        <w:t>.</w:t>
      </w:r>
      <w:r w:rsidRPr="009F22E2">
        <w:rPr>
          <w:szCs w:val="24"/>
        </w:rPr>
        <w:t xml:space="preserve"> 1</w:t>
      </w:r>
      <w:r w:rsidRPr="009F22E2">
        <w:rPr>
          <w:szCs w:val="24"/>
          <w:vertAlign w:val="superscript"/>
        </w:rPr>
        <w:t>bis</w:t>
      </w:r>
      <w:r w:rsidRPr="009F22E2">
        <w:rPr>
          <w:szCs w:val="24"/>
        </w:rPr>
        <w:t xml:space="preserve"> della </w:t>
      </w:r>
      <w:r w:rsidR="00214D08">
        <w:rPr>
          <w:szCs w:val="24"/>
        </w:rPr>
        <w:t>L</w:t>
      </w:r>
      <w:r w:rsidRPr="009F22E2">
        <w:rPr>
          <w:szCs w:val="24"/>
        </w:rPr>
        <w:t xml:space="preserve">egge COVID-19, nell’accertare l’esistenza di un caso di rigore, deve essere considerata anche la quota di costi fissi non coperti. Per garantire ai Cantoni una rapida esecuzione, </w:t>
      </w:r>
      <w:r>
        <w:rPr>
          <w:szCs w:val="24"/>
        </w:rPr>
        <w:t>la Confederazione permette l’utilizzo di q</w:t>
      </w:r>
      <w:r w:rsidRPr="009F22E2">
        <w:rPr>
          <w:szCs w:val="24"/>
        </w:rPr>
        <w:t>uote forfettarie dei costi fissi</w:t>
      </w:r>
      <w:r>
        <w:rPr>
          <w:szCs w:val="24"/>
        </w:rPr>
        <w:t xml:space="preserve"> dei settori oggetto delle misure dei casi di rigore, come previsto peraltro dall’attuale sistema cantonale in vigore. L’entità del finanziamento concesso non deve comunque portare a situazioni di indennizzo eccessivo.</w:t>
      </w:r>
    </w:p>
    <w:p w:rsidR="00531F42" w:rsidRDefault="00531F42" w:rsidP="00531F42">
      <w:pPr>
        <w:pStyle w:val="Corpotesto"/>
        <w:rPr>
          <w:szCs w:val="24"/>
        </w:rPr>
      </w:pPr>
    </w:p>
    <w:p w:rsidR="00531F42" w:rsidRDefault="00531F42" w:rsidP="00531F42">
      <w:pPr>
        <w:pStyle w:val="Corpotesto"/>
        <w:rPr>
          <w:color w:val="000000"/>
        </w:rPr>
      </w:pPr>
      <w:r>
        <w:rPr>
          <w:color w:val="000000"/>
        </w:rPr>
        <w:t>Sulla base delle casistiche visionate, il Consiglio di Stato ha già utilizzato la possibilità di aggiornare i settori beneficiari (cfr. art. 2 lett. f) della legge cantonale) ad es. per il settore delle lavanderie (dal 12.</w:t>
      </w:r>
      <w:r w:rsidR="00214D08">
        <w:rPr>
          <w:color w:val="000000"/>
        </w:rPr>
        <w:t>0</w:t>
      </w:r>
      <w:r>
        <w:rPr>
          <w:color w:val="000000"/>
        </w:rPr>
        <w:t>3.2021).</w:t>
      </w:r>
    </w:p>
    <w:p w:rsidR="00531F42" w:rsidRDefault="00531F42" w:rsidP="00531F42">
      <w:pPr>
        <w:pStyle w:val="Corpotesto"/>
        <w:rPr>
          <w:color w:val="000000"/>
        </w:rPr>
      </w:pPr>
    </w:p>
    <w:p w:rsidR="00531F42" w:rsidRDefault="00531F42" w:rsidP="00531F42">
      <w:pPr>
        <w:pStyle w:val="Corpotesto"/>
        <w:rPr>
          <w:color w:val="000000"/>
        </w:rPr>
      </w:pPr>
      <w:r>
        <w:rPr>
          <w:color w:val="000000"/>
        </w:rPr>
        <w:t>Valutando richieste di imprese in settori attualmente non previsti dal decreto esecutivo, è emerso inoltre come la percentuale adeguata di costi fissi da applicare sarebbe inferiore agli attuali limiti percentuali minimi fissati per i contributi a fondo perso (art. 6, minimo 5%) e per le fideiussioni (art. 6</w:t>
      </w:r>
      <w:r w:rsidRPr="00061DE9">
        <w:rPr>
          <w:color w:val="000000"/>
          <w:vertAlign w:val="superscript"/>
        </w:rPr>
        <w:t>bis</w:t>
      </w:r>
      <w:r>
        <w:rPr>
          <w:color w:val="000000"/>
        </w:rPr>
        <w:t xml:space="preserve">, minimo 10%). Il sistema cantonale prevede l’applicazione della percentuale d’aiuto alla media dell’intera cifra d’affari generata da un’impresa nel biennio 2018-2019. La percentuale d’aiuto deve tener conto, oltre che dei costi fissi generali del settore, anche della durata della limitazione. </w:t>
      </w:r>
    </w:p>
    <w:p w:rsidR="00531F42" w:rsidRDefault="00531F42" w:rsidP="00531F42">
      <w:pPr>
        <w:pStyle w:val="Corpotesto"/>
        <w:rPr>
          <w:color w:val="000000"/>
        </w:rPr>
      </w:pPr>
    </w:p>
    <w:p w:rsidR="00531F42" w:rsidRDefault="00531F42" w:rsidP="00531F42">
      <w:pPr>
        <w:pStyle w:val="Corpotesto"/>
        <w:rPr>
          <w:color w:val="000000"/>
        </w:rPr>
      </w:pPr>
      <w:r>
        <w:rPr>
          <w:color w:val="000000"/>
        </w:rPr>
        <w:t>Per tener conto di quanto poc’anzi indicato, si propone di rinunciare a fissare una percentuale minima, mantenendo comunque quella massima. Di conseguenza, l’importo inferiore massimo è stralciato dai rispettivi articoli. Considerato che la Confederazione ha innalzato a un milione l’importo massimo d’aiuto a fondo perso per le imprese con una cifra d’affari inferiore a CHF 5 milioni, si propone di riprendere questo limite per un eventuale aggiornamento, se necessario, dei tetti massimi previsti per i diversi settori. Considerato che il limite è già fissato nell’ordinanza federale, il rispettivo importo massimo previsto dalla Legge cantonale è di conseguenza ridondante e viene pertanto eliminato</w:t>
      </w:r>
    </w:p>
    <w:p w:rsidR="00531F42" w:rsidRDefault="00531F42" w:rsidP="00531F42">
      <w:pPr>
        <w:pStyle w:val="Corpotesto"/>
        <w:rPr>
          <w:color w:val="000000"/>
        </w:rPr>
      </w:pPr>
    </w:p>
    <w:p w:rsidR="00531F42" w:rsidRDefault="00531F42" w:rsidP="00531F42">
      <w:pPr>
        <w:pStyle w:val="Corpotesto"/>
        <w:rPr>
          <w:color w:val="000000"/>
        </w:rPr>
      </w:pPr>
      <w:r>
        <w:rPr>
          <w:color w:val="000000"/>
        </w:rPr>
        <w:t>In ogni caso, per i settori già attualmente definiti nel decreto esecutivo, non è previsto un adeguamento verso il basso delle percentuali e degli importi massimi.</w:t>
      </w:r>
    </w:p>
    <w:p w:rsidR="00531F42" w:rsidRDefault="00531F42" w:rsidP="00531F42">
      <w:pPr>
        <w:pStyle w:val="Corpotesto"/>
        <w:rPr>
          <w:color w:val="000000"/>
        </w:rPr>
      </w:pPr>
    </w:p>
    <w:p w:rsidR="00531F42" w:rsidRPr="009F22E2" w:rsidRDefault="00531F42" w:rsidP="00531F42">
      <w:pPr>
        <w:pStyle w:val="Corpotesto"/>
        <w:rPr>
          <w:color w:val="000000"/>
        </w:rPr>
      </w:pPr>
      <w:r>
        <w:t>Anche per questa modifica si rimanda al capitolo 4, comprensivo di tabella sinottica.</w:t>
      </w:r>
    </w:p>
    <w:p w:rsidR="00531F42" w:rsidRPr="003D5FA9" w:rsidRDefault="00531F42" w:rsidP="00531F42">
      <w:pPr>
        <w:pStyle w:val="Corpotesto"/>
        <w:rPr>
          <w:color w:val="000000"/>
        </w:rPr>
      </w:pPr>
    </w:p>
    <w:p w:rsidR="00531F42" w:rsidRDefault="00531F42" w:rsidP="00531F42">
      <w:pPr>
        <w:pStyle w:val="Corpotesto"/>
        <w:rPr>
          <w:color w:val="000000"/>
          <w:lang w:val="it-CH"/>
        </w:rPr>
      </w:pPr>
    </w:p>
    <w:p w:rsidR="00531F42" w:rsidRPr="009D0963" w:rsidRDefault="00214D08" w:rsidP="00214D08">
      <w:pPr>
        <w:pStyle w:val="Titolo1"/>
        <w:numPr>
          <w:ilvl w:val="1"/>
          <w:numId w:val="27"/>
        </w:numPr>
        <w:ind w:left="0" w:firstLine="0"/>
      </w:pPr>
      <w:bookmarkStart w:id="6" w:name="_Toc69137494"/>
      <w:r>
        <w:rPr>
          <w:caps w:val="0"/>
        </w:rPr>
        <w:t>Modifiche di legge - tabella sinottica</w:t>
      </w:r>
      <w:bookmarkEnd w:id="6"/>
    </w:p>
    <w:p w:rsidR="00531F42" w:rsidRDefault="00531F42" w:rsidP="00531F42">
      <w:r>
        <w:t xml:space="preserve">Ci si limita nel presente rapporto a riprendere la tabella sinottica, rinviando al messaggio per </w:t>
      </w:r>
      <w:proofErr w:type="spellStart"/>
      <w:r>
        <w:t>ev</w:t>
      </w:r>
      <w:proofErr w:type="spellEnd"/>
      <w:r>
        <w:t>. commenti ai singoli articoli:</w:t>
      </w:r>
    </w:p>
    <w:p w:rsidR="00531F42" w:rsidRDefault="00531F42" w:rsidP="00531F42"/>
    <w:tbl>
      <w:tblPr>
        <w:tblStyle w:val="Grigliatabella"/>
        <w:tblW w:w="9639" w:type="dxa"/>
        <w:tblLook w:val="04A0" w:firstRow="1" w:lastRow="0" w:firstColumn="1" w:lastColumn="0" w:noHBand="0" w:noVBand="1"/>
      </w:tblPr>
      <w:tblGrid>
        <w:gridCol w:w="3213"/>
        <w:gridCol w:w="3213"/>
        <w:gridCol w:w="3213"/>
      </w:tblGrid>
      <w:tr w:rsidR="00531F42" w:rsidRPr="001F3680" w:rsidTr="00707307">
        <w:trPr>
          <w:tblHeader/>
        </w:trPr>
        <w:tc>
          <w:tcPr>
            <w:tcW w:w="3213" w:type="dxa"/>
          </w:tcPr>
          <w:p w:rsidR="00531F42" w:rsidRPr="001A51E7" w:rsidRDefault="00531F42" w:rsidP="00214D08">
            <w:pPr>
              <w:spacing w:before="120" w:after="120"/>
              <w:rPr>
                <w:rFonts w:cs="Arial"/>
                <w:b/>
                <w:sz w:val="20"/>
                <w:szCs w:val="20"/>
              </w:rPr>
            </w:pPr>
            <w:r w:rsidRPr="001A51E7">
              <w:rPr>
                <w:rFonts w:cs="Arial"/>
                <w:b/>
                <w:sz w:val="20"/>
                <w:szCs w:val="20"/>
              </w:rPr>
              <w:lastRenderedPageBreak/>
              <w:t>Legge in vigore</w:t>
            </w:r>
          </w:p>
        </w:tc>
        <w:tc>
          <w:tcPr>
            <w:tcW w:w="3213" w:type="dxa"/>
          </w:tcPr>
          <w:p w:rsidR="00531F42" w:rsidRPr="001A51E7" w:rsidRDefault="00531F42" w:rsidP="00214D08">
            <w:pPr>
              <w:spacing w:before="120" w:after="120"/>
              <w:rPr>
                <w:rFonts w:cs="Arial"/>
                <w:b/>
                <w:sz w:val="20"/>
                <w:szCs w:val="20"/>
              </w:rPr>
            </w:pPr>
            <w:r w:rsidRPr="001A51E7">
              <w:rPr>
                <w:rFonts w:cs="Arial"/>
                <w:b/>
                <w:sz w:val="20"/>
                <w:szCs w:val="20"/>
              </w:rPr>
              <w:t>Modifica proposta</w:t>
            </w:r>
          </w:p>
        </w:tc>
        <w:tc>
          <w:tcPr>
            <w:tcW w:w="3213" w:type="dxa"/>
          </w:tcPr>
          <w:p w:rsidR="00531F42" w:rsidRPr="001A51E7" w:rsidRDefault="00531F42" w:rsidP="00214D08">
            <w:pPr>
              <w:spacing w:before="120" w:after="120"/>
              <w:rPr>
                <w:rFonts w:cs="Arial"/>
                <w:b/>
                <w:sz w:val="20"/>
                <w:szCs w:val="20"/>
              </w:rPr>
            </w:pPr>
            <w:r w:rsidRPr="001A51E7">
              <w:rPr>
                <w:rFonts w:cs="Arial"/>
                <w:b/>
                <w:sz w:val="20"/>
                <w:szCs w:val="20"/>
              </w:rPr>
              <w:t>Nuova versione della Legge</w:t>
            </w:r>
          </w:p>
        </w:tc>
      </w:tr>
      <w:tr w:rsidR="00531F42" w:rsidRPr="00195093" w:rsidTr="00707307">
        <w:trPr>
          <w:tblHeader/>
        </w:trPr>
        <w:tc>
          <w:tcPr>
            <w:tcW w:w="3213" w:type="dxa"/>
          </w:tcPr>
          <w:p w:rsidR="00531F42" w:rsidRPr="001A51E7" w:rsidRDefault="00531F42" w:rsidP="00707307">
            <w:pPr>
              <w:rPr>
                <w:rFonts w:cs="Arial"/>
                <w:b/>
                <w:sz w:val="20"/>
                <w:szCs w:val="20"/>
              </w:rPr>
            </w:pPr>
            <w:r w:rsidRPr="001A51E7">
              <w:rPr>
                <w:rFonts w:cs="Arial"/>
                <w:b/>
                <w:sz w:val="20"/>
                <w:szCs w:val="20"/>
              </w:rPr>
              <w:t>Titolo</w:t>
            </w:r>
          </w:p>
          <w:p w:rsidR="00531F42" w:rsidRPr="001A51E7" w:rsidRDefault="00531F42" w:rsidP="00707307">
            <w:pPr>
              <w:rPr>
                <w:rFonts w:cs="Arial"/>
                <w:sz w:val="20"/>
                <w:szCs w:val="20"/>
              </w:rPr>
            </w:pPr>
            <w:r w:rsidRPr="001A51E7">
              <w:rPr>
                <w:rFonts w:cs="Arial"/>
                <w:sz w:val="20"/>
                <w:szCs w:val="20"/>
              </w:rPr>
              <w:t>Legge</w:t>
            </w:r>
          </w:p>
          <w:p w:rsidR="00531F42" w:rsidRPr="001A51E7" w:rsidRDefault="00531F42" w:rsidP="00707307">
            <w:pPr>
              <w:rPr>
                <w:rFonts w:cs="Arial"/>
                <w:sz w:val="20"/>
                <w:szCs w:val="20"/>
              </w:rPr>
            </w:pPr>
          </w:p>
          <w:p w:rsidR="00531F42" w:rsidRPr="001A51E7" w:rsidRDefault="00531F42" w:rsidP="00707307">
            <w:pPr>
              <w:rPr>
                <w:rFonts w:cs="Arial"/>
                <w:sz w:val="20"/>
                <w:szCs w:val="20"/>
              </w:rPr>
            </w:pPr>
            <w:r w:rsidRPr="001A51E7">
              <w:rPr>
                <w:rFonts w:cs="Arial"/>
                <w:sz w:val="20"/>
                <w:szCs w:val="20"/>
              </w:rPr>
              <w:t xml:space="preserve">sullo stanziamento di un credito lordo di 75.6 milioni di franchi e netto di 24.52 milioni di franchi per l’adozione di misure a favore dei casi di rigore ai sensi dell’ordinanza COVID-19 sui casi di rigore, sul contributo a copertura dei costi sostenuti dai beneficiari per i costi di revisione e per le prestazioni fornite dalla Cooperativa di fideiussione </w:t>
            </w:r>
            <w:proofErr w:type="spellStart"/>
            <w:r w:rsidRPr="001A51E7">
              <w:rPr>
                <w:rFonts w:cs="Arial"/>
                <w:sz w:val="20"/>
                <w:szCs w:val="20"/>
              </w:rPr>
              <w:t>CFSud</w:t>
            </w:r>
            <w:proofErr w:type="spellEnd"/>
          </w:p>
          <w:p w:rsidR="00531F42" w:rsidRPr="001A51E7" w:rsidRDefault="00531F42" w:rsidP="00707307">
            <w:pPr>
              <w:rPr>
                <w:rFonts w:cs="Arial"/>
                <w:sz w:val="20"/>
                <w:szCs w:val="20"/>
              </w:rPr>
            </w:pPr>
          </w:p>
        </w:tc>
        <w:tc>
          <w:tcPr>
            <w:tcW w:w="3213" w:type="dxa"/>
          </w:tcPr>
          <w:p w:rsidR="00531F42" w:rsidRPr="001A51E7" w:rsidRDefault="00531F42" w:rsidP="00707307">
            <w:pPr>
              <w:rPr>
                <w:rFonts w:cs="Arial"/>
                <w:sz w:val="20"/>
                <w:szCs w:val="20"/>
              </w:rPr>
            </w:pPr>
          </w:p>
          <w:p w:rsidR="00531F42" w:rsidRPr="001A51E7" w:rsidRDefault="00531F42" w:rsidP="00707307">
            <w:pPr>
              <w:rPr>
                <w:rFonts w:cs="Arial"/>
                <w:sz w:val="20"/>
                <w:szCs w:val="20"/>
              </w:rPr>
            </w:pPr>
            <w:r w:rsidRPr="001A51E7">
              <w:rPr>
                <w:rFonts w:cs="Arial"/>
                <w:sz w:val="20"/>
                <w:szCs w:val="20"/>
              </w:rPr>
              <w:t>Legge</w:t>
            </w:r>
          </w:p>
          <w:p w:rsidR="00531F42" w:rsidRPr="001A51E7" w:rsidRDefault="00531F42" w:rsidP="00707307">
            <w:pPr>
              <w:rPr>
                <w:rFonts w:cs="Arial"/>
                <w:sz w:val="20"/>
                <w:szCs w:val="20"/>
              </w:rPr>
            </w:pPr>
          </w:p>
          <w:p w:rsidR="00531F42" w:rsidRPr="001A51E7" w:rsidRDefault="00531F42" w:rsidP="00707307">
            <w:pPr>
              <w:rPr>
                <w:rFonts w:cs="Arial"/>
                <w:strike/>
                <w:sz w:val="20"/>
                <w:szCs w:val="20"/>
              </w:rPr>
            </w:pPr>
            <w:r w:rsidRPr="001A51E7">
              <w:rPr>
                <w:rFonts w:cs="Arial"/>
                <w:strike/>
                <w:sz w:val="20"/>
                <w:szCs w:val="20"/>
              </w:rPr>
              <w:t xml:space="preserve">sullo stanziamento di un credito lordo di 75.6 milioni di franchi e netto di 24.52 milioni di franchi per l’adozione di misure a favore dei casi di rigore ai sensi dell’ordinanza COVID-19 sui casi di rigore, sul contributo a copertura dei costi sostenuti dai beneficiari per i costi di revisione e per le prestazioni fornite dalla Cooperativa di fideiussione </w:t>
            </w:r>
            <w:proofErr w:type="spellStart"/>
            <w:r w:rsidRPr="001A51E7">
              <w:rPr>
                <w:rFonts w:cs="Arial"/>
                <w:strike/>
                <w:sz w:val="20"/>
                <w:szCs w:val="20"/>
              </w:rPr>
              <w:t>CFSud</w:t>
            </w:r>
            <w:proofErr w:type="spellEnd"/>
          </w:p>
          <w:p w:rsidR="00531F42" w:rsidRPr="001A51E7" w:rsidRDefault="00531F42" w:rsidP="00707307">
            <w:pPr>
              <w:rPr>
                <w:rFonts w:cs="Arial"/>
                <w:sz w:val="20"/>
                <w:szCs w:val="20"/>
              </w:rPr>
            </w:pPr>
          </w:p>
          <w:p w:rsidR="00531F42" w:rsidRPr="001A51E7" w:rsidRDefault="00531F42" w:rsidP="00707307">
            <w:pPr>
              <w:rPr>
                <w:rFonts w:cs="Arial"/>
                <w:sz w:val="20"/>
                <w:szCs w:val="20"/>
              </w:rPr>
            </w:pPr>
            <w:r w:rsidRPr="001A51E7">
              <w:rPr>
                <w:rFonts w:cs="Arial"/>
                <w:sz w:val="20"/>
                <w:szCs w:val="20"/>
              </w:rPr>
              <w:t>d’applicazione per i casi di rigore della Legge COVID-19</w:t>
            </w:r>
          </w:p>
        </w:tc>
        <w:tc>
          <w:tcPr>
            <w:tcW w:w="3213" w:type="dxa"/>
          </w:tcPr>
          <w:p w:rsidR="00531F42" w:rsidRPr="001A51E7" w:rsidRDefault="00531F42" w:rsidP="00707307">
            <w:pPr>
              <w:rPr>
                <w:rFonts w:cs="Arial"/>
                <w:b/>
                <w:sz w:val="20"/>
                <w:szCs w:val="20"/>
              </w:rPr>
            </w:pPr>
            <w:r w:rsidRPr="001A51E7">
              <w:rPr>
                <w:rFonts w:cs="Arial"/>
                <w:b/>
                <w:sz w:val="20"/>
                <w:szCs w:val="20"/>
              </w:rPr>
              <w:t>Titolo</w:t>
            </w:r>
          </w:p>
          <w:p w:rsidR="00531F42" w:rsidRPr="001A51E7" w:rsidRDefault="00531F42" w:rsidP="00707307">
            <w:pPr>
              <w:rPr>
                <w:rFonts w:cs="Arial"/>
                <w:sz w:val="20"/>
                <w:szCs w:val="20"/>
              </w:rPr>
            </w:pPr>
            <w:r w:rsidRPr="001A51E7">
              <w:rPr>
                <w:rFonts w:cs="Arial"/>
                <w:sz w:val="20"/>
                <w:szCs w:val="20"/>
              </w:rPr>
              <w:t>Legge</w:t>
            </w:r>
          </w:p>
          <w:p w:rsidR="00531F42" w:rsidRPr="001A51E7" w:rsidRDefault="00531F42" w:rsidP="00707307">
            <w:pPr>
              <w:rPr>
                <w:rFonts w:cs="Arial"/>
                <w:sz w:val="20"/>
                <w:szCs w:val="20"/>
              </w:rPr>
            </w:pPr>
          </w:p>
          <w:p w:rsidR="00531F42" w:rsidRPr="001A51E7" w:rsidRDefault="00531F42" w:rsidP="00707307">
            <w:pPr>
              <w:rPr>
                <w:rFonts w:cs="Arial"/>
                <w:sz w:val="20"/>
                <w:szCs w:val="20"/>
              </w:rPr>
            </w:pPr>
            <w:r w:rsidRPr="001A51E7">
              <w:rPr>
                <w:rFonts w:cs="Arial"/>
                <w:sz w:val="20"/>
                <w:szCs w:val="20"/>
              </w:rPr>
              <w:t>d’applicazione per i casi di rigore della Legge COVID-19</w:t>
            </w:r>
          </w:p>
        </w:tc>
      </w:tr>
      <w:tr w:rsidR="00531F42" w:rsidRPr="00195093" w:rsidTr="00707307">
        <w:trPr>
          <w:tblHeader/>
        </w:trPr>
        <w:tc>
          <w:tcPr>
            <w:tcW w:w="3213" w:type="dxa"/>
          </w:tcPr>
          <w:p w:rsidR="00531F42" w:rsidRPr="001A51E7" w:rsidRDefault="00531F42" w:rsidP="00707307">
            <w:pPr>
              <w:rPr>
                <w:rFonts w:cs="Arial"/>
                <w:b/>
                <w:sz w:val="20"/>
                <w:szCs w:val="20"/>
              </w:rPr>
            </w:pPr>
            <w:r w:rsidRPr="001A51E7">
              <w:rPr>
                <w:rFonts w:cs="Arial"/>
                <w:b/>
                <w:sz w:val="20"/>
                <w:szCs w:val="20"/>
              </w:rPr>
              <w:t xml:space="preserve">Art. 6 Contributo a fondo perso </w:t>
            </w:r>
          </w:p>
          <w:p w:rsidR="00531F42" w:rsidRPr="001A51E7" w:rsidRDefault="00531F42" w:rsidP="00707307">
            <w:pPr>
              <w:rPr>
                <w:rFonts w:cs="Arial"/>
                <w:b/>
                <w:sz w:val="20"/>
                <w:szCs w:val="20"/>
              </w:rPr>
            </w:pPr>
          </w:p>
          <w:p w:rsidR="00531F42" w:rsidRPr="001A51E7" w:rsidRDefault="00531F42" w:rsidP="00707307">
            <w:pPr>
              <w:rPr>
                <w:rFonts w:cs="Arial"/>
                <w:sz w:val="20"/>
                <w:szCs w:val="20"/>
              </w:rPr>
            </w:pPr>
            <w:r w:rsidRPr="001A51E7">
              <w:rPr>
                <w:rFonts w:cs="Arial"/>
                <w:sz w:val="20"/>
                <w:szCs w:val="20"/>
              </w:rPr>
              <w:t>Il Consiglio di Stato definisce, per settore, la percentuale massima del contributo a fondo perso conformemente ai criteri espressi nell’ordinanza COVID-19 casi di rigore. Le percentuali sono comprese tra un minimo del 5 per cento della cifra d’affari annua computabile e un massimo del 20 per cento e l’ammontare massimo è compreso tra i 250’000 franchi e i 750’000 franchi.</w:t>
            </w:r>
          </w:p>
        </w:tc>
        <w:tc>
          <w:tcPr>
            <w:tcW w:w="3213" w:type="dxa"/>
          </w:tcPr>
          <w:p w:rsidR="00531F42" w:rsidRPr="001A51E7" w:rsidRDefault="00531F42" w:rsidP="00707307">
            <w:pPr>
              <w:rPr>
                <w:rFonts w:cs="Arial"/>
                <w:sz w:val="20"/>
                <w:szCs w:val="20"/>
              </w:rPr>
            </w:pPr>
          </w:p>
          <w:p w:rsidR="00531F42" w:rsidRPr="001A51E7" w:rsidRDefault="00531F42" w:rsidP="00707307">
            <w:pPr>
              <w:rPr>
                <w:rFonts w:cs="Arial"/>
                <w:sz w:val="20"/>
                <w:szCs w:val="20"/>
              </w:rPr>
            </w:pPr>
          </w:p>
          <w:p w:rsidR="00531F42" w:rsidRPr="001A51E7" w:rsidRDefault="00531F42" w:rsidP="00707307">
            <w:pPr>
              <w:rPr>
                <w:rFonts w:cs="Arial"/>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r w:rsidRPr="001A51E7">
              <w:rPr>
                <w:rFonts w:cs="Arial"/>
                <w:strike/>
                <w:sz w:val="20"/>
                <w:szCs w:val="20"/>
              </w:rPr>
              <w:t>sono comprese tra un minimo del 5 per cento della cifra d’affari annua computabile e</w:t>
            </w:r>
          </w:p>
          <w:p w:rsidR="00531F42" w:rsidRPr="001A51E7" w:rsidRDefault="00531F42" w:rsidP="00707307">
            <w:pPr>
              <w:rPr>
                <w:rFonts w:cs="Arial"/>
                <w:sz w:val="20"/>
                <w:szCs w:val="20"/>
              </w:rPr>
            </w:pPr>
            <w:r w:rsidRPr="001A51E7">
              <w:rPr>
                <w:rFonts w:cs="Arial"/>
                <w:sz w:val="20"/>
                <w:szCs w:val="20"/>
              </w:rPr>
              <w:t>possono raggiungere</w:t>
            </w:r>
          </w:p>
          <w:p w:rsidR="00531F42" w:rsidRPr="001A51E7" w:rsidRDefault="00531F42" w:rsidP="00707307">
            <w:pPr>
              <w:rPr>
                <w:rFonts w:cs="Arial"/>
                <w:strike/>
                <w:sz w:val="20"/>
                <w:szCs w:val="20"/>
              </w:rPr>
            </w:pPr>
            <w:r w:rsidRPr="001A51E7">
              <w:rPr>
                <w:rFonts w:cs="Arial"/>
                <w:strike/>
                <w:sz w:val="20"/>
                <w:szCs w:val="20"/>
              </w:rPr>
              <w:t xml:space="preserve">l’ammontare massimo è compreso tra i 250’000 franchi </w:t>
            </w:r>
            <w:proofErr w:type="gramStart"/>
            <w:r w:rsidRPr="001A51E7">
              <w:rPr>
                <w:rFonts w:cs="Arial"/>
                <w:strike/>
                <w:sz w:val="20"/>
                <w:szCs w:val="20"/>
              </w:rPr>
              <w:t>e  i</w:t>
            </w:r>
            <w:proofErr w:type="gramEnd"/>
            <w:r w:rsidRPr="001A51E7">
              <w:rPr>
                <w:rFonts w:cs="Arial"/>
                <w:strike/>
                <w:sz w:val="20"/>
                <w:szCs w:val="20"/>
              </w:rPr>
              <w:t xml:space="preserve"> 250’000 franchi e i 750’000 franchi</w:t>
            </w:r>
            <w:r w:rsidRPr="001A51E7">
              <w:rPr>
                <w:rFonts w:cs="Arial"/>
                <w:sz w:val="20"/>
                <w:szCs w:val="20"/>
              </w:rPr>
              <w:t>.</w:t>
            </w:r>
          </w:p>
          <w:p w:rsidR="00531F42" w:rsidRPr="001A51E7" w:rsidRDefault="00531F42" w:rsidP="00707307">
            <w:pPr>
              <w:rPr>
                <w:rFonts w:cs="Arial"/>
                <w:strike/>
                <w:sz w:val="20"/>
                <w:szCs w:val="20"/>
              </w:rPr>
            </w:pPr>
          </w:p>
        </w:tc>
        <w:tc>
          <w:tcPr>
            <w:tcW w:w="3213" w:type="dxa"/>
          </w:tcPr>
          <w:p w:rsidR="00531F42" w:rsidRPr="001A51E7" w:rsidRDefault="00531F42" w:rsidP="00707307">
            <w:pPr>
              <w:rPr>
                <w:rFonts w:cs="Arial"/>
                <w:b/>
                <w:sz w:val="20"/>
                <w:szCs w:val="20"/>
              </w:rPr>
            </w:pPr>
            <w:r w:rsidRPr="001A51E7">
              <w:rPr>
                <w:rFonts w:cs="Arial"/>
                <w:b/>
                <w:sz w:val="20"/>
                <w:szCs w:val="20"/>
              </w:rPr>
              <w:t xml:space="preserve">Art. 6 Contributo a fondo perso </w:t>
            </w:r>
          </w:p>
          <w:p w:rsidR="00531F42" w:rsidRPr="001A51E7" w:rsidRDefault="00531F42" w:rsidP="00707307">
            <w:pPr>
              <w:rPr>
                <w:rFonts w:cs="Arial"/>
                <w:b/>
                <w:sz w:val="20"/>
                <w:szCs w:val="20"/>
              </w:rPr>
            </w:pPr>
          </w:p>
          <w:p w:rsidR="00531F42" w:rsidRPr="001A51E7" w:rsidRDefault="00531F42" w:rsidP="00707307">
            <w:pPr>
              <w:rPr>
                <w:rFonts w:cs="Arial"/>
                <w:sz w:val="20"/>
                <w:szCs w:val="20"/>
              </w:rPr>
            </w:pPr>
            <w:r w:rsidRPr="001A51E7">
              <w:rPr>
                <w:rFonts w:cs="Arial"/>
                <w:sz w:val="20"/>
                <w:szCs w:val="20"/>
              </w:rPr>
              <w:t xml:space="preserve">Il Consiglio di Stato definisce, per settore, la percentuale massima del contributo a fondo perso conformemente ai criteri espressi nell’ordinanza COVID-19 casi di rigore. Le percentuali </w:t>
            </w:r>
            <w:r w:rsidRPr="001A51E7">
              <w:rPr>
                <w:sz w:val="20"/>
                <w:szCs w:val="20"/>
              </w:rPr>
              <w:t>possono raggiungere un massimo del 20 per cento</w:t>
            </w:r>
            <w:r w:rsidRPr="001A51E7">
              <w:rPr>
                <w:rFonts w:cs="Arial"/>
                <w:sz w:val="20"/>
                <w:szCs w:val="20"/>
              </w:rPr>
              <w:t xml:space="preserve"> della cifra d’affari annua computabile. </w:t>
            </w:r>
          </w:p>
        </w:tc>
      </w:tr>
      <w:tr w:rsidR="00531F42" w:rsidRPr="00195093" w:rsidTr="00707307">
        <w:trPr>
          <w:tblHeader/>
        </w:trPr>
        <w:tc>
          <w:tcPr>
            <w:tcW w:w="3213" w:type="dxa"/>
          </w:tcPr>
          <w:p w:rsidR="00531F42" w:rsidRPr="001A51E7" w:rsidRDefault="00531F42" w:rsidP="00707307">
            <w:pPr>
              <w:rPr>
                <w:rFonts w:cs="Arial"/>
                <w:b/>
                <w:sz w:val="20"/>
                <w:szCs w:val="20"/>
              </w:rPr>
            </w:pPr>
            <w:r w:rsidRPr="001A51E7">
              <w:rPr>
                <w:rFonts w:cs="Arial"/>
                <w:b/>
                <w:sz w:val="20"/>
                <w:szCs w:val="20"/>
              </w:rPr>
              <w:t xml:space="preserve">Art. 6bis Fideiussione </w:t>
            </w:r>
          </w:p>
          <w:p w:rsidR="00531F42" w:rsidRPr="001A51E7" w:rsidRDefault="00531F42" w:rsidP="00707307">
            <w:pPr>
              <w:rPr>
                <w:rFonts w:cs="Arial"/>
                <w:b/>
                <w:sz w:val="20"/>
                <w:szCs w:val="20"/>
              </w:rPr>
            </w:pPr>
          </w:p>
          <w:p w:rsidR="00531F42" w:rsidRPr="001A51E7" w:rsidRDefault="00531F42" w:rsidP="00707307">
            <w:pPr>
              <w:rPr>
                <w:rFonts w:cs="Arial"/>
                <w:sz w:val="20"/>
                <w:szCs w:val="20"/>
              </w:rPr>
            </w:pPr>
            <w:r w:rsidRPr="001A51E7">
              <w:rPr>
                <w:rFonts w:cs="Arial"/>
                <w:sz w:val="20"/>
                <w:szCs w:val="20"/>
              </w:rPr>
              <w:t>Il Consiglio di Stato definisce, per settore, la percentuale massima della fideiussione conformemente ai criteri espressi nell’ordinanza COVID-19 casi di rigore. La fideiussione è compresa tra un minimo del 10 per cento della cifra d’affari annua computabile e un massimo del 25 per cento e l’ammontare massimo è compreso tra 500’000 franchi e 1’000’000 franchi.</w:t>
            </w:r>
          </w:p>
        </w:tc>
        <w:tc>
          <w:tcPr>
            <w:tcW w:w="3213" w:type="dxa"/>
          </w:tcPr>
          <w:p w:rsidR="00531F42" w:rsidRPr="001A51E7" w:rsidRDefault="00531F42" w:rsidP="00707307">
            <w:pPr>
              <w:rPr>
                <w:rFonts w:cs="Arial"/>
                <w:sz w:val="20"/>
                <w:szCs w:val="20"/>
              </w:rPr>
            </w:pPr>
          </w:p>
          <w:p w:rsidR="00531F42" w:rsidRPr="001A51E7" w:rsidRDefault="00531F42" w:rsidP="00707307">
            <w:pPr>
              <w:rPr>
                <w:rFonts w:cs="Arial"/>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r w:rsidRPr="001A51E7">
              <w:rPr>
                <w:rFonts w:cs="Arial"/>
                <w:strike/>
                <w:sz w:val="20"/>
                <w:szCs w:val="20"/>
              </w:rPr>
              <w:t>è compresa tra un minimo del 10 per cento della cifra d’affari annua computabile e</w:t>
            </w:r>
          </w:p>
          <w:p w:rsidR="00531F42" w:rsidRPr="001A51E7" w:rsidRDefault="00531F42" w:rsidP="00707307">
            <w:pPr>
              <w:rPr>
                <w:rFonts w:cs="Arial"/>
                <w:sz w:val="20"/>
                <w:szCs w:val="20"/>
              </w:rPr>
            </w:pPr>
            <w:r w:rsidRPr="001A51E7">
              <w:rPr>
                <w:rFonts w:cs="Arial"/>
                <w:sz w:val="20"/>
                <w:szCs w:val="20"/>
              </w:rPr>
              <w:t>può raggiungere</w:t>
            </w:r>
          </w:p>
          <w:p w:rsidR="00531F42" w:rsidRPr="001A51E7" w:rsidRDefault="00531F42" w:rsidP="00707307">
            <w:pPr>
              <w:rPr>
                <w:rFonts w:cs="Arial"/>
                <w:strike/>
                <w:sz w:val="20"/>
                <w:szCs w:val="20"/>
              </w:rPr>
            </w:pPr>
            <w:r w:rsidRPr="001A51E7">
              <w:rPr>
                <w:rFonts w:cs="Arial"/>
                <w:strike/>
                <w:sz w:val="20"/>
                <w:szCs w:val="20"/>
              </w:rPr>
              <w:t xml:space="preserve">l’ammontare massimo è compreso tra 500’000 franchi e </w:t>
            </w:r>
          </w:p>
          <w:p w:rsidR="00531F42" w:rsidRPr="001A51E7" w:rsidRDefault="00531F42" w:rsidP="00707307">
            <w:pPr>
              <w:rPr>
                <w:rFonts w:cs="Arial"/>
                <w:strike/>
                <w:sz w:val="20"/>
                <w:szCs w:val="20"/>
              </w:rPr>
            </w:pPr>
            <w:r w:rsidRPr="001A51E7">
              <w:rPr>
                <w:rFonts w:cs="Arial"/>
                <w:sz w:val="20"/>
                <w:szCs w:val="20"/>
              </w:rPr>
              <w:t>un ammontare massimo di</w:t>
            </w:r>
          </w:p>
          <w:p w:rsidR="00531F42" w:rsidRPr="001A51E7" w:rsidRDefault="00531F42" w:rsidP="00707307">
            <w:pPr>
              <w:rPr>
                <w:rFonts w:cs="Arial"/>
                <w:sz w:val="20"/>
                <w:szCs w:val="20"/>
              </w:rPr>
            </w:pPr>
          </w:p>
        </w:tc>
        <w:tc>
          <w:tcPr>
            <w:tcW w:w="3213" w:type="dxa"/>
          </w:tcPr>
          <w:p w:rsidR="00531F42" w:rsidRPr="001A51E7" w:rsidRDefault="00531F42" w:rsidP="00707307">
            <w:pPr>
              <w:rPr>
                <w:rFonts w:cs="Arial"/>
                <w:b/>
                <w:sz w:val="20"/>
                <w:szCs w:val="20"/>
              </w:rPr>
            </w:pPr>
            <w:r w:rsidRPr="001A51E7">
              <w:rPr>
                <w:rFonts w:cs="Arial"/>
                <w:b/>
                <w:sz w:val="20"/>
                <w:szCs w:val="20"/>
              </w:rPr>
              <w:t>Art. 6bis Fideiussione</w:t>
            </w:r>
          </w:p>
          <w:p w:rsidR="00531F42" w:rsidRPr="001A51E7" w:rsidRDefault="00531F42" w:rsidP="00707307">
            <w:pPr>
              <w:rPr>
                <w:rFonts w:cs="Arial"/>
                <w:b/>
                <w:sz w:val="20"/>
                <w:szCs w:val="20"/>
              </w:rPr>
            </w:pPr>
          </w:p>
          <w:p w:rsidR="00531F42" w:rsidRPr="001A51E7" w:rsidRDefault="00531F42" w:rsidP="00707307">
            <w:pPr>
              <w:rPr>
                <w:rFonts w:cs="Arial"/>
                <w:sz w:val="20"/>
                <w:szCs w:val="20"/>
              </w:rPr>
            </w:pPr>
            <w:r w:rsidRPr="001A51E7">
              <w:rPr>
                <w:rFonts w:cs="Arial"/>
                <w:sz w:val="20"/>
                <w:szCs w:val="20"/>
              </w:rPr>
              <w:t>Il Consiglio di Stato definisce, per settore, la percentuale massima della fideiussione conformemente ai criteri espressi nell’ordinanza COVID-19 casi di rigore. La fideiussione può raggiungere al massimo il 25 per cento della cifra d’affari annua computabile e un ammontare massimo di 1’000’000 franchi.</w:t>
            </w:r>
          </w:p>
        </w:tc>
      </w:tr>
      <w:tr w:rsidR="00531F42" w:rsidRPr="00195093" w:rsidTr="00707307">
        <w:trPr>
          <w:tblHeader/>
        </w:trPr>
        <w:tc>
          <w:tcPr>
            <w:tcW w:w="3213" w:type="dxa"/>
          </w:tcPr>
          <w:p w:rsidR="00531F42" w:rsidRPr="001A51E7" w:rsidRDefault="00531F42" w:rsidP="00707307">
            <w:pPr>
              <w:rPr>
                <w:rFonts w:cs="Arial"/>
                <w:b/>
                <w:sz w:val="20"/>
                <w:szCs w:val="20"/>
              </w:rPr>
            </w:pPr>
            <w:r w:rsidRPr="001A51E7">
              <w:rPr>
                <w:rFonts w:cs="Arial"/>
                <w:b/>
                <w:sz w:val="20"/>
                <w:szCs w:val="20"/>
              </w:rPr>
              <w:lastRenderedPageBreak/>
              <w:t>Art. 8 cpv.1 Finanziamento</w:t>
            </w:r>
          </w:p>
          <w:p w:rsidR="00531F42" w:rsidRPr="001A51E7" w:rsidRDefault="00531F42" w:rsidP="00707307">
            <w:pPr>
              <w:rPr>
                <w:rFonts w:cs="Arial"/>
                <w:b/>
                <w:sz w:val="20"/>
                <w:szCs w:val="20"/>
              </w:rPr>
            </w:pPr>
          </w:p>
          <w:p w:rsidR="00531F42" w:rsidRPr="001A51E7" w:rsidRDefault="00531F42" w:rsidP="00707307">
            <w:pPr>
              <w:rPr>
                <w:rFonts w:cs="Arial"/>
                <w:sz w:val="20"/>
                <w:szCs w:val="20"/>
              </w:rPr>
            </w:pPr>
            <w:r w:rsidRPr="001A51E7">
              <w:rPr>
                <w:rFonts w:cs="Arial"/>
                <w:sz w:val="20"/>
                <w:szCs w:val="20"/>
                <w:vertAlign w:val="superscript"/>
              </w:rPr>
              <w:t>1</w:t>
            </w:r>
            <w:r w:rsidRPr="001A51E7">
              <w:rPr>
                <w:rFonts w:cs="Arial"/>
                <w:sz w:val="20"/>
                <w:szCs w:val="20"/>
              </w:rPr>
              <w:t xml:space="preserve">Per il finanziamento delle misure a favore dei casi di rigore è autorizzata l’erogazione di aiuti finanziari stabiliti secondo l’art. 4 fino ad un importo massimo di 75.6 milioni di franchi, di cui 51.08 milioni di franchi coperti dalla Confederazione. È data facoltà al Consiglio di Stato di erogare ulteriori fondi solo nella misura in cui fossero esclusivamente a carico della Confederazione. </w:t>
            </w:r>
          </w:p>
          <w:p w:rsidR="00531F42" w:rsidRPr="001A51E7" w:rsidRDefault="00531F42" w:rsidP="00707307">
            <w:pPr>
              <w:rPr>
                <w:rFonts w:cs="Arial"/>
                <w:b/>
                <w:sz w:val="20"/>
                <w:szCs w:val="20"/>
              </w:rPr>
            </w:pPr>
          </w:p>
        </w:tc>
        <w:tc>
          <w:tcPr>
            <w:tcW w:w="3213" w:type="dxa"/>
          </w:tcPr>
          <w:p w:rsidR="00531F42" w:rsidRPr="001A51E7" w:rsidRDefault="00531F42" w:rsidP="00707307">
            <w:pPr>
              <w:rPr>
                <w:rFonts w:cs="Arial"/>
                <w:sz w:val="20"/>
                <w:szCs w:val="20"/>
              </w:rPr>
            </w:pPr>
          </w:p>
          <w:p w:rsidR="00531F42" w:rsidRPr="001A51E7" w:rsidRDefault="00531F42" w:rsidP="00707307">
            <w:pPr>
              <w:rPr>
                <w:rFonts w:cs="Arial"/>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r w:rsidRPr="001A51E7">
              <w:rPr>
                <w:rFonts w:cs="Arial"/>
                <w:strike/>
                <w:sz w:val="20"/>
                <w:szCs w:val="20"/>
              </w:rPr>
              <w:t>75.6</w:t>
            </w:r>
          </w:p>
          <w:p w:rsidR="00531F42" w:rsidRPr="001A51E7" w:rsidRDefault="00531F42" w:rsidP="00707307">
            <w:pPr>
              <w:rPr>
                <w:rFonts w:cs="Arial"/>
                <w:strike/>
                <w:sz w:val="20"/>
                <w:szCs w:val="20"/>
              </w:rPr>
            </w:pPr>
            <w:r w:rsidRPr="001A51E7">
              <w:rPr>
                <w:rFonts w:cs="Arial"/>
                <w:strike/>
                <w:sz w:val="20"/>
                <w:szCs w:val="20"/>
              </w:rPr>
              <w:t>51.08</w:t>
            </w:r>
          </w:p>
          <w:p w:rsidR="00531F42" w:rsidRPr="001A51E7" w:rsidRDefault="00531F42" w:rsidP="00707307">
            <w:pPr>
              <w:rPr>
                <w:rFonts w:cs="Arial"/>
                <w:sz w:val="20"/>
                <w:szCs w:val="20"/>
              </w:rPr>
            </w:pPr>
            <w:r w:rsidRPr="001A51E7">
              <w:rPr>
                <w:rFonts w:cs="Arial"/>
                <w:sz w:val="20"/>
                <w:szCs w:val="20"/>
              </w:rPr>
              <w:t>125</w:t>
            </w:r>
          </w:p>
          <w:p w:rsidR="00531F42" w:rsidRPr="001A51E7" w:rsidRDefault="00531F42" w:rsidP="00707307">
            <w:pPr>
              <w:rPr>
                <w:rFonts w:cs="Arial"/>
                <w:sz w:val="20"/>
                <w:szCs w:val="20"/>
              </w:rPr>
            </w:pPr>
            <w:r w:rsidRPr="001A51E7">
              <w:rPr>
                <w:rFonts w:cs="Arial"/>
                <w:sz w:val="20"/>
                <w:szCs w:val="20"/>
              </w:rPr>
              <w:t>87.5</w:t>
            </w:r>
          </w:p>
        </w:tc>
        <w:tc>
          <w:tcPr>
            <w:tcW w:w="3213" w:type="dxa"/>
          </w:tcPr>
          <w:p w:rsidR="00531F42" w:rsidRPr="001A51E7" w:rsidRDefault="00531F42" w:rsidP="00707307">
            <w:pPr>
              <w:rPr>
                <w:rFonts w:cs="Arial"/>
                <w:b/>
                <w:sz w:val="20"/>
                <w:szCs w:val="20"/>
              </w:rPr>
            </w:pPr>
            <w:r w:rsidRPr="001A51E7">
              <w:rPr>
                <w:rFonts w:cs="Arial"/>
                <w:b/>
                <w:sz w:val="20"/>
                <w:szCs w:val="20"/>
              </w:rPr>
              <w:t xml:space="preserve">Art. 8 cpv.1 Finanziamento </w:t>
            </w:r>
          </w:p>
          <w:p w:rsidR="00531F42" w:rsidRPr="001A51E7" w:rsidRDefault="00531F42" w:rsidP="00707307">
            <w:pPr>
              <w:rPr>
                <w:rFonts w:cs="Arial"/>
                <w:b/>
                <w:sz w:val="20"/>
                <w:szCs w:val="20"/>
              </w:rPr>
            </w:pPr>
          </w:p>
          <w:p w:rsidR="00531F42" w:rsidRPr="001A51E7" w:rsidRDefault="00531F42" w:rsidP="00707307">
            <w:pPr>
              <w:rPr>
                <w:rFonts w:cs="Arial"/>
                <w:sz w:val="20"/>
                <w:szCs w:val="20"/>
              </w:rPr>
            </w:pPr>
            <w:r w:rsidRPr="001A51E7">
              <w:rPr>
                <w:rFonts w:cs="Arial"/>
                <w:sz w:val="20"/>
                <w:szCs w:val="20"/>
                <w:vertAlign w:val="superscript"/>
              </w:rPr>
              <w:t>1</w:t>
            </w:r>
            <w:r w:rsidRPr="001A51E7">
              <w:rPr>
                <w:rFonts w:cs="Arial"/>
                <w:sz w:val="20"/>
                <w:szCs w:val="20"/>
              </w:rPr>
              <w:t>Per il finanziamento delle misure a favore dei casi di rigore è autorizzata l’erogazione di aiuti finanziari stabiliti secondo l’art. 4 fino ad un importo massimo di 125 milioni di franchi, di cui 87.5 milioni di franchi coperti dalla Confederazione. È data facoltà al Consiglio di Stato di erogare ulteriori fondi solo nella misura in cui fossero esclusivamente a carico della Confederazione.</w:t>
            </w:r>
          </w:p>
        </w:tc>
      </w:tr>
      <w:tr w:rsidR="00531F42" w:rsidRPr="00195093" w:rsidTr="00707307">
        <w:trPr>
          <w:tblHeader/>
        </w:trPr>
        <w:tc>
          <w:tcPr>
            <w:tcW w:w="3213" w:type="dxa"/>
          </w:tcPr>
          <w:p w:rsidR="00531F42" w:rsidRPr="001A51E7" w:rsidRDefault="00531F42" w:rsidP="00707307">
            <w:pPr>
              <w:rPr>
                <w:rFonts w:cs="Arial"/>
                <w:b/>
                <w:sz w:val="20"/>
                <w:szCs w:val="20"/>
              </w:rPr>
            </w:pPr>
            <w:r w:rsidRPr="001A51E7">
              <w:rPr>
                <w:rFonts w:cs="Arial"/>
                <w:b/>
                <w:sz w:val="20"/>
                <w:szCs w:val="20"/>
              </w:rPr>
              <w:t xml:space="preserve">Art. 8 cpv.3 Finanziamento </w:t>
            </w:r>
          </w:p>
          <w:p w:rsidR="00531F42" w:rsidRPr="001A51E7" w:rsidRDefault="00531F42" w:rsidP="00707307">
            <w:pPr>
              <w:rPr>
                <w:rFonts w:cs="Arial"/>
                <w:b/>
                <w:sz w:val="20"/>
                <w:szCs w:val="20"/>
              </w:rPr>
            </w:pPr>
          </w:p>
          <w:p w:rsidR="00531F42" w:rsidRPr="001A51E7" w:rsidRDefault="00531F42" w:rsidP="00707307">
            <w:pPr>
              <w:rPr>
                <w:rFonts w:cs="Arial"/>
                <w:sz w:val="20"/>
                <w:szCs w:val="20"/>
              </w:rPr>
            </w:pPr>
            <w:r w:rsidRPr="001A51E7">
              <w:rPr>
                <w:rFonts w:cs="Arial"/>
                <w:sz w:val="20"/>
                <w:szCs w:val="20"/>
                <w:vertAlign w:val="superscript"/>
              </w:rPr>
              <w:t>3</w:t>
            </w:r>
            <w:r w:rsidRPr="001A51E7">
              <w:rPr>
                <w:rFonts w:cs="Arial"/>
                <w:sz w:val="20"/>
                <w:szCs w:val="20"/>
              </w:rPr>
              <w:t>Per i costi interni di gestione delle misure dei casi di rigore sono stanziati 1.2 milioni di franchi.</w:t>
            </w:r>
          </w:p>
        </w:tc>
        <w:tc>
          <w:tcPr>
            <w:tcW w:w="3213" w:type="dxa"/>
          </w:tcPr>
          <w:p w:rsidR="00531F42" w:rsidRPr="001A51E7" w:rsidRDefault="00531F42" w:rsidP="00707307">
            <w:pPr>
              <w:rPr>
                <w:rFonts w:cs="Arial"/>
                <w:sz w:val="20"/>
                <w:szCs w:val="20"/>
              </w:rPr>
            </w:pPr>
          </w:p>
          <w:p w:rsidR="00531F42" w:rsidRPr="001A51E7" w:rsidRDefault="00531F42" w:rsidP="00707307">
            <w:pPr>
              <w:rPr>
                <w:rFonts w:cs="Arial"/>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p>
          <w:p w:rsidR="00531F42" w:rsidRPr="001A51E7" w:rsidRDefault="00531F42" w:rsidP="00707307">
            <w:pPr>
              <w:rPr>
                <w:rFonts w:cs="Arial"/>
                <w:strike/>
                <w:sz w:val="20"/>
                <w:szCs w:val="20"/>
              </w:rPr>
            </w:pPr>
            <w:r w:rsidRPr="001A51E7">
              <w:rPr>
                <w:rFonts w:cs="Arial"/>
                <w:strike/>
                <w:sz w:val="20"/>
                <w:szCs w:val="20"/>
              </w:rPr>
              <w:t>1.2</w:t>
            </w:r>
          </w:p>
          <w:p w:rsidR="00531F42" w:rsidRPr="001A51E7" w:rsidRDefault="00531F42" w:rsidP="00707307">
            <w:pPr>
              <w:rPr>
                <w:rFonts w:cs="Arial"/>
                <w:sz w:val="20"/>
                <w:szCs w:val="20"/>
              </w:rPr>
            </w:pPr>
            <w:r w:rsidRPr="001A51E7">
              <w:rPr>
                <w:rFonts w:cs="Arial"/>
                <w:sz w:val="20"/>
                <w:szCs w:val="20"/>
              </w:rPr>
              <w:t>1.6</w:t>
            </w:r>
          </w:p>
        </w:tc>
        <w:tc>
          <w:tcPr>
            <w:tcW w:w="3213" w:type="dxa"/>
          </w:tcPr>
          <w:p w:rsidR="00531F42" w:rsidRPr="001A51E7" w:rsidRDefault="00531F42" w:rsidP="00707307">
            <w:pPr>
              <w:rPr>
                <w:rFonts w:cs="Arial"/>
                <w:b/>
                <w:sz w:val="20"/>
                <w:szCs w:val="20"/>
              </w:rPr>
            </w:pPr>
            <w:r w:rsidRPr="001A51E7">
              <w:rPr>
                <w:rFonts w:cs="Arial"/>
                <w:b/>
                <w:sz w:val="20"/>
                <w:szCs w:val="20"/>
              </w:rPr>
              <w:t xml:space="preserve">Art. 8 cpv.3 Finanziamento </w:t>
            </w:r>
          </w:p>
          <w:p w:rsidR="00531F42" w:rsidRPr="001A51E7" w:rsidRDefault="00531F42" w:rsidP="00707307">
            <w:pPr>
              <w:rPr>
                <w:rFonts w:cs="Arial"/>
                <w:b/>
                <w:sz w:val="20"/>
                <w:szCs w:val="20"/>
              </w:rPr>
            </w:pPr>
          </w:p>
          <w:p w:rsidR="00531F42" w:rsidRPr="001A51E7" w:rsidRDefault="00531F42" w:rsidP="00707307">
            <w:pPr>
              <w:rPr>
                <w:rFonts w:cs="Arial"/>
                <w:b/>
                <w:sz w:val="20"/>
                <w:szCs w:val="20"/>
              </w:rPr>
            </w:pPr>
            <w:r w:rsidRPr="001A51E7">
              <w:rPr>
                <w:rFonts w:cs="Arial"/>
                <w:sz w:val="20"/>
                <w:szCs w:val="20"/>
                <w:vertAlign w:val="superscript"/>
              </w:rPr>
              <w:t>3</w:t>
            </w:r>
            <w:r w:rsidRPr="001A51E7">
              <w:rPr>
                <w:rFonts w:cs="Arial"/>
                <w:sz w:val="20"/>
                <w:szCs w:val="20"/>
              </w:rPr>
              <w:t>Per i costi interni di gestione delle misure dei casi di rigore sono stanziati 1.6 milioni di franchi.</w:t>
            </w:r>
          </w:p>
        </w:tc>
      </w:tr>
    </w:tbl>
    <w:p w:rsidR="00531F42" w:rsidRDefault="00531F42" w:rsidP="00531F42"/>
    <w:p w:rsidR="00214D08" w:rsidRDefault="00214D08" w:rsidP="00531F42"/>
    <w:p w:rsidR="00214D08" w:rsidRDefault="00214D08" w:rsidP="00531F42"/>
    <w:p w:rsidR="00531F42" w:rsidRPr="001A51E7" w:rsidRDefault="00531F42" w:rsidP="00531F42">
      <w:pPr>
        <w:pStyle w:val="Titolo1"/>
        <w:numPr>
          <w:ilvl w:val="0"/>
          <w:numId w:val="26"/>
        </w:numPr>
        <w:ind w:left="0" w:firstLine="0"/>
      </w:pPr>
      <w:bookmarkStart w:id="7" w:name="_Toc512440920"/>
      <w:bookmarkStart w:id="8" w:name="_Toc515353801"/>
      <w:bookmarkStart w:id="9" w:name="_Toc516152533"/>
      <w:bookmarkStart w:id="10" w:name="_Toc516155333"/>
      <w:bookmarkStart w:id="11" w:name="_Toc512440921"/>
      <w:bookmarkStart w:id="12" w:name="_Toc515353802"/>
      <w:bookmarkStart w:id="13" w:name="_Toc516152534"/>
      <w:bookmarkStart w:id="14" w:name="_Toc516155334"/>
      <w:bookmarkStart w:id="15" w:name="_Toc512440922"/>
      <w:bookmarkStart w:id="16" w:name="_Toc515353803"/>
      <w:bookmarkStart w:id="17" w:name="_Toc516152535"/>
      <w:bookmarkStart w:id="18" w:name="_Toc516155335"/>
      <w:bookmarkStart w:id="19" w:name="_Toc512440923"/>
      <w:bookmarkStart w:id="20" w:name="_Toc515353804"/>
      <w:bookmarkStart w:id="21" w:name="_Toc516152536"/>
      <w:bookmarkStart w:id="22" w:name="_Toc516155336"/>
      <w:bookmarkStart w:id="23" w:name="_Toc512440924"/>
      <w:bookmarkStart w:id="24" w:name="_Toc515353805"/>
      <w:bookmarkStart w:id="25" w:name="_Toc516152537"/>
      <w:bookmarkStart w:id="26" w:name="_Toc516155337"/>
      <w:bookmarkStart w:id="27" w:name="_Toc512440925"/>
      <w:bookmarkStart w:id="28" w:name="_Toc515353806"/>
      <w:bookmarkStart w:id="29" w:name="_Toc516152538"/>
      <w:bookmarkStart w:id="30" w:name="_Toc516155338"/>
      <w:bookmarkStart w:id="31" w:name="_Toc432594765"/>
      <w:bookmarkStart w:id="32" w:name="_Toc691374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D0963">
        <w:t>Relazione con il piano finanziario</w:t>
      </w:r>
      <w:bookmarkEnd w:id="31"/>
      <w:bookmarkEnd w:id="32"/>
    </w:p>
    <w:p w:rsidR="00531F42" w:rsidRPr="003057CE" w:rsidRDefault="00531F42" w:rsidP="00531F42">
      <w:pPr>
        <w:rPr>
          <w:rFonts w:cs="Arial"/>
          <w:szCs w:val="24"/>
        </w:rPr>
      </w:pPr>
      <w:r w:rsidRPr="003057CE">
        <w:rPr>
          <w:rFonts w:cs="Arial"/>
          <w:szCs w:val="24"/>
        </w:rPr>
        <w:t xml:space="preserve">Gestione corrente: l’adeguamento della dotazione finanziaria nel 2021 comporta un maggior esborso massimo prevedibile che ammonta a CHF 50 milioni, di cui </w:t>
      </w:r>
      <w:r>
        <w:rPr>
          <w:rFonts w:cs="Arial"/>
          <w:szCs w:val="24"/>
        </w:rPr>
        <w:t>fino a</w:t>
      </w:r>
      <w:r w:rsidRPr="003057CE">
        <w:rPr>
          <w:rFonts w:cs="Arial"/>
          <w:szCs w:val="24"/>
        </w:rPr>
        <w:t xml:space="preserve"> CHF 36.42 </w:t>
      </w:r>
      <w:r>
        <w:rPr>
          <w:rFonts w:cs="Arial"/>
          <w:szCs w:val="24"/>
        </w:rPr>
        <w:t xml:space="preserve">milioni </w:t>
      </w:r>
      <w:r w:rsidRPr="003057CE">
        <w:rPr>
          <w:rFonts w:cs="Arial"/>
          <w:szCs w:val="24"/>
        </w:rPr>
        <w:t>verranno rimborsati dalla Confederazione. A carico del Cantone si prevede un aumento di CHF 13.</w:t>
      </w:r>
      <w:r>
        <w:rPr>
          <w:rFonts w:cs="Arial"/>
          <w:szCs w:val="24"/>
        </w:rPr>
        <w:t>3</w:t>
      </w:r>
      <w:r w:rsidRPr="003057CE">
        <w:rPr>
          <w:rFonts w:cs="Arial"/>
          <w:szCs w:val="24"/>
        </w:rPr>
        <w:t>8 milioni.</w:t>
      </w:r>
    </w:p>
    <w:p w:rsidR="00531F42" w:rsidRPr="003057CE" w:rsidRDefault="00531F42" w:rsidP="00531F42">
      <w:pPr>
        <w:rPr>
          <w:rFonts w:cs="Arial"/>
          <w:szCs w:val="24"/>
        </w:rPr>
      </w:pPr>
    </w:p>
    <w:p w:rsidR="00531F42" w:rsidRPr="003057CE" w:rsidRDefault="00531F42" w:rsidP="00531F42">
      <w:pPr>
        <w:rPr>
          <w:rFonts w:cs="Arial"/>
          <w:szCs w:val="24"/>
        </w:rPr>
      </w:pPr>
      <w:r w:rsidRPr="003057CE">
        <w:rPr>
          <w:rFonts w:cs="Arial"/>
          <w:szCs w:val="24"/>
        </w:rPr>
        <w:t xml:space="preserve">Sono inoltre da prevedere erogazioni di fondi esclusivamente a carico della Confederazione, stimabili in CHF </w:t>
      </w:r>
      <w:r>
        <w:rPr>
          <w:rFonts w:cs="Arial"/>
          <w:szCs w:val="24"/>
        </w:rPr>
        <w:t>30-50</w:t>
      </w:r>
      <w:r w:rsidRPr="003057CE">
        <w:rPr>
          <w:rFonts w:cs="Arial"/>
          <w:szCs w:val="24"/>
        </w:rPr>
        <w:t xml:space="preserve"> milioni. Tali fondi sono anticipati dal Canton Ticino e, entro la fine dell’anno, saranno interamente rimborsati dalla Confederazione.</w:t>
      </w:r>
    </w:p>
    <w:p w:rsidR="00531F42" w:rsidRPr="003057CE" w:rsidRDefault="00531F42" w:rsidP="00531F42">
      <w:pPr>
        <w:rPr>
          <w:rFonts w:cs="Arial"/>
          <w:szCs w:val="24"/>
        </w:rPr>
      </w:pPr>
    </w:p>
    <w:p w:rsidR="00531F42" w:rsidRPr="003057CE" w:rsidRDefault="00531F42" w:rsidP="00531F42">
      <w:pPr>
        <w:rPr>
          <w:rFonts w:cs="Arial"/>
          <w:szCs w:val="24"/>
        </w:rPr>
      </w:pPr>
      <w:r w:rsidRPr="003057CE">
        <w:rPr>
          <w:rFonts w:cs="Arial"/>
          <w:szCs w:val="24"/>
        </w:rPr>
        <w:t>I contributi a fondo perso erogati impatteranno l’esercizio 2021 (salvo gli eventuali rimborsi dai beneficiari nei 5 anni successivi), mentre le fideiussioni potranno avere un impatto fino al 2031.</w:t>
      </w:r>
    </w:p>
    <w:p w:rsidR="00531F42" w:rsidRPr="003057CE" w:rsidRDefault="00531F42" w:rsidP="00531F42">
      <w:pPr>
        <w:rPr>
          <w:rFonts w:cs="Arial"/>
          <w:szCs w:val="24"/>
        </w:rPr>
      </w:pPr>
    </w:p>
    <w:p w:rsidR="00531F42" w:rsidRDefault="00531F42" w:rsidP="00531F42">
      <w:pPr>
        <w:rPr>
          <w:rFonts w:cs="Arial"/>
          <w:szCs w:val="24"/>
        </w:rPr>
      </w:pPr>
      <w:r w:rsidRPr="001A51E7">
        <w:rPr>
          <w:rFonts w:cs="Arial"/>
          <w:szCs w:val="24"/>
          <w:u w:val="single"/>
        </w:rPr>
        <w:t>Modifiche dell'effettivo del personale</w:t>
      </w:r>
      <w:r w:rsidRPr="003057CE">
        <w:rPr>
          <w:rFonts w:cs="Arial"/>
          <w:szCs w:val="24"/>
        </w:rPr>
        <w:t xml:space="preserve">: si prevede la creazione </w:t>
      </w:r>
      <w:r>
        <w:rPr>
          <w:rFonts w:cs="Arial"/>
          <w:szCs w:val="24"/>
        </w:rPr>
        <w:t xml:space="preserve">temporanea </w:t>
      </w:r>
      <w:r w:rsidRPr="003057CE">
        <w:rPr>
          <w:rFonts w:cs="Arial"/>
          <w:szCs w:val="24"/>
        </w:rPr>
        <w:t>di ulteriori 4 nuove unità a tempo pieno per la gestione, controllo ed erogazione dei casi di rigore a seguito dell’aumento della dotazione finanziaria nel 2021.</w:t>
      </w:r>
    </w:p>
    <w:p w:rsidR="00531F42" w:rsidRDefault="00531F42" w:rsidP="00531F42">
      <w:pPr>
        <w:rPr>
          <w:lang w:val="it-CH"/>
        </w:rPr>
      </w:pPr>
    </w:p>
    <w:p w:rsidR="00214D08" w:rsidRDefault="00214D08" w:rsidP="00531F42">
      <w:pPr>
        <w:rPr>
          <w:lang w:val="it-CH"/>
        </w:rPr>
      </w:pPr>
    </w:p>
    <w:p w:rsidR="00531F42" w:rsidRPr="003057CE" w:rsidRDefault="00531F42" w:rsidP="00531F42">
      <w:pPr>
        <w:rPr>
          <w:lang w:val="it-CH"/>
        </w:rPr>
      </w:pPr>
    </w:p>
    <w:p w:rsidR="00531F42" w:rsidRPr="009D0963" w:rsidRDefault="00531F42" w:rsidP="00531F42">
      <w:pPr>
        <w:pStyle w:val="Titolo1"/>
        <w:numPr>
          <w:ilvl w:val="0"/>
          <w:numId w:val="26"/>
        </w:numPr>
        <w:ind w:left="0" w:firstLine="0"/>
      </w:pPr>
      <w:bookmarkStart w:id="33" w:name="_Toc432594768"/>
      <w:bookmarkStart w:id="34" w:name="_Toc69137496"/>
      <w:r>
        <w:t xml:space="preserve">lavori commissionali e </w:t>
      </w:r>
      <w:r w:rsidRPr="009D0963">
        <w:t>Conclusioni</w:t>
      </w:r>
      <w:bookmarkEnd w:id="33"/>
      <w:bookmarkEnd w:id="34"/>
    </w:p>
    <w:p w:rsidR="00531F42" w:rsidRDefault="00531F42" w:rsidP="00531F42">
      <w:r>
        <w:t xml:space="preserve">La Commissione gestione e finanze ha discusso le modifiche proposte dal Governo in occasione della sua seduta del 20 aprile 2021. Essa ritiene di approvarle in quanto con esse sarà possibile garantire la disponibilità finanziaria necessaria per far fronte a tutte le richieste già pervenute per i l’ottenimento degli aiuti per i casi di rigore, così come di far fronte ad ulteriori potenziali 700 nuove richieste in base ai mutati parametri. </w:t>
      </w:r>
    </w:p>
    <w:p w:rsidR="00531F42" w:rsidRDefault="00531F42" w:rsidP="00531F42"/>
    <w:p w:rsidR="00531F42" w:rsidRDefault="00531F42" w:rsidP="00531F42">
      <w:r>
        <w:t>La Commissione auspica maggiore rapidità nella messa a disposizione della documentazione per l’esame delle pratiche che deve essere predisposta dall’Amministrazione stessa (ad esempio i certificati AVS).</w:t>
      </w:r>
    </w:p>
    <w:p w:rsidR="00531F42" w:rsidRDefault="00531F42" w:rsidP="00531F42">
      <w:r>
        <w:lastRenderedPageBreak/>
        <w:t xml:space="preserve">La Commissione invita il Gran Coniglio ad aderire al Decreto legislativo e al Disegno di legge allegati al messaggio. </w:t>
      </w:r>
    </w:p>
    <w:p w:rsidR="00531F42" w:rsidRDefault="00531F42" w:rsidP="00531F42">
      <w:pPr>
        <w:spacing w:line="23" w:lineRule="atLeast"/>
        <w:rPr>
          <w:rFonts w:cs="Arial"/>
        </w:rPr>
      </w:pPr>
    </w:p>
    <w:p w:rsidR="00531F42" w:rsidRDefault="00531F42" w:rsidP="00531F42">
      <w:pPr>
        <w:spacing w:line="23" w:lineRule="atLeast"/>
        <w:rPr>
          <w:rFonts w:cs="Arial"/>
        </w:rPr>
      </w:pPr>
    </w:p>
    <w:p w:rsidR="00214D08" w:rsidRDefault="00214D08" w:rsidP="00531F42">
      <w:pPr>
        <w:spacing w:line="23" w:lineRule="atLeast"/>
        <w:rPr>
          <w:rFonts w:cs="Arial"/>
        </w:rPr>
      </w:pPr>
    </w:p>
    <w:p w:rsidR="00531F42" w:rsidRPr="00B4412F" w:rsidRDefault="00531F42" w:rsidP="00531F42">
      <w:pPr>
        <w:spacing w:after="120" w:line="0" w:lineRule="atLeast"/>
        <w:rPr>
          <w:rFonts w:cs="Arial"/>
        </w:rPr>
      </w:pPr>
      <w:r w:rsidRPr="00B4412F">
        <w:rPr>
          <w:rFonts w:cs="Arial"/>
        </w:rPr>
        <w:t xml:space="preserve">Per </w:t>
      </w:r>
      <w:r>
        <w:rPr>
          <w:rFonts w:cs="Arial"/>
        </w:rPr>
        <w:t>la Commissione gestione e finanze:</w:t>
      </w:r>
    </w:p>
    <w:p w:rsidR="00531F42" w:rsidRPr="00B4412F" w:rsidRDefault="00531F42" w:rsidP="00531F42">
      <w:pPr>
        <w:spacing w:line="23" w:lineRule="atLeast"/>
        <w:rPr>
          <w:rFonts w:cs="Arial"/>
        </w:rPr>
      </w:pPr>
      <w:r>
        <w:rPr>
          <w:rFonts w:cs="Arial"/>
        </w:rPr>
        <w:t>Matteo Quadranti, relatore</w:t>
      </w:r>
    </w:p>
    <w:p w:rsidR="00FA0C71" w:rsidRDefault="000A2D70" w:rsidP="000A2D70">
      <w:r>
        <w:t xml:space="preserve">Agustoni - Bang - Bignasca - Biscossa </w:t>
      </w:r>
      <w:r w:rsidR="00372E7F">
        <w:t>-</w:t>
      </w:r>
      <w:r>
        <w:t xml:space="preserve"> </w:t>
      </w:r>
    </w:p>
    <w:p w:rsidR="000A2D70" w:rsidRDefault="000A2D70" w:rsidP="000A2D70">
      <w:r>
        <w:t>Bourgoin - Caprara -</w:t>
      </w:r>
      <w:r w:rsidR="00FA0C71">
        <w:t xml:space="preserve"> </w:t>
      </w:r>
      <w:r>
        <w:t xml:space="preserve">Dadò - Durisch - Jelmini - </w:t>
      </w:r>
    </w:p>
    <w:p w:rsidR="000A2D70" w:rsidRDefault="000A2D70" w:rsidP="000A2D70">
      <w:r>
        <w:t xml:space="preserve">Gianella </w:t>
      </w:r>
      <w:r w:rsidR="00D63BF2">
        <w:t xml:space="preserve">Alessandra </w:t>
      </w:r>
      <w:r>
        <w:t xml:space="preserve">- Guerra - Pamini - Pini </w:t>
      </w:r>
    </w:p>
    <w:p w:rsidR="002A1D30" w:rsidRDefault="002A1D30" w:rsidP="00AB1B96"/>
    <w:sectPr w:rsidR="002A1D30"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5E" w:rsidRDefault="00D9765E">
      <w:r>
        <w:separator/>
      </w:r>
    </w:p>
  </w:endnote>
  <w:endnote w:type="continuationSeparator" w:id="0">
    <w:p w:rsidR="00D9765E" w:rsidRDefault="00D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3979A4">
    <w:pPr>
      <w:pStyle w:val="Pidipagina"/>
      <w:jc w:val="center"/>
      <w:rPr>
        <w:sz w:val="20"/>
      </w:rPr>
    </w:pPr>
    <w:r>
      <w:rPr>
        <w:rStyle w:val="Numeropagina"/>
        <w:sz w:val="20"/>
      </w:rPr>
      <w:fldChar w:fldCharType="begin"/>
    </w:r>
    <w:r w:rsidR="00BF3FC3">
      <w:rPr>
        <w:rStyle w:val="Numeropagina"/>
        <w:sz w:val="20"/>
      </w:rPr>
      <w:instrText xml:space="preserve"> PAGE </w:instrText>
    </w:r>
    <w:r>
      <w:rPr>
        <w:rStyle w:val="Numeropagina"/>
        <w:sz w:val="20"/>
      </w:rPr>
      <w:fldChar w:fldCharType="separate"/>
    </w:r>
    <w:r w:rsidR="00043CF8">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5E" w:rsidRDefault="00D9765E">
      <w:r>
        <w:separator/>
      </w:r>
    </w:p>
  </w:footnote>
  <w:footnote w:type="continuationSeparator" w:id="0">
    <w:p w:rsidR="00D9765E" w:rsidRDefault="00D9765E">
      <w:r>
        <w:continuationSeparator/>
      </w:r>
    </w:p>
  </w:footnote>
  <w:footnote w:id="1">
    <w:p w:rsidR="00531F42" w:rsidRPr="00B93A54" w:rsidRDefault="00531F42" w:rsidP="00531F42">
      <w:pPr>
        <w:pStyle w:val="Testonotaapidipagina"/>
        <w:rPr>
          <w:rFonts w:cs="Arial"/>
          <w:lang w:val="it-CH"/>
        </w:rPr>
      </w:pPr>
      <w:r w:rsidRPr="00B93A54">
        <w:rPr>
          <w:rStyle w:val="Rimandonotaapidipagina"/>
          <w:rFonts w:cs="Arial"/>
        </w:rPr>
        <w:footnoteRef/>
      </w:r>
      <w:r w:rsidRPr="00B93A54">
        <w:rPr>
          <w:rFonts w:cs="Arial"/>
        </w:rPr>
        <w:t xml:space="preserve"> Costituzione della Repubblica e Cantone Ticino d</w:t>
      </w:r>
      <w:r>
        <w:rPr>
          <w:rFonts w:cs="Arial"/>
        </w:rPr>
        <w:t>el 14 dicembre 1997; RL 101.100</w:t>
      </w:r>
    </w:p>
  </w:footnote>
  <w:footnote w:id="2">
    <w:p w:rsidR="00531F42" w:rsidRPr="00AA0A28" w:rsidRDefault="00531F42" w:rsidP="00531F42">
      <w:pPr>
        <w:pStyle w:val="Testonotaapidipagina"/>
        <w:rPr>
          <w:lang w:val="it-CH"/>
        </w:rPr>
      </w:pPr>
      <w:r w:rsidRPr="00B93A54">
        <w:rPr>
          <w:rStyle w:val="Rimandonotaapidipagina"/>
          <w:rFonts w:cs="Arial"/>
        </w:rPr>
        <w:footnoteRef/>
      </w:r>
      <w:r w:rsidRPr="00B93A54">
        <w:rPr>
          <w:rFonts w:cs="Arial"/>
        </w:rPr>
        <w:t xml:space="preserve"> </w:t>
      </w:r>
      <w:r w:rsidRPr="00B93A54">
        <w:rPr>
          <w:rFonts w:cs="Arial"/>
          <w:lang w:val="it-CH"/>
        </w:rPr>
        <w:t>Legge sul Gran Consiglio e sui rapporti con il Consiglio di Stato del 24 febbraio 2015; RL 171.100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1" w15:restartNumberingAfterBreak="0">
    <w:nsid w:val="09AE1C32"/>
    <w:multiLevelType w:val="hybridMultilevel"/>
    <w:tmpl w:val="9CACE316"/>
    <w:lvl w:ilvl="0" w:tplc="DA2AF67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D016D1"/>
    <w:multiLevelType w:val="hybridMultilevel"/>
    <w:tmpl w:val="25E2D408"/>
    <w:lvl w:ilvl="0" w:tplc="F6E69CCA">
      <w:numFmt w:val="bullet"/>
      <w:lvlText w:val="-"/>
      <w:lvlJc w:val="left"/>
      <w:pPr>
        <w:ind w:left="720" w:hanging="360"/>
      </w:pPr>
      <w:rPr>
        <w:rFonts w:ascii="Arial" w:eastAsia="Times New Roman" w:hAnsi="Arial"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07688"/>
    <w:multiLevelType w:val="hybridMultilevel"/>
    <w:tmpl w:val="292CDB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15:restartNumberingAfterBreak="0">
    <w:nsid w:val="26640A4E"/>
    <w:multiLevelType w:val="hybridMultilevel"/>
    <w:tmpl w:val="E150358E"/>
    <w:lvl w:ilvl="0" w:tplc="B1BAA5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EE0595"/>
    <w:multiLevelType w:val="hybridMultilevel"/>
    <w:tmpl w:val="855A5652"/>
    <w:lvl w:ilvl="0" w:tplc="B5946FCC">
      <w:start w:val="1"/>
      <w:numFmt w:val="decimal"/>
      <w:lvlText w:val="%1."/>
      <w:lvlJc w:val="left"/>
      <w:pPr>
        <w:ind w:left="795" w:hanging="435"/>
      </w:pPr>
      <w:rPr>
        <w:rFonts w:hint="default"/>
      </w:rPr>
    </w:lvl>
    <w:lvl w:ilvl="1" w:tplc="08100019">
      <w:start w:val="1"/>
      <w:numFmt w:val="lowerLetter"/>
      <w:lvlText w:val="%2."/>
      <w:lvlJc w:val="left"/>
      <w:pPr>
        <w:ind w:left="1440" w:hanging="360"/>
      </w:pPr>
    </w:lvl>
    <w:lvl w:ilvl="2" w:tplc="F6E69CCA">
      <w:numFmt w:val="bullet"/>
      <w:lvlText w:val="-"/>
      <w:lvlJc w:val="left"/>
      <w:pPr>
        <w:ind w:left="2340" w:hanging="360"/>
      </w:pPr>
      <w:rPr>
        <w:rFonts w:ascii="Arial" w:eastAsia="Times New Roman" w:hAnsi="Arial" w:cs="Times New Roman"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3E33917"/>
    <w:multiLevelType w:val="multilevel"/>
    <w:tmpl w:val="D4DCAB2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4" w15:restartNumberingAfterBreak="0">
    <w:nsid w:val="3C9F63FF"/>
    <w:multiLevelType w:val="multilevel"/>
    <w:tmpl w:val="12E2DA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8"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0" w15:restartNumberingAfterBreak="0">
    <w:nsid w:val="6DE67108"/>
    <w:multiLevelType w:val="hybridMultilevel"/>
    <w:tmpl w:val="0DD4030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71895A90"/>
    <w:multiLevelType w:val="hybridMultilevel"/>
    <w:tmpl w:val="FBC089F2"/>
    <w:lvl w:ilvl="0" w:tplc="F6E69CCA">
      <w:numFmt w:val="bullet"/>
      <w:lvlText w:val="-"/>
      <w:lvlJc w:val="left"/>
      <w:pPr>
        <w:ind w:left="789" w:hanging="360"/>
      </w:pPr>
      <w:rPr>
        <w:rFonts w:ascii="Arial" w:eastAsia="Times New Roman" w:hAnsi="Arial" w:cs="Times New Roman" w:hint="default"/>
      </w:rPr>
    </w:lvl>
    <w:lvl w:ilvl="1" w:tplc="08100003" w:tentative="1">
      <w:start w:val="1"/>
      <w:numFmt w:val="bullet"/>
      <w:lvlText w:val="o"/>
      <w:lvlJc w:val="left"/>
      <w:pPr>
        <w:ind w:left="1509" w:hanging="360"/>
      </w:pPr>
      <w:rPr>
        <w:rFonts w:ascii="Courier New" w:hAnsi="Courier New" w:cs="Courier New" w:hint="default"/>
      </w:rPr>
    </w:lvl>
    <w:lvl w:ilvl="2" w:tplc="08100005" w:tentative="1">
      <w:start w:val="1"/>
      <w:numFmt w:val="bullet"/>
      <w:lvlText w:val=""/>
      <w:lvlJc w:val="left"/>
      <w:pPr>
        <w:ind w:left="2229" w:hanging="360"/>
      </w:pPr>
      <w:rPr>
        <w:rFonts w:ascii="Wingdings" w:hAnsi="Wingdings" w:hint="default"/>
      </w:rPr>
    </w:lvl>
    <w:lvl w:ilvl="3" w:tplc="08100001" w:tentative="1">
      <w:start w:val="1"/>
      <w:numFmt w:val="bullet"/>
      <w:lvlText w:val=""/>
      <w:lvlJc w:val="left"/>
      <w:pPr>
        <w:ind w:left="2949" w:hanging="360"/>
      </w:pPr>
      <w:rPr>
        <w:rFonts w:ascii="Symbol" w:hAnsi="Symbol" w:hint="default"/>
      </w:rPr>
    </w:lvl>
    <w:lvl w:ilvl="4" w:tplc="08100003" w:tentative="1">
      <w:start w:val="1"/>
      <w:numFmt w:val="bullet"/>
      <w:lvlText w:val="o"/>
      <w:lvlJc w:val="left"/>
      <w:pPr>
        <w:ind w:left="3669" w:hanging="360"/>
      </w:pPr>
      <w:rPr>
        <w:rFonts w:ascii="Courier New" w:hAnsi="Courier New" w:cs="Courier New" w:hint="default"/>
      </w:rPr>
    </w:lvl>
    <w:lvl w:ilvl="5" w:tplc="08100005" w:tentative="1">
      <w:start w:val="1"/>
      <w:numFmt w:val="bullet"/>
      <w:lvlText w:val=""/>
      <w:lvlJc w:val="left"/>
      <w:pPr>
        <w:ind w:left="4389" w:hanging="360"/>
      </w:pPr>
      <w:rPr>
        <w:rFonts w:ascii="Wingdings" w:hAnsi="Wingdings" w:hint="default"/>
      </w:rPr>
    </w:lvl>
    <w:lvl w:ilvl="6" w:tplc="08100001" w:tentative="1">
      <w:start w:val="1"/>
      <w:numFmt w:val="bullet"/>
      <w:lvlText w:val=""/>
      <w:lvlJc w:val="left"/>
      <w:pPr>
        <w:ind w:left="5109" w:hanging="360"/>
      </w:pPr>
      <w:rPr>
        <w:rFonts w:ascii="Symbol" w:hAnsi="Symbol" w:hint="default"/>
      </w:rPr>
    </w:lvl>
    <w:lvl w:ilvl="7" w:tplc="08100003" w:tentative="1">
      <w:start w:val="1"/>
      <w:numFmt w:val="bullet"/>
      <w:lvlText w:val="o"/>
      <w:lvlJc w:val="left"/>
      <w:pPr>
        <w:ind w:left="5829" w:hanging="360"/>
      </w:pPr>
      <w:rPr>
        <w:rFonts w:ascii="Courier New" w:hAnsi="Courier New" w:cs="Courier New" w:hint="default"/>
      </w:rPr>
    </w:lvl>
    <w:lvl w:ilvl="8" w:tplc="08100005" w:tentative="1">
      <w:start w:val="1"/>
      <w:numFmt w:val="bullet"/>
      <w:lvlText w:val=""/>
      <w:lvlJc w:val="left"/>
      <w:pPr>
        <w:ind w:left="6549" w:hanging="360"/>
      </w:pPr>
      <w:rPr>
        <w:rFonts w:ascii="Wingdings" w:hAnsi="Wingdings" w:hint="default"/>
      </w:rPr>
    </w:lvl>
  </w:abstractNum>
  <w:abstractNum w:abstractNumId="23"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0"/>
  </w:num>
  <w:num w:numId="6">
    <w:abstractNumId w:val="4"/>
  </w:num>
  <w:num w:numId="7">
    <w:abstractNumId w:val="18"/>
  </w:num>
  <w:num w:numId="8">
    <w:abstractNumId w:val="23"/>
  </w:num>
  <w:num w:numId="9">
    <w:abstractNumId w:val="17"/>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1"/>
  </w:num>
  <w:num w:numId="13">
    <w:abstractNumId w:val="13"/>
  </w:num>
  <w:num w:numId="14">
    <w:abstractNumId w:val="7"/>
  </w:num>
  <w:num w:numId="15">
    <w:abstractNumId w:val="25"/>
  </w:num>
  <w:num w:numId="16">
    <w:abstractNumId w:val="19"/>
  </w:num>
  <w:num w:numId="17">
    <w:abstractNumId w:val="3"/>
  </w:num>
  <w:num w:numId="18">
    <w:abstractNumId w:val="0"/>
  </w:num>
  <w:num w:numId="19">
    <w:abstractNumId w:val="1"/>
  </w:num>
  <w:num w:numId="20">
    <w:abstractNumId w:val="8"/>
  </w:num>
  <w:num w:numId="21">
    <w:abstractNumId w:val="6"/>
  </w:num>
  <w:num w:numId="22">
    <w:abstractNumId w:val="20"/>
  </w:num>
  <w:num w:numId="23">
    <w:abstractNumId w:val="9"/>
  </w:num>
  <w:num w:numId="24">
    <w:abstractNumId w:val="2"/>
  </w:num>
  <w:num w:numId="25">
    <w:abstractNumId w:val="22"/>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1713E"/>
    <w:rsid w:val="00035BD2"/>
    <w:rsid w:val="00043CF8"/>
    <w:rsid w:val="00056425"/>
    <w:rsid w:val="0009445D"/>
    <w:rsid w:val="000A2454"/>
    <w:rsid w:val="000A2D70"/>
    <w:rsid w:val="000D0633"/>
    <w:rsid w:val="000D377A"/>
    <w:rsid w:val="000D6EDD"/>
    <w:rsid w:val="000F592D"/>
    <w:rsid w:val="00107C86"/>
    <w:rsid w:val="00137EDD"/>
    <w:rsid w:val="0017133E"/>
    <w:rsid w:val="00180F3B"/>
    <w:rsid w:val="00214D08"/>
    <w:rsid w:val="00264AA9"/>
    <w:rsid w:val="00296F84"/>
    <w:rsid w:val="002A1D30"/>
    <w:rsid w:val="002B3873"/>
    <w:rsid w:val="002B698B"/>
    <w:rsid w:val="002C0D3F"/>
    <w:rsid w:val="002F3E1F"/>
    <w:rsid w:val="002F4A1C"/>
    <w:rsid w:val="00324C50"/>
    <w:rsid w:val="0032692E"/>
    <w:rsid w:val="003362B4"/>
    <w:rsid w:val="00341CED"/>
    <w:rsid w:val="003453D1"/>
    <w:rsid w:val="00372E7F"/>
    <w:rsid w:val="00381A93"/>
    <w:rsid w:val="0039601B"/>
    <w:rsid w:val="003979A4"/>
    <w:rsid w:val="003C16EA"/>
    <w:rsid w:val="003D50F6"/>
    <w:rsid w:val="00435BA3"/>
    <w:rsid w:val="00452A7E"/>
    <w:rsid w:val="00483B1C"/>
    <w:rsid w:val="00493E71"/>
    <w:rsid w:val="004948C5"/>
    <w:rsid w:val="004B6B6F"/>
    <w:rsid w:val="004E56F7"/>
    <w:rsid w:val="00504E17"/>
    <w:rsid w:val="00522EC0"/>
    <w:rsid w:val="00531F42"/>
    <w:rsid w:val="0053660F"/>
    <w:rsid w:val="0059602E"/>
    <w:rsid w:val="005B03BF"/>
    <w:rsid w:val="005E338D"/>
    <w:rsid w:val="00622B0B"/>
    <w:rsid w:val="006470C0"/>
    <w:rsid w:val="006E1E7D"/>
    <w:rsid w:val="007312C9"/>
    <w:rsid w:val="0073572C"/>
    <w:rsid w:val="00747C39"/>
    <w:rsid w:val="007A28FC"/>
    <w:rsid w:val="008041F7"/>
    <w:rsid w:val="0082115E"/>
    <w:rsid w:val="008B2EE9"/>
    <w:rsid w:val="00914556"/>
    <w:rsid w:val="00942AAE"/>
    <w:rsid w:val="009832AD"/>
    <w:rsid w:val="00983B5B"/>
    <w:rsid w:val="00995265"/>
    <w:rsid w:val="009A6197"/>
    <w:rsid w:val="009B297E"/>
    <w:rsid w:val="009B4B90"/>
    <w:rsid w:val="009B655A"/>
    <w:rsid w:val="00A05B99"/>
    <w:rsid w:val="00A133CF"/>
    <w:rsid w:val="00A4247B"/>
    <w:rsid w:val="00A45778"/>
    <w:rsid w:val="00A8611B"/>
    <w:rsid w:val="00A9424E"/>
    <w:rsid w:val="00AA68D5"/>
    <w:rsid w:val="00AB0C19"/>
    <w:rsid w:val="00AB1B96"/>
    <w:rsid w:val="00AE6F3D"/>
    <w:rsid w:val="00AF5992"/>
    <w:rsid w:val="00B01474"/>
    <w:rsid w:val="00B364FB"/>
    <w:rsid w:val="00B378FB"/>
    <w:rsid w:val="00B50835"/>
    <w:rsid w:val="00B56C78"/>
    <w:rsid w:val="00B93BA2"/>
    <w:rsid w:val="00B94646"/>
    <w:rsid w:val="00BF3FC3"/>
    <w:rsid w:val="00C84019"/>
    <w:rsid w:val="00C872EA"/>
    <w:rsid w:val="00C92A1A"/>
    <w:rsid w:val="00C946E4"/>
    <w:rsid w:val="00CA01F5"/>
    <w:rsid w:val="00CE008E"/>
    <w:rsid w:val="00D06436"/>
    <w:rsid w:val="00D35E8D"/>
    <w:rsid w:val="00D4363F"/>
    <w:rsid w:val="00D54A9E"/>
    <w:rsid w:val="00D63BF2"/>
    <w:rsid w:val="00D76075"/>
    <w:rsid w:val="00D9765E"/>
    <w:rsid w:val="00DA0708"/>
    <w:rsid w:val="00DF434B"/>
    <w:rsid w:val="00E1178B"/>
    <w:rsid w:val="00E15EE0"/>
    <w:rsid w:val="00E2192F"/>
    <w:rsid w:val="00E762E7"/>
    <w:rsid w:val="00EA22D9"/>
    <w:rsid w:val="00EA601A"/>
    <w:rsid w:val="00EA73B9"/>
    <w:rsid w:val="00EB0218"/>
    <w:rsid w:val="00F042BE"/>
    <w:rsid w:val="00F14DA7"/>
    <w:rsid w:val="00F22EEA"/>
    <w:rsid w:val="00F8277A"/>
    <w:rsid w:val="00FA0C71"/>
    <w:rsid w:val="00FA59E4"/>
    <w:rsid w:val="00FC0218"/>
    <w:rsid w:val="00FD1B18"/>
    <w:rsid w:val="00FD5A47"/>
    <w:rsid w:val="00FF2D3A"/>
    <w:rsid w:val="00FF32DE"/>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240E-CE9E-584A-9D4D-F8C0C9A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79A4"/>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979A4"/>
    <w:pPr>
      <w:tabs>
        <w:tab w:val="center" w:pos="4819"/>
        <w:tab w:val="right" w:pos="9638"/>
      </w:tabs>
    </w:pPr>
  </w:style>
  <w:style w:type="paragraph" w:styleId="Pidipagina">
    <w:name w:val="footer"/>
    <w:basedOn w:val="Normale"/>
    <w:link w:val="PidipaginaCarattere"/>
    <w:rsid w:val="003979A4"/>
    <w:pPr>
      <w:tabs>
        <w:tab w:val="center" w:pos="4819"/>
        <w:tab w:val="right" w:pos="9638"/>
      </w:tabs>
    </w:pPr>
  </w:style>
  <w:style w:type="character" w:styleId="Numeropagina">
    <w:name w:val="page number"/>
    <w:basedOn w:val="Carpredefinitoparagrafo"/>
    <w:rsid w:val="003979A4"/>
  </w:style>
  <w:style w:type="paragraph" w:styleId="Corpotesto">
    <w:name w:val="Body Text"/>
    <w:basedOn w:val="Normale"/>
    <w:link w:val="CorpotestoCarattere"/>
    <w:rsid w:val="003979A4"/>
    <w:pPr>
      <w:tabs>
        <w:tab w:val="left" w:pos="284"/>
        <w:tab w:val="left" w:pos="426"/>
        <w:tab w:val="left" w:pos="4962"/>
      </w:tabs>
    </w:pPr>
  </w:style>
  <w:style w:type="paragraph" w:styleId="Corpodeltesto2">
    <w:name w:val="Body Text 2"/>
    <w:basedOn w:val="Normale"/>
    <w:link w:val="Corpodeltesto2Carattere"/>
    <w:rsid w:val="003979A4"/>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01474"/>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01474"/>
    <w:rPr>
      <w:rFonts w:ascii="Arial" w:hAnsi="Arial"/>
      <w:lang w:val="it-IT" w:eastAsia="it-IT"/>
    </w:rPr>
  </w:style>
  <w:style w:type="character" w:styleId="Rimandonotaapidipagina">
    <w:name w:val="footnote reference"/>
    <w:aliases w:val="Footnote symbol"/>
    <w:uiPriority w:val="99"/>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1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ch/casidirig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085B-72DE-403B-AA82-796E1210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2601</Words>
  <Characters>14828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2021-04-21T06:33:00Z</cp:lastPrinted>
  <dcterms:created xsi:type="dcterms:W3CDTF">2021-04-21T07:45:00Z</dcterms:created>
  <dcterms:modified xsi:type="dcterms:W3CDTF">2021-04-21T07:45:00Z</dcterms:modified>
</cp:coreProperties>
</file>