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CA" w:rsidRPr="007233CA" w:rsidRDefault="007233CA" w:rsidP="007233CA">
      <w:pPr>
        <w:spacing w:after="12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b/>
          <w:sz w:val="23"/>
          <w:szCs w:val="23"/>
          <w:lang w:val="it-IT"/>
        </w:rPr>
        <w:t>MOZIONE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IT"/>
        </w:rPr>
      </w:pPr>
      <w:r w:rsidRPr="007233CA">
        <w:rPr>
          <w:rFonts w:ascii="Arial" w:hAnsi="Arial" w:cs="Arial"/>
          <w:b/>
          <w:sz w:val="23"/>
          <w:szCs w:val="23"/>
          <w:u w:val="single"/>
          <w:lang w:val="it-IT"/>
        </w:rPr>
        <w:t xml:space="preserve">Avvocati e notai: evitare i conflitti di interesse nelle Commissioni di disciplina 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>del 22 gennaio 2018</w:t>
      </w:r>
      <w:bookmarkStart w:id="0" w:name="_GoBack"/>
      <w:bookmarkEnd w:id="0"/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12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>La presente mozione propone le seguenti modifiche della Legge sull'avvocatura (</w:t>
      </w:r>
      <w:proofErr w:type="spellStart"/>
      <w:r w:rsidRPr="007233CA">
        <w:rPr>
          <w:rFonts w:ascii="Arial" w:hAnsi="Arial" w:cs="Arial"/>
          <w:sz w:val="23"/>
          <w:szCs w:val="23"/>
          <w:lang w:val="it-IT"/>
        </w:rPr>
        <w:t>LAvv</w:t>
      </w:r>
      <w:proofErr w:type="spellEnd"/>
      <w:r w:rsidRPr="007233CA">
        <w:rPr>
          <w:rFonts w:ascii="Arial" w:hAnsi="Arial" w:cs="Arial"/>
          <w:sz w:val="23"/>
          <w:szCs w:val="23"/>
          <w:lang w:val="it-IT"/>
        </w:rPr>
        <w:t xml:space="preserve">) del </w:t>
      </w:r>
      <w:r w:rsidRPr="007233CA">
        <w:rPr>
          <w:rFonts w:ascii="Arial" w:hAnsi="Arial" w:cs="Arial"/>
          <w:sz w:val="23"/>
          <w:szCs w:val="23"/>
          <w:lang w:val="it-IT"/>
        </w:rPr>
        <w:br/>
        <w:t>13 febbraio 2012 e della Legge sul notariato del 26 novembre 2013:</w:t>
      </w:r>
    </w:p>
    <w:p w:rsidR="007233CA" w:rsidRPr="007233CA" w:rsidRDefault="007233CA" w:rsidP="00723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3"/>
          <w:szCs w:val="23"/>
          <w:lang w:val="it-IT" w:eastAsia="it-CH"/>
        </w:rPr>
      </w:pPr>
      <w:r w:rsidRPr="007233CA">
        <w:rPr>
          <w:rFonts w:ascii="Arial" w:eastAsia="Times New Roman" w:hAnsi="Arial" w:cs="Arial"/>
          <w:sz w:val="23"/>
          <w:szCs w:val="23"/>
          <w:lang w:val="it-IT" w:eastAsia="it-CH"/>
        </w:rPr>
        <w:t>I membri della Commissione di disciplina [degli avvocati] e della Commissione di disciplina notarile sono nominati da un'autorità cantonale vera e propria (Consiglio di Stato, Tribunale di appello);</w:t>
      </w:r>
    </w:p>
    <w:p w:rsidR="007233CA" w:rsidRPr="007233CA" w:rsidRDefault="007233CA" w:rsidP="00723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color w:val="000000"/>
          <w:sz w:val="23"/>
          <w:szCs w:val="23"/>
          <w:lang w:val="it-IT" w:eastAsia="it-CH"/>
        </w:rPr>
      </w:pPr>
      <w:r w:rsidRPr="007233CA">
        <w:rPr>
          <w:rFonts w:ascii="Arial" w:eastAsia="Times New Roman" w:hAnsi="Arial" w:cs="Arial"/>
          <w:sz w:val="23"/>
          <w:szCs w:val="23"/>
          <w:lang w:val="it-IT" w:eastAsia="it-CH"/>
        </w:rPr>
        <w:t>La maggioranza dei membri, nonché dei supplenti, di ognuna di queste commissioni è composta da magistrati che non sono iscritti nel registro degli avvocati, rispettivamente nel registro dei notai;</w:t>
      </w:r>
    </w:p>
    <w:p w:rsidR="007233CA" w:rsidRPr="007233CA" w:rsidRDefault="007233CA" w:rsidP="00723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3"/>
          <w:szCs w:val="23"/>
          <w:lang w:val="it-IT" w:eastAsia="it-CH"/>
        </w:rPr>
      </w:pPr>
      <w:r w:rsidRPr="007233CA">
        <w:rPr>
          <w:rFonts w:ascii="Arial" w:eastAsia="Times New Roman" w:hAnsi="Arial" w:cs="Arial"/>
          <w:sz w:val="23"/>
          <w:szCs w:val="23"/>
          <w:lang w:val="it-IT" w:eastAsia="it-CH"/>
        </w:rPr>
        <w:t xml:space="preserve">Per quanto riguarda la ricusa, nella </w:t>
      </w:r>
      <w:proofErr w:type="spellStart"/>
      <w:r w:rsidRPr="007233CA">
        <w:rPr>
          <w:rFonts w:ascii="Arial" w:eastAsia="Times New Roman" w:hAnsi="Arial" w:cs="Arial"/>
          <w:sz w:val="23"/>
          <w:szCs w:val="23"/>
          <w:lang w:val="it-IT" w:eastAsia="it-CH"/>
        </w:rPr>
        <w:t>LAvv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 w:eastAsia="it-CH"/>
        </w:rPr>
        <w:t xml:space="preserve"> si rinvia alle disposizioni del Codice di procedura civile (analogamente all'art. 19 cpv. 3 della Legge sul notariato).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IT"/>
        </w:rPr>
      </w:pPr>
      <w:r w:rsidRPr="007233CA">
        <w:rPr>
          <w:rFonts w:ascii="Arial" w:hAnsi="Arial" w:cs="Arial"/>
          <w:b/>
          <w:sz w:val="23"/>
          <w:szCs w:val="23"/>
          <w:lang w:val="it-IT"/>
        </w:rPr>
        <w:t>Motivazione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120" w:line="240" w:lineRule="auto"/>
        <w:jc w:val="both"/>
        <w:rPr>
          <w:rFonts w:ascii="Arial" w:hAnsi="Arial" w:cs="Arial"/>
          <w:sz w:val="23"/>
          <w:szCs w:val="23"/>
          <w:u w:val="single"/>
          <w:lang w:val="it-IT"/>
        </w:rPr>
      </w:pPr>
      <w:r w:rsidRPr="007233CA">
        <w:rPr>
          <w:rFonts w:ascii="Arial" w:hAnsi="Arial" w:cs="Arial"/>
          <w:sz w:val="23"/>
          <w:szCs w:val="23"/>
          <w:u w:val="single"/>
          <w:lang w:val="it-IT"/>
        </w:rPr>
        <w:t>A. Avvocati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>L'art. 14 della Legge federale sulla libera circolazione degli avvocati (LLCA) sancisce che «</w:t>
      </w:r>
      <w:r w:rsidRPr="007233CA">
        <w:rPr>
          <w:rFonts w:ascii="Arial" w:eastAsia="Times New Roman" w:hAnsi="Arial" w:cs="Arial"/>
          <w:i/>
          <w:sz w:val="23"/>
          <w:szCs w:val="23"/>
          <w:lang w:val="it-IT"/>
        </w:rPr>
        <w:t>ogni Cantone designa un'autorità incaricata della sorveglianza degli avvocati che esercitano la rappresentanza in giudizio nel suo territorio</w:t>
      </w:r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». Quindi, la designazione spetta al </w:t>
      </w:r>
      <w:r w:rsidRPr="007233CA">
        <w:rPr>
          <w:rFonts w:ascii="Arial" w:eastAsia="Times New Roman" w:hAnsi="Arial" w:cs="Arial"/>
          <w:sz w:val="23"/>
          <w:szCs w:val="23"/>
          <w:u w:val="single"/>
          <w:lang w:val="it-IT"/>
        </w:rPr>
        <w:t>Cantone</w:t>
      </w:r>
      <w:r w:rsidRPr="007233CA">
        <w:rPr>
          <w:rFonts w:ascii="Arial" w:eastAsia="Times New Roman" w:hAnsi="Arial" w:cs="Arial"/>
          <w:sz w:val="23"/>
          <w:szCs w:val="23"/>
          <w:lang w:val="it-IT"/>
        </w:rPr>
        <w:t>.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>Nel Canton Ticino è la Commissione di disciplina «</w:t>
      </w:r>
      <w:r w:rsidRPr="007233CA">
        <w:rPr>
          <w:rFonts w:ascii="Arial" w:hAnsi="Arial" w:cs="Arial"/>
          <w:i/>
          <w:sz w:val="23"/>
          <w:szCs w:val="23"/>
          <w:lang w:val="it-IT"/>
        </w:rPr>
        <w:t>l'autorità cantonale di sorveglianza</w:t>
      </w:r>
      <w:r w:rsidRPr="007233CA">
        <w:rPr>
          <w:rFonts w:ascii="Arial" w:hAnsi="Arial" w:cs="Arial"/>
          <w:sz w:val="23"/>
          <w:szCs w:val="23"/>
          <w:lang w:val="it-IT"/>
        </w:rPr>
        <w:t xml:space="preserve">» (art. 7 cpv. 1 </w:t>
      </w:r>
      <w:proofErr w:type="spellStart"/>
      <w:r w:rsidRPr="007233CA">
        <w:rPr>
          <w:rFonts w:ascii="Arial" w:hAnsi="Arial" w:cs="Arial"/>
          <w:sz w:val="23"/>
          <w:szCs w:val="23"/>
          <w:lang w:val="it-IT"/>
        </w:rPr>
        <w:t>LAvv</w:t>
      </w:r>
      <w:proofErr w:type="spellEnd"/>
      <w:r w:rsidRPr="007233CA">
        <w:rPr>
          <w:rFonts w:ascii="Arial" w:hAnsi="Arial" w:cs="Arial"/>
          <w:sz w:val="23"/>
          <w:szCs w:val="23"/>
          <w:lang w:val="it-IT"/>
        </w:rPr>
        <w:t>) ai sensi dell'art. 14 LLCA. Essa si compone di tre membri e tre supplenti, che sono designati dalla Commissione per l'avvocatura, per un periodo di due anni «</w:t>
      </w:r>
      <w:r w:rsidRPr="007233CA">
        <w:rPr>
          <w:rFonts w:ascii="Arial" w:hAnsi="Arial" w:cs="Arial"/>
          <w:i/>
          <w:sz w:val="23"/>
          <w:szCs w:val="23"/>
          <w:lang w:val="it-IT"/>
        </w:rPr>
        <w:t>tra gli avvocati iscritti nel registro</w:t>
      </w:r>
      <w:r w:rsidRPr="007233CA">
        <w:rPr>
          <w:rFonts w:ascii="Arial" w:hAnsi="Arial" w:cs="Arial"/>
          <w:sz w:val="23"/>
          <w:szCs w:val="23"/>
          <w:lang w:val="it-IT"/>
        </w:rPr>
        <w:t xml:space="preserve">» (art. 7 cpv. 3 </w:t>
      </w:r>
      <w:proofErr w:type="spellStart"/>
      <w:r w:rsidRPr="007233CA">
        <w:rPr>
          <w:rFonts w:ascii="Arial" w:hAnsi="Arial" w:cs="Arial"/>
          <w:sz w:val="23"/>
          <w:szCs w:val="23"/>
          <w:lang w:val="it-IT"/>
        </w:rPr>
        <w:t>LAvv</w:t>
      </w:r>
      <w:proofErr w:type="spellEnd"/>
      <w:r w:rsidRPr="007233CA">
        <w:rPr>
          <w:rFonts w:ascii="Arial" w:hAnsi="Arial" w:cs="Arial"/>
          <w:sz w:val="23"/>
          <w:szCs w:val="23"/>
          <w:lang w:val="it-IT"/>
        </w:rPr>
        <w:t xml:space="preserve">). 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 xml:space="preserve">La Commissione per l'avvocatura, invece, è nominata dal Tribunale di appello (art. 4 cpv. 1 </w:t>
      </w:r>
      <w:proofErr w:type="spellStart"/>
      <w:r w:rsidRPr="007233CA">
        <w:rPr>
          <w:rFonts w:ascii="Arial" w:hAnsi="Arial" w:cs="Arial"/>
          <w:sz w:val="23"/>
          <w:szCs w:val="23"/>
          <w:lang w:val="it-IT"/>
        </w:rPr>
        <w:t>LAvv</w:t>
      </w:r>
      <w:proofErr w:type="spellEnd"/>
      <w:r w:rsidRPr="007233CA">
        <w:rPr>
          <w:rFonts w:ascii="Arial" w:hAnsi="Arial" w:cs="Arial"/>
          <w:sz w:val="23"/>
          <w:szCs w:val="23"/>
          <w:lang w:val="it-IT"/>
        </w:rPr>
        <w:t xml:space="preserve">) e si compone di tre membri: un giudice del Tribunale di appello, un magistrato o un ex magistrato non iscritto nel registro degli avvocati e un avvocato iscritto nel registro. 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In altre parole, la Commissione di disciplina è un'"autorità cantonale" designata non direttamente dal Cantone (bensì da un'altra commissione nominata dal Tribunale di appello) ed è composta </w:t>
      </w:r>
      <w:r w:rsidRPr="007233CA">
        <w:rPr>
          <w:rFonts w:ascii="Arial" w:eastAsia="Times New Roman" w:hAnsi="Arial" w:cs="Arial"/>
          <w:sz w:val="23"/>
          <w:szCs w:val="23"/>
          <w:u w:val="single"/>
          <w:lang w:val="it-IT"/>
        </w:rPr>
        <w:t>esclusivamente</w:t>
      </w:r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 da avvocati, ossia da persone che non lavorano per il Cantone. Essa «</w:t>
      </w:r>
      <w:r w:rsidRPr="007233CA">
        <w:rPr>
          <w:rFonts w:ascii="Arial" w:eastAsia="Times New Roman" w:hAnsi="Arial" w:cs="Arial"/>
          <w:i/>
          <w:sz w:val="23"/>
          <w:szCs w:val="23"/>
          <w:lang w:val="it-IT"/>
        </w:rPr>
        <w:t>esercita il potere disciplinare sugli avvocati e sui praticanti per tutte le violazioni da essi commesse alla LLCA</w:t>
      </w:r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» (art. 7 cpv. 2 </w:t>
      </w:r>
      <w:proofErr w:type="spellStart"/>
      <w:r w:rsidRPr="007233CA">
        <w:rPr>
          <w:rFonts w:ascii="Arial" w:eastAsia="Times New Roman" w:hAnsi="Arial" w:cs="Arial"/>
          <w:sz w:val="23"/>
          <w:szCs w:val="23"/>
          <w:lang w:val="it-IT"/>
        </w:rPr>
        <w:t>LAvv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; </w:t>
      </w:r>
      <w:proofErr w:type="spellStart"/>
      <w:r w:rsidRPr="007233CA">
        <w:rPr>
          <w:rFonts w:ascii="Arial" w:eastAsia="Times New Roman" w:hAnsi="Arial" w:cs="Arial"/>
          <w:sz w:val="23"/>
          <w:szCs w:val="23"/>
          <w:lang w:val="it-IT"/>
        </w:rPr>
        <w:t>cf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. art. 14 Statuto dell'Ordine degli avvocati). 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  <w:r w:rsidRPr="007233CA">
        <w:rPr>
          <w:rFonts w:ascii="Arial" w:eastAsia="Times New Roman" w:hAnsi="Arial" w:cs="Arial"/>
          <w:sz w:val="23"/>
          <w:szCs w:val="23"/>
          <w:lang w:val="it-IT"/>
        </w:rPr>
        <w:t>I conflitti di interesse sono perciò programmati.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  <w:r w:rsidRPr="007233CA">
        <w:rPr>
          <w:rFonts w:ascii="Arial" w:eastAsia="Times New Roman" w:hAnsi="Arial" w:cs="Arial"/>
          <w:sz w:val="23"/>
          <w:szCs w:val="23"/>
          <w:lang w:val="it-IT"/>
        </w:rPr>
        <w:t>Non a caso, gli altri Cantoni hanno regolato in altri modi la nomina e la composizione dell'autorità di sorveglianza. Nel Canton Neuchâtel, ad esempio, è il Consiglio di Stato che designa la Commissione di sorveglianza (</w:t>
      </w:r>
      <w:proofErr w:type="spellStart"/>
      <w:r w:rsidRPr="007233CA">
        <w:rPr>
          <w:rFonts w:ascii="Arial" w:eastAsia="Times New Roman" w:hAnsi="Arial" w:cs="Arial"/>
          <w:i/>
          <w:sz w:val="23"/>
          <w:szCs w:val="23"/>
          <w:lang w:val="it-IT"/>
        </w:rPr>
        <w:t>Commission</w:t>
      </w:r>
      <w:proofErr w:type="spellEnd"/>
      <w:r w:rsidRPr="007233CA">
        <w:rPr>
          <w:rFonts w:ascii="Arial" w:eastAsia="Times New Roman" w:hAnsi="Arial" w:cs="Arial"/>
          <w:i/>
          <w:sz w:val="23"/>
          <w:szCs w:val="23"/>
          <w:lang w:val="it-IT"/>
        </w:rPr>
        <w:t xml:space="preserve"> de </w:t>
      </w:r>
      <w:proofErr w:type="spellStart"/>
      <w:r w:rsidRPr="007233CA">
        <w:rPr>
          <w:rFonts w:ascii="Arial" w:eastAsia="Times New Roman" w:hAnsi="Arial" w:cs="Arial"/>
          <w:i/>
          <w:sz w:val="23"/>
          <w:szCs w:val="23"/>
          <w:lang w:val="it-IT"/>
        </w:rPr>
        <w:t>surveillance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) degli avvocati. Essa è composta da un magistrato, da un membro dell'Ordine degli avvocati e da un rappresentante dell'Amministrazione cantonale (cfr. </w:t>
      </w:r>
      <w:proofErr w:type="spellStart"/>
      <w:r w:rsidRPr="007233CA">
        <w:rPr>
          <w:rFonts w:ascii="Arial" w:eastAsia="Times New Roman" w:hAnsi="Arial" w:cs="Arial"/>
          <w:sz w:val="23"/>
          <w:szCs w:val="23"/>
          <w:lang w:val="it-IT"/>
        </w:rPr>
        <w:t>Loi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 </w:t>
      </w:r>
      <w:proofErr w:type="spellStart"/>
      <w:r w:rsidRPr="007233CA">
        <w:rPr>
          <w:rFonts w:ascii="Arial" w:eastAsia="Times New Roman" w:hAnsi="Arial" w:cs="Arial"/>
          <w:sz w:val="23"/>
          <w:szCs w:val="23"/>
          <w:lang w:val="it-IT"/>
        </w:rPr>
        <w:t>sur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 la </w:t>
      </w:r>
      <w:proofErr w:type="spellStart"/>
      <w:r w:rsidRPr="007233CA">
        <w:rPr>
          <w:rFonts w:ascii="Arial" w:eastAsia="Times New Roman" w:hAnsi="Arial" w:cs="Arial"/>
          <w:sz w:val="23"/>
          <w:szCs w:val="23"/>
          <w:lang w:val="it-IT"/>
        </w:rPr>
        <w:t>profession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 d'</w:t>
      </w:r>
      <w:proofErr w:type="spellStart"/>
      <w:r w:rsidRPr="007233CA">
        <w:rPr>
          <w:rFonts w:ascii="Arial" w:eastAsia="Times New Roman" w:hAnsi="Arial" w:cs="Arial"/>
          <w:sz w:val="23"/>
          <w:szCs w:val="23"/>
          <w:lang w:val="it-IT"/>
        </w:rPr>
        <w:t>avocat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 et d'avocate, art. 6).</w:t>
      </w:r>
      <w:r w:rsidRPr="007233CA">
        <w:rPr>
          <w:rFonts w:ascii="Arial" w:eastAsia="Times New Roman" w:hAnsi="Arial" w:cs="Arial"/>
          <w:sz w:val="23"/>
          <w:szCs w:val="23"/>
          <w:vertAlign w:val="superscript"/>
          <w:lang w:val="it-IT"/>
        </w:rPr>
        <w:footnoteReference w:id="1"/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  <w:r w:rsidRPr="007233CA">
        <w:rPr>
          <w:rFonts w:ascii="Arial" w:eastAsia="Times New Roman" w:hAnsi="Arial" w:cs="Arial"/>
          <w:sz w:val="23"/>
          <w:szCs w:val="23"/>
          <w:lang w:val="it-IT"/>
        </w:rPr>
        <w:lastRenderedPageBreak/>
        <w:t>Si constata quindi che a Neuchâtel la Commissione di sorveglianza (a) è nominata da una vera e propria autorità cantonale dove (b) gli avvocati sono in minoranza. Questo, ovviamente, è un modo per evitare i potenziali conflitti di interesse.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  <w:r w:rsidRPr="007233CA">
        <w:rPr>
          <w:rFonts w:ascii="Arial" w:eastAsia="Times New Roman" w:hAnsi="Arial" w:cs="Arial"/>
          <w:sz w:val="23"/>
          <w:szCs w:val="23"/>
          <w:lang w:val="it-IT"/>
        </w:rPr>
        <w:t>Sono immaginabili, possibili e auspicabili anche altre regole specifiche volte ad evitare i conflitti di interesse. Nel Canton Ginevra, ad esempio, sono chiariti nel modo seguente i motivi di ricusa dei membri della rispettiva Commissione di disciplina degli avvocati.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fr-CH"/>
        </w:rPr>
      </w:pPr>
      <w:r w:rsidRPr="007233CA">
        <w:rPr>
          <w:rFonts w:ascii="Arial" w:eastAsia="Times New Roman" w:hAnsi="Arial" w:cs="Arial"/>
          <w:sz w:val="23"/>
          <w:szCs w:val="23"/>
          <w:lang w:val="fr-CH"/>
        </w:rPr>
        <w:t>«</w:t>
      </w:r>
      <w:r w:rsidRPr="007233CA">
        <w:rPr>
          <w:rFonts w:ascii="Arial" w:eastAsia="Times New Roman" w:hAnsi="Arial" w:cs="Arial"/>
          <w:i/>
          <w:sz w:val="23"/>
          <w:szCs w:val="23"/>
          <w:lang w:val="fr-CH"/>
        </w:rPr>
        <w:t>Si un membre du Conseil ou de la commission de discipline est récusé pour des motifs personnels, ou s'il est lui-même cité devant le Conseil, il ne prend part ni à la délibération au vote. Si le Conseil l'estime nécessaire, notamment pour atteindre le quorum prévu aux articles 24 et 42 B al. 5, il peut désigner un ancien membre du Conseil pour remplacer le membre récusé</w:t>
      </w:r>
      <w:r w:rsidRPr="007233CA">
        <w:rPr>
          <w:rFonts w:ascii="Arial" w:eastAsia="Times New Roman" w:hAnsi="Arial" w:cs="Arial"/>
          <w:sz w:val="23"/>
          <w:szCs w:val="23"/>
          <w:lang w:val="fr-CH"/>
        </w:rPr>
        <w:t>» (Statuts de l'ordre des avocats de Genève, art. 41</w:t>
      </w:r>
      <w:r w:rsidRPr="007233CA">
        <w:rPr>
          <w:rFonts w:ascii="Arial" w:eastAsia="Times New Roman" w:hAnsi="Arial" w:cs="Arial"/>
          <w:sz w:val="23"/>
          <w:szCs w:val="23"/>
          <w:vertAlign w:val="superscript"/>
          <w:lang w:val="it-IT"/>
        </w:rPr>
        <w:footnoteReference w:id="2"/>
      </w:r>
      <w:r w:rsidRPr="007233CA">
        <w:rPr>
          <w:rFonts w:ascii="Arial" w:eastAsia="Times New Roman" w:hAnsi="Arial" w:cs="Arial"/>
          <w:sz w:val="23"/>
          <w:szCs w:val="23"/>
          <w:lang w:val="fr-CH"/>
        </w:rPr>
        <w:t>).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fr-CH"/>
        </w:rPr>
      </w:pPr>
    </w:p>
    <w:p w:rsidR="007233CA" w:rsidRPr="007233CA" w:rsidRDefault="007233CA" w:rsidP="007233CA">
      <w:pPr>
        <w:spacing w:after="12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Una disposizione analoga è del tutto assente nella </w:t>
      </w:r>
      <w:proofErr w:type="spellStart"/>
      <w:r w:rsidRPr="007233CA">
        <w:rPr>
          <w:rFonts w:ascii="Arial" w:eastAsia="Times New Roman" w:hAnsi="Arial" w:cs="Arial"/>
          <w:sz w:val="23"/>
          <w:szCs w:val="23"/>
          <w:lang w:val="it-IT"/>
        </w:rPr>
        <w:t>LAvv</w:t>
      </w:r>
      <w:proofErr w:type="spellEnd"/>
      <w:r w:rsidRPr="007233CA">
        <w:rPr>
          <w:rFonts w:ascii="Arial" w:eastAsia="Times New Roman" w:hAnsi="Arial" w:cs="Arial"/>
          <w:sz w:val="23"/>
          <w:szCs w:val="23"/>
          <w:lang w:val="it-IT"/>
        </w:rPr>
        <w:t xml:space="preserve">. È invece presente nella </w:t>
      </w:r>
      <w:r w:rsidRPr="007233CA">
        <w:rPr>
          <w:rFonts w:ascii="Arial" w:hAnsi="Arial" w:cs="Arial"/>
          <w:sz w:val="23"/>
          <w:szCs w:val="23"/>
          <w:lang w:val="it-IT"/>
        </w:rPr>
        <w:t>Legge sul notariato:</w:t>
      </w:r>
    </w:p>
    <w:p w:rsidR="007233CA" w:rsidRPr="007233CA" w:rsidRDefault="007233CA" w:rsidP="0072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7233CA">
        <w:rPr>
          <w:rFonts w:ascii="Arial" w:hAnsi="Arial" w:cs="Arial"/>
          <w:color w:val="000000"/>
          <w:sz w:val="23"/>
          <w:szCs w:val="23"/>
          <w:lang w:val="it-IT"/>
        </w:rPr>
        <w:t>«</w:t>
      </w:r>
      <w:r w:rsidRPr="007233CA">
        <w:rPr>
          <w:rFonts w:ascii="Arial" w:hAnsi="Arial" w:cs="Arial"/>
          <w:i/>
          <w:color w:val="000000"/>
          <w:sz w:val="23"/>
          <w:szCs w:val="23"/>
          <w:lang w:val="it-IT"/>
        </w:rPr>
        <w:t>Per la ricusa valgono per analogia le disposizioni del Codice di procedura civile (CPC); la Commissione di disciplina decide sulla ricusa senza il membro ricusato e completandosi con i supplenti. Se è ricusata l'intera Commissione di disciplina notarile, la Commissione per il notariato ne costituisce una straordinaria, scegliendo tra i notai</w:t>
      </w:r>
      <w:r w:rsidRPr="007233CA">
        <w:rPr>
          <w:rFonts w:ascii="Arial" w:hAnsi="Arial" w:cs="Arial"/>
          <w:color w:val="000000"/>
          <w:sz w:val="23"/>
          <w:szCs w:val="23"/>
          <w:lang w:val="it-IT"/>
        </w:rPr>
        <w:t>»</w:t>
      </w:r>
      <w:r w:rsidRPr="007233CA">
        <w:rPr>
          <w:rFonts w:ascii="Arial" w:hAnsi="Arial" w:cs="Arial"/>
          <w:i/>
          <w:color w:val="000000"/>
          <w:sz w:val="23"/>
          <w:szCs w:val="23"/>
          <w:lang w:val="it-IT"/>
        </w:rPr>
        <w:t xml:space="preserve"> </w:t>
      </w:r>
      <w:r w:rsidRPr="007233CA">
        <w:rPr>
          <w:rFonts w:ascii="Arial" w:hAnsi="Arial" w:cs="Arial"/>
          <w:color w:val="000000"/>
          <w:sz w:val="23"/>
          <w:szCs w:val="23"/>
          <w:lang w:val="it-IT"/>
        </w:rPr>
        <w:t>(art. 19 cpv. 3 Legge sul notariato).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120" w:line="240" w:lineRule="auto"/>
        <w:jc w:val="both"/>
        <w:rPr>
          <w:rFonts w:ascii="Arial" w:hAnsi="Arial" w:cs="Arial"/>
          <w:sz w:val="23"/>
          <w:szCs w:val="23"/>
          <w:u w:val="single"/>
          <w:lang w:val="it-IT"/>
        </w:rPr>
      </w:pPr>
      <w:r w:rsidRPr="007233CA">
        <w:rPr>
          <w:rFonts w:ascii="Arial" w:hAnsi="Arial" w:cs="Arial"/>
          <w:sz w:val="23"/>
          <w:szCs w:val="23"/>
          <w:u w:val="single"/>
          <w:lang w:val="it-IT"/>
        </w:rPr>
        <w:t>B. Notai</w:t>
      </w:r>
    </w:p>
    <w:p w:rsidR="007233CA" w:rsidRPr="007233CA" w:rsidRDefault="007233CA" w:rsidP="007233CA">
      <w:pPr>
        <w:spacing w:after="12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 xml:space="preserve">Se nella Legge sul notariato il tema della ricusa è stato affrontato, la nomina e la composizione della relativa Commissione di disciplina conoscono i medesimi problemi riscontrati nella </w:t>
      </w:r>
      <w:proofErr w:type="spellStart"/>
      <w:r w:rsidRPr="007233CA">
        <w:rPr>
          <w:rFonts w:ascii="Arial" w:hAnsi="Arial" w:cs="Arial"/>
          <w:sz w:val="23"/>
          <w:szCs w:val="23"/>
          <w:lang w:val="it-IT"/>
        </w:rPr>
        <w:t>LAvv</w:t>
      </w:r>
      <w:proofErr w:type="spellEnd"/>
      <w:r w:rsidRPr="007233CA">
        <w:rPr>
          <w:rFonts w:ascii="Arial" w:hAnsi="Arial" w:cs="Arial"/>
          <w:sz w:val="23"/>
          <w:szCs w:val="23"/>
          <w:lang w:val="it-IT"/>
        </w:rPr>
        <w:t>:</w:t>
      </w:r>
    </w:p>
    <w:p w:rsidR="007233CA" w:rsidRPr="007233CA" w:rsidRDefault="007233CA" w:rsidP="007233C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IT" w:eastAsia="it-CH"/>
        </w:rPr>
      </w:pPr>
      <w:r w:rsidRPr="007233CA">
        <w:rPr>
          <w:rFonts w:ascii="Arial" w:hAnsi="Arial" w:cs="Arial"/>
          <w:sz w:val="23"/>
          <w:szCs w:val="23"/>
          <w:lang w:val="it-IT" w:eastAsia="it-CH"/>
        </w:rPr>
        <w:t>i tre membri e i tre supplenti della Commissione di disciplina notarile sono designati dalla Commissione per il notariato (art. 19 cpv. 2 Legge sul notariato);</w:t>
      </w:r>
    </w:p>
    <w:p w:rsidR="007233CA" w:rsidRPr="007233CA" w:rsidRDefault="007233CA" w:rsidP="007233C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IT" w:eastAsia="it-CH"/>
        </w:rPr>
      </w:pPr>
      <w:r w:rsidRPr="007233CA">
        <w:rPr>
          <w:rFonts w:ascii="Arial" w:hAnsi="Arial" w:cs="Arial"/>
          <w:sz w:val="23"/>
          <w:szCs w:val="23"/>
          <w:lang w:val="it-IT" w:eastAsia="it-CH"/>
        </w:rPr>
        <w:t>tutti i membri della Commissione di disciplina notarile devono essere notai iscritti nel relativo registro (art. 19 cpv. 2 Legge sul notariato);</w:t>
      </w:r>
    </w:p>
    <w:p w:rsidR="007233CA" w:rsidRPr="007233CA" w:rsidRDefault="007233CA" w:rsidP="007233C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IT" w:eastAsia="it-CH"/>
        </w:rPr>
      </w:pPr>
      <w:r w:rsidRPr="007233CA">
        <w:rPr>
          <w:rFonts w:ascii="Arial" w:hAnsi="Arial" w:cs="Arial"/>
          <w:sz w:val="23"/>
          <w:szCs w:val="23"/>
          <w:lang w:val="it-IT" w:eastAsia="it-CH"/>
        </w:rPr>
        <w:t>la Commissione per il notariato è nominata dal Tribunale di appello (art. 16 cpv. 1 Legge sul notariato) ed è composta da un giudice di appello, da un (ex) magistrato e da un notaio (nonché dai relativi supplenti).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>Per il Gruppo socialista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>Ivo Durisch</w:t>
      </w:r>
    </w:p>
    <w:p w:rsidR="007233CA" w:rsidRPr="007233CA" w:rsidRDefault="007233CA" w:rsidP="007233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233CA">
        <w:rPr>
          <w:rFonts w:ascii="Arial" w:hAnsi="Arial" w:cs="Arial"/>
          <w:sz w:val="23"/>
          <w:szCs w:val="23"/>
          <w:lang w:val="it-IT"/>
        </w:rPr>
        <w:t xml:space="preserve">Jacques </w:t>
      </w:r>
      <w:proofErr w:type="spellStart"/>
      <w:r w:rsidRPr="007233CA">
        <w:rPr>
          <w:rFonts w:ascii="Arial" w:hAnsi="Arial" w:cs="Arial"/>
          <w:sz w:val="23"/>
          <w:szCs w:val="23"/>
          <w:lang w:val="it-IT"/>
        </w:rPr>
        <w:t>Ducry</w:t>
      </w:r>
      <w:proofErr w:type="spellEnd"/>
    </w:p>
    <w:p w:rsidR="00500BFB" w:rsidRPr="007233CA" w:rsidRDefault="00500BFB" w:rsidP="007233CA"/>
    <w:sectPr w:rsidR="00500BFB" w:rsidRPr="007233CA" w:rsidSect="0022748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60" w:rsidRDefault="005A1E60" w:rsidP="007233CA">
      <w:pPr>
        <w:spacing w:after="0" w:line="240" w:lineRule="auto"/>
      </w:pPr>
      <w:r>
        <w:separator/>
      </w:r>
    </w:p>
  </w:endnote>
  <w:endnote w:type="continuationSeparator" w:id="0">
    <w:p w:rsidR="005A1E60" w:rsidRDefault="005A1E60" w:rsidP="0072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60" w:rsidRDefault="005A1E60" w:rsidP="007233CA">
      <w:pPr>
        <w:spacing w:after="0" w:line="240" w:lineRule="auto"/>
      </w:pPr>
      <w:r>
        <w:separator/>
      </w:r>
    </w:p>
  </w:footnote>
  <w:footnote w:type="continuationSeparator" w:id="0">
    <w:p w:rsidR="005A1E60" w:rsidRDefault="005A1E60" w:rsidP="007233CA">
      <w:pPr>
        <w:spacing w:after="0" w:line="240" w:lineRule="auto"/>
      </w:pPr>
      <w:r>
        <w:continuationSeparator/>
      </w:r>
    </w:p>
  </w:footnote>
  <w:footnote w:id="1">
    <w:p w:rsidR="007233CA" w:rsidRDefault="007233CA" w:rsidP="007233CA">
      <w:pPr>
        <w:pStyle w:val="Testonotaapidipagina"/>
        <w:rPr>
          <w:rFonts w:ascii="Arial" w:hAnsi="Arial" w:cs="Arial"/>
        </w:rPr>
      </w:pPr>
      <w:r w:rsidRPr="006B5D0A">
        <w:rPr>
          <w:rStyle w:val="Rimandonotaapidipagina"/>
          <w:rFonts w:ascii="Arial" w:hAnsi="Arial" w:cs="Arial"/>
          <w:vertAlign w:val="superscript"/>
        </w:rPr>
        <w:footnoteRef/>
      </w:r>
      <w:r w:rsidRPr="004C22CC">
        <w:rPr>
          <w:rFonts w:ascii="Arial" w:hAnsi="Arial" w:cs="Arial"/>
        </w:rPr>
        <w:t xml:space="preserve"> </w:t>
      </w:r>
      <w:hyperlink r:id="rId1" w:history="1">
        <w:r w:rsidRPr="00CA4673">
          <w:rPr>
            <w:rStyle w:val="Collegamentoipertestuale"/>
            <w:rFonts w:ascii="Arial" w:hAnsi="Arial" w:cs="Arial"/>
          </w:rPr>
          <w:t>http://rsn.ne.ch/DATA/program/books/rsne/htm/16510.htm</w:t>
        </w:r>
      </w:hyperlink>
      <w:r>
        <w:rPr>
          <w:rFonts w:ascii="Arial" w:hAnsi="Arial" w:cs="Arial"/>
        </w:rPr>
        <w:t xml:space="preserve">. </w:t>
      </w:r>
    </w:p>
    <w:p w:rsidR="007233CA" w:rsidRPr="004C22CC" w:rsidRDefault="007233CA" w:rsidP="007233CA">
      <w:pPr>
        <w:pStyle w:val="Testonotaapidipagina"/>
        <w:rPr>
          <w:rFonts w:ascii="Arial" w:hAnsi="Arial" w:cs="Arial"/>
          <w:lang w:val="fr-FR"/>
        </w:rPr>
      </w:pPr>
    </w:p>
  </w:footnote>
  <w:footnote w:id="2">
    <w:p w:rsidR="007233CA" w:rsidRDefault="007233CA" w:rsidP="007233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B5D0A">
        <w:rPr>
          <w:rStyle w:val="Rimandonotaapidipagina"/>
          <w:rFonts w:ascii="Arial" w:hAnsi="Arial" w:cs="Arial"/>
          <w:sz w:val="20"/>
          <w:szCs w:val="20"/>
          <w:vertAlign w:val="superscript"/>
        </w:rPr>
        <w:footnoteRef/>
      </w:r>
      <w:r w:rsidRPr="006B5D0A">
        <w:rPr>
          <w:rFonts w:ascii="Arial" w:hAnsi="Arial" w:cs="Arial"/>
          <w:sz w:val="20"/>
          <w:szCs w:val="20"/>
          <w:vertAlign w:val="superscript"/>
          <w:lang w:val="fr-FR"/>
        </w:rPr>
        <w:t xml:space="preserve"> </w:t>
      </w:r>
      <w:hyperlink r:id="rId2" w:history="1">
        <w:r w:rsidRPr="00CA4673">
          <w:rPr>
            <w:rStyle w:val="Collegamentoipertestuale"/>
            <w:rFonts w:ascii="Arial" w:eastAsia="Times New Roman" w:hAnsi="Arial" w:cs="Arial"/>
            <w:sz w:val="20"/>
            <w:szCs w:val="20"/>
            <w:lang w:val="fr-FR"/>
          </w:rPr>
          <w:t>https://www.odage.ch/medias/documents/regles-profession/Statuts%20ODA%202014.pdf</w:t>
        </w:r>
      </w:hyperlink>
      <w:r>
        <w:rPr>
          <w:rFonts w:ascii="Arial" w:eastAsia="Times New Roman" w:hAnsi="Arial" w:cs="Arial"/>
          <w:sz w:val="20"/>
          <w:szCs w:val="20"/>
          <w:lang w:val="fr-FR"/>
        </w:rPr>
        <w:t xml:space="preserve">. </w:t>
      </w:r>
    </w:p>
    <w:p w:rsidR="007233CA" w:rsidRPr="004C22CC" w:rsidRDefault="007233CA" w:rsidP="007233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FD3"/>
    <w:multiLevelType w:val="hybridMultilevel"/>
    <w:tmpl w:val="E8045F9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A6A9B"/>
    <w:multiLevelType w:val="hybridMultilevel"/>
    <w:tmpl w:val="10F4B23E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322222B"/>
    <w:multiLevelType w:val="hybridMultilevel"/>
    <w:tmpl w:val="6A246530"/>
    <w:lvl w:ilvl="0" w:tplc="FE7A56F4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08"/>
    <w:rsid w:val="00227481"/>
    <w:rsid w:val="00300D08"/>
    <w:rsid w:val="00484B46"/>
    <w:rsid w:val="00500BFB"/>
    <w:rsid w:val="005A1E60"/>
    <w:rsid w:val="007233CA"/>
    <w:rsid w:val="00E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D08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rialStandard">
    <w:name w:val="Stile Arial Standard"/>
    <w:link w:val="StileArialStandardCarattere"/>
    <w:qFormat/>
    <w:rsid w:val="00300D08"/>
    <w:rPr>
      <w:rFonts w:ascii="Arial" w:eastAsia="Times New Roman" w:hAnsi="Arial" w:cs="Times New Roman"/>
      <w:color w:val="000000" w:themeColor="text1"/>
      <w:szCs w:val="20"/>
      <w:lang w:val="it-IT" w:eastAsia="it-IT"/>
    </w:rPr>
  </w:style>
  <w:style w:type="character" w:customStyle="1" w:styleId="StileArialStandardCarattere">
    <w:name w:val="Stile Arial Standard Carattere"/>
    <w:basedOn w:val="Carpredefinitoparagrafo"/>
    <w:link w:val="StileArialStandard"/>
    <w:rsid w:val="00300D08"/>
    <w:rPr>
      <w:rFonts w:ascii="Arial" w:eastAsia="Times New Roman" w:hAnsi="Arial" w:cs="Times New Roman"/>
      <w:color w:val="000000" w:themeColor="text1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81"/>
    <w:rPr>
      <w:rFonts w:ascii="Tahoma" w:eastAsia="Calibri" w:hAnsi="Tahoma" w:cs="Tahoma"/>
      <w:sz w:val="16"/>
      <w:szCs w:val="16"/>
      <w:lang w:val="de-CH"/>
    </w:rPr>
  </w:style>
  <w:style w:type="paragraph" w:customStyle="1" w:styleId="Didefault">
    <w:name w:val="Di default"/>
    <w:rsid w:val="00ED7F40"/>
    <w:pPr>
      <w:spacing w:after="0" w:line="240" w:lineRule="auto"/>
    </w:pPr>
    <w:rPr>
      <w:rFonts w:ascii="Helvetica" w:eastAsia="Arial Unicode MS" w:hAnsi="Helvetica" w:cs="Arial Unicode MS"/>
      <w:color w:val="000000"/>
      <w:lang w:val="it-IT" w:eastAsia="it-CH"/>
    </w:rPr>
  </w:style>
  <w:style w:type="character" w:customStyle="1" w:styleId="Nessuno">
    <w:name w:val="Nessuno"/>
    <w:rsid w:val="00ED7F40"/>
  </w:style>
  <w:style w:type="character" w:customStyle="1" w:styleId="Hyperlink1">
    <w:name w:val="Hyperlink.1"/>
    <w:rsid w:val="00ED7F40"/>
    <w:rPr>
      <w:b/>
      <w:bCs/>
      <w:color w:val="666699"/>
      <w:u w:val="single" w:color="666699"/>
      <w:vertAlign w:val="superscript"/>
    </w:rPr>
  </w:style>
  <w:style w:type="character" w:styleId="Collegamentoipertestuale">
    <w:name w:val="Hyperlink"/>
    <w:rsid w:val="00484B4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3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3CA"/>
    <w:rPr>
      <w:rFonts w:ascii="Calibri" w:eastAsia="Calibri" w:hAnsi="Calibri" w:cs="Times New Roman"/>
      <w:sz w:val="20"/>
      <w:szCs w:val="20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72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D08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rialStandard">
    <w:name w:val="Stile Arial Standard"/>
    <w:link w:val="StileArialStandardCarattere"/>
    <w:qFormat/>
    <w:rsid w:val="00300D08"/>
    <w:rPr>
      <w:rFonts w:ascii="Arial" w:eastAsia="Times New Roman" w:hAnsi="Arial" w:cs="Times New Roman"/>
      <w:color w:val="000000" w:themeColor="text1"/>
      <w:szCs w:val="20"/>
      <w:lang w:val="it-IT" w:eastAsia="it-IT"/>
    </w:rPr>
  </w:style>
  <w:style w:type="character" w:customStyle="1" w:styleId="StileArialStandardCarattere">
    <w:name w:val="Stile Arial Standard Carattere"/>
    <w:basedOn w:val="Carpredefinitoparagrafo"/>
    <w:link w:val="StileArialStandard"/>
    <w:rsid w:val="00300D08"/>
    <w:rPr>
      <w:rFonts w:ascii="Arial" w:eastAsia="Times New Roman" w:hAnsi="Arial" w:cs="Times New Roman"/>
      <w:color w:val="000000" w:themeColor="text1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81"/>
    <w:rPr>
      <w:rFonts w:ascii="Tahoma" w:eastAsia="Calibri" w:hAnsi="Tahoma" w:cs="Tahoma"/>
      <w:sz w:val="16"/>
      <w:szCs w:val="16"/>
      <w:lang w:val="de-CH"/>
    </w:rPr>
  </w:style>
  <w:style w:type="paragraph" w:customStyle="1" w:styleId="Didefault">
    <w:name w:val="Di default"/>
    <w:rsid w:val="00ED7F40"/>
    <w:pPr>
      <w:spacing w:after="0" w:line="240" w:lineRule="auto"/>
    </w:pPr>
    <w:rPr>
      <w:rFonts w:ascii="Helvetica" w:eastAsia="Arial Unicode MS" w:hAnsi="Helvetica" w:cs="Arial Unicode MS"/>
      <w:color w:val="000000"/>
      <w:lang w:val="it-IT" w:eastAsia="it-CH"/>
    </w:rPr>
  </w:style>
  <w:style w:type="character" w:customStyle="1" w:styleId="Nessuno">
    <w:name w:val="Nessuno"/>
    <w:rsid w:val="00ED7F40"/>
  </w:style>
  <w:style w:type="character" w:customStyle="1" w:styleId="Hyperlink1">
    <w:name w:val="Hyperlink.1"/>
    <w:rsid w:val="00ED7F40"/>
    <w:rPr>
      <w:b/>
      <w:bCs/>
      <w:color w:val="666699"/>
      <w:u w:val="single" w:color="666699"/>
      <w:vertAlign w:val="superscript"/>
    </w:rPr>
  </w:style>
  <w:style w:type="character" w:styleId="Collegamentoipertestuale">
    <w:name w:val="Hyperlink"/>
    <w:rsid w:val="00484B4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3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3CA"/>
    <w:rPr>
      <w:rFonts w:ascii="Calibri" w:eastAsia="Calibri" w:hAnsi="Calibri" w:cs="Times New Roman"/>
      <w:sz w:val="20"/>
      <w:szCs w:val="20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72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dage.ch/medias/documents/regles-profession/Statuts%20ODA%202014.pdf" TargetMode="External"/><Relationship Id="rId1" Type="http://schemas.openxmlformats.org/officeDocument/2006/relationships/hyperlink" Target="http://rsn.ne.ch/DATA/program/books/rsne/htm/1651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2018-02-01T14:44:00Z</cp:lastPrinted>
  <dcterms:created xsi:type="dcterms:W3CDTF">2018-02-01T14:46:00Z</dcterms:created>
  <dcterms:modified xsi:type="dcterms:W3CDTF">2018-02-01T14:46:00Z</dcterms:modified>
</cp:coreProperties>
</file>