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1" w:rsidRPr="00EE3BBA" w:rsidRDefault="000438D1" w:rsidP="000438D1">
      <w:pPr>
        <w:tabs>
          <w:tab w:val="left" w:pos="405"/>
          <w:tab w:val="left" w:pos="7926"/>
        </w:tabs>
        <w:spacing w:after="120" w:line="240" w:lineRule="auto"/>
        <w:rPr>
          <w:rFonts w:ascii="Arial" w:hAnsi="Arial" w:cs="Arial"/>
          <w:b/>
          <w:sz w:val="23"/>
          <w:szCs w:val="23"/>
          <w:lang w:val="it-CH"/>
        </w:rPr>
      </w:pPr>
      <w:r w:rsidRPr="00EE3BBA">
        <w:rPr>
          <w:rFonts w:ascii="Arial" w:hAnsi="Arial" w:cs="Arial"/>
          <w:b/>
          <w:sz w:val="23"/>
          <w:szCs w:val="23"/>
          <w:lang w:val="it-CH"/>
        </w:rPr>
        <w:t>MOZIONE</w:t>
      </w:r>
    </w:p>
    <w:p w:rsidR="000438D1" w:rsidRPr="00EE3BBA" w:rsidRDefault="000438D1" w:rsidP="000438D1">
      <w:pPr>
        <w:tabs>
          <w:tab w:val="left" w:pos="405"/>
          <w:tab w:val="left" w:pos="7926"/>
        </w:tabs>
        <w:spacing w:after="0" w:line="240" w:lineRule="auto"/>
        <w:rPr>
          <w:rFonts w:ascii="Arial" w:hAnsi="Arial" w:cs="Arial"/>
          <w:b/>
          <w:sz w:val="23"/>
          <w:szCs w:val="23"/>
          <w:lang w:val="it-CH"/>
        </w:rPr>
      </w:pPr>
    </w:p>
    <w:p w:rsidR="000438D1" w:rsidRPr="00EE3BBA" w:rsidRDefault="000438D1" w:rsidP="000438D1">
      <w:pPr>
        <w:tabs>
          <w:tab w:val="left" w:pos="405"/>
          <w:tab w:val="left" w:pos="7926"/>
        </w:tabs>
        <w:spacing w:after="120" w:line="240" w:lineRule="auto"/>
        <w:rPr>
          <w:rFonts w:ascii="Arial" w:hAnsi="Arial" w:cs="Arial"/>
          <w:b/>
          <w:sz w:val="23"/>
          <w:szCs w:val="23"/>
          <w:u w:val="single"/>
          <w:lang w:val="it-CH"/>
        </w:rPr>
      </w:pPr>
      <w:r w:rsidRPr="00EE3BBA">
        <w:rPr>
          <w:rFonts w:ascii="Arial" w:hAnsi="Arial" w:cs="Arial"/>
          <w:b/>
          <w:sz w:val="23"/>
          <w:szCs w:val="23"/>
          <w:u w:val="single"/>
          <w:lang w:val="it-CH"/>
        </w:rPr>
        <w:t>Salviamo i reperti archeologici prima che sia troppo tardi</w:t>
      </w:r>
    </w:p>
    <w:p w:rsidR="000438D1" w:rsidRPr="00EE3BBA" w:rsidRDefault="000438D1" w:rsidP="000438D1">
      <w:pPr>
        <w:tabs>
          <w:tab w:val="left" w:pos="405"/>
          <w:tab w:val="left" w:pos="7926"/>
        </w:tabs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0438D1" w:rsidRPr="00EE3BBA" w:rsidRDefault="000438D1" w:rsidP="000438D1">
      <w:pPr>
        <w:tabs>
          <w:tab w:val="left" w:pos="405"/>
          <w:tab w:val="left" w:pos="7926"/>
        </w:tabs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>del 18 giugno 2018</w:t>
      </w:r>
    </w:p>
    <w:p w:rsidR="000438D1" w:rsidRPr="00EE3BBA" w:rsidRDefault="000438D1" w:rsidP="000438D1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438D1" w:rsidRPr="00EE3BBA" w:rsidRDefault="000438D1" w:rsidP="000438D1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438D1" w:rsidRPr="00EE3BBA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 xml:space="preserve">Il 5 febbraio 2018 veniva </w:t>
      </w:r>
      <w:r>
        <w:rPr>
          <w:rFonts w:ascii="Arial" w:hAnsi="Arial" w:cs="Arial"/>
          <w:sz w:val="23"/>
          <w:szCs w:val="23"/>
          <w:lang w:val="it-CH"/>
        </w:rPr>
        <w:t>presentata</w:t>
      </w:r>
      <w:r w:rsidRPr="00EE3BBA">
        <w:rPr>
          <w:rFonts w:ascii="Arial" w:hAnsi="Arial" w:cs="Arial"/>
          <w:sz w:val="23"/>
          <w:szCs w:val="23"/>
          <w:lang w:val="it-CH"/>
        </w:rPr>
        <w:t>, sottoscritta da vari deputati,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interrogazione </w:t>
      </w:r>
      <w:hyperlink r:id="rId8" w:history="1">
        <w:r w:rsidRPr="00D035CF">
          <w:rPr>
            <w:rStyle w:val="Collegamentoipertestuale"/>
            <w:rFonts w:ascii="Arial" w:hAnsi="Arial" w:cs="Arial"/>
            <w:sz w:val="23"/>
            <w:szCs w:val="23"/>
            <w:lang w:val="it-CH"/>
          </w:rPr>
          <w:t>n. 11.18</w:t>
        </w:r>
      </w:hyperlink>
      <w:r w:rsidRPr="00EE3BBA">
        <w:rPr>
          <w:rFonts w:ascii="Arial" w:hAnsi="Arial" w:cs="Arial"/>
          <w:sz w:val="23"/>
          <w:szCs w:val="23"/>
          <w:lang w:val="it-CH"/>
        </w:rPr>
        <w:t xml:space="preserve"> (a cui si rinvia) dal </w:t>
      </w:r>
      <w:r w:rsidRPr="00C81CA7">
        <w:rPr>
          <w:rFonts w:ascii="Arial" w:hAnsi="Arial" w:cs="Arial"/>
          <w:sz w:val="23"/>
          <w:szCs w:val="23"/>
          <w:lang w:val="it-CH"/>
        </w:rPr>
        <w:t>titolo: "Anno del patrimonio culturale e (mala)gestione dei nostri reperti archeologici ticinesi?". Il Governo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 vi ha risposto il 25 aprile 2018 (1833/mm/1). La risposta non è ritenuta soddisfacente da parte dei sottoscritti</w:t>
      </w:r>
      <w:r>
        <w:rPr>
          <w:rFonts w:ascii="Arial" w:hAnsi="Arial" w:cs="Arial"/>
          <w:sz w:val="23"/>
          <w:szCs w:val="23"/>
          <w:lang w:val="it-CH"/>
        </w:rPr>
        <w:t>,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 i quali inoltrano la seguente mozione puntuale.</w:t>
      </w:r>
    </w:p>
    <w:p w:rsidR="000438D1" w:rsidRPr="00EE3BBA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>Con la precedente interrogazione si chiedevano alcune informazioni circa lo stato di c</w:t>
      </w:r>
      <w:r>
        <w:rPr>
          <w:rFonts w:ascii="Arial" w:hAnsi="Arial" w:cs="Arial"/>
          <w:sz w:val="23"/>
          <w:szCs w:val="23"/>
          <w:lang w:val="it-CH"/>
        </w:rPr>
        <w:t>onservazione (che è diverso da "</w:t>
      </w:r>
      <w:r w:rsidRPr="00EE3BBA">
        <w:rPr>
          <w:rFonts w:ascii="Arial" w:hAnsi="Arial" w:cs="Arial"/>
          <w:sz w:val="23"/>
          <w:szCs w:val="23"/>
          <w:lang w:val="it-CH"/>
        </w:rPr>
        <w:t>avere in deposito</w:t>
      </w:r>
      <w:r>
        <w:rPr>
          <w:rFonts w:ascii="Arial" w:hAnsi="Arial" w:cs="Arial"/>
          <w:sz w:val="23"/>
          <w:szCs w:val="23"/>
          <w:lang w:val="it-CH"/>
        </w:rPr>
        <w:t>" o dal "dover restaurare"</w:t>
      </w:r>
      <w:r w:rsidRPr="00EE3BBA">
        <w:rPr>
          <w:rFonts w:ascii="Arial" w:hAnsi="Arial" w:cs="Arial"/>
          <w:sz w:val="23"/>
          <w:szCs w:val="23"/>
          <w:lang w:val="it-CH"/>
        </w:rPr>
        <w:t>) dei rep</w:t>
      </w:r>
      <w:r>
        <w:rPr>
          <w:rFonts w:ascii="Arial" w:hAnsi="Arial" w:cs="Arial"/>
          <w:sz w:val="23"/>
          <w:szCs w:val="23"/>
          <w:lang w:val="it-CH"/>
        </w:rPr>
        <w:t>e</w:t>
      </w:r>
      <w:r w:rsidRPr="00EE3BBA">
        <w:rPr>
          <w:rFonts w:ascii="Arial" w:hAnsi="Arial" w:cs="Arial"/>
          <w:sz w:val="23"/>
          <w:szCs w:val="23"/>
          <w:lang w:val="it-CH"/>
        </w:rPr>
        <w:t>rti archeologici in Ticino. Infatti, per conservare dei reperti basta poco, come vedremo, se si interviene subito e con minimi interventi. Per restaurare dei reperti compromessi i costi aumentano sempre che non siano irrimediabilmente compromessi. Per tener</w:t>
      </w:r>
      <w:r>
        <w:rPr>
          <w:rFonts w:ascii="Arial" w:hAnsi="Arial" w:cs="Arial"/>
          <w:sz w:val="23"/>
          <w:szCs w:val="23"/>
          <w:lang w:val="it-CH"/>
        </w:rPr>
        <w:t>e in deposito bastano adeguate "cassettiere"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. </w:t>
      </w:r>
    </w:p>
    <w:p w:rsidR="000438D1" w:rsidRPr="00EE3BBA" w:rsidRDefault="000438D1" w:rsidP="000438D1">
      <w:pPr>
        <w:spacing w:line="240" w:lineRule="auto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 xml:space="preserve">La preoccupazione non è rientrata con la risposta governativa, anzi! </w:t>
      </w:r>
    </w:p>
    <w:p w:rsidR="000438D1" w:rsidRPr="00EE3BBA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 xml:space="preserve">La superficialità e </w:t>
      </w:r>
      <w:r>
        <w:rPr>
          <w:rFonts w:ascii="Arial" w:hAnsi="Arial" w:cs="Arial"/>
          <w:sz w:val="23"/>
          <w:szCs w:val="23"/>
          <w:lang w:val="it-CH"/>
        </w:rPr>
        <w:t>l'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incompletezza della risposta che nemmeno coincide con i segnali di senso opposto che paiono in realtà venire da documenti, pubblicati dallo stesso Servizio archeologico e dei Beni culturali (cfr. </w:t>
      </w:r>
      <w:hyperlink r:id="rId9" w:history="1">
        <w:r w:rsidRPr="00C81CA7">
          <w:rPr>
            <w:rStyle w:val="Collegamentoipertestuale"/>
            <w:rFonts w:ascii="Arial" w:hAnsi="Arial" w:cs="Arial"/>
            <w:sz w:val="23"/>
            <w:szCs w:val="23"/>
            <w:lang w:val="it-CH"/>
          </w:rPr>
          <w:t>www3.ti.ch/DFE/DR/USTAT/allegati/articolo/</w:t>
        </w:r>
        <w:r>
          <w:rPr>
            <w:rStyle w:val="Collegamentoipertestuale"/>
            <w:rFonts w:ascii="Arial" w:hAnsi="Arial" w:cs="Arial"/>
            <w:sz w:val="23"/>
            <w:szCs w:val="23"/>
            <w:lang w:val="it-CH"/>
          </w:rPr>
          <w:t xml:space="preserve"> </w:t>
        </w:r>
        <w:r w:rsidRPr="00C81CA7">
          <w:rPr>
            <w:rStyle w:val="Collegamentoipertestuale"/>
            <w:rFonts w:ascii="Arial" w:hAnsi="Arial" w:cs="Arial"/>
            <w:sz w:val="23"/>
            <w:szCs w:val="23"/>
            <w:lang w:val="it-CH"/>
          </w:rPr>
          <w:t>1281dss_2006-1_5.pdf</w:t>
        </w:r>
      </w:hyperlink>
      <w:r w:rsidRPr="00EE3BBA">
        <w:rPr>
          <w:rFonts w:ascii="Arial" w:hAnsi="Arial" w:cs="Arial"/>
          <w:sz w:val="23"/>
          <w:szCs w:val="23"/>
          <w:lang w:val="it-CH"/>
        </w:rPr>
        <w:t xml:space="preserve">; </w:t>
      </w:r>
      <w:r w:rsidRPr="00C81CA7">
        <w:rPr>
          <w:rFonts w:ascii="Arial" w:hAnsi="Arial" w:cs="Arial"/>
          <w:i/>
          <w:sz w:val="23"/>
          <w:szCs w:val="23"/>
          <w:lang w:val="it-CH"/>
        </w:rPr>
        <w:t>Arte e Storia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, Edizioni Ticino Management, marzo 2018, contributi vari su </w:t>
      </w:r>
      <w:r>
        <w:rPr>
          <w:rFonts w:ascii="Arial" w:hAnsi="Arial" w:cs="Arial"/>
          <w:sz w:val="23"/>
          <w:szCs w:val="23"/>
          <w:lang w:val="it-CH"/>
        </w:rPr>
        <w:t>"</w:t>
      </w:r>
      <w:r w:rsidRPr="00C81CA7">
        <w:rPr>
          <w:rFonts w:ascii="Arial" w:hAnsi="Arial" w:cs="Arial"/>
          <w:sz w:val="23"/>
          <w:szCs w:val="23"/>
          <w:lang w:val="it-CH"/>
        </w:rPr>
        <w:t>Archeologia nel cantone Ticino. Visibilità futura per il passato nascosto</w:t>
      </w:r>
      <w:r>
        <w:rPr>
          <w:rFonts w:ascii="Arial" w:hAnsi="Arial" w:cs="Arial"/>
          <w:sz w:val="23"/>
          <w:szCs w:val="23"/>
          <w:lang w:val="it-CH"/>
        </w:rPr>
        <w:t>"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; </w:t>
      </w:r>
      <w:r>
        <w:rPr>
          <w:rFonts w:ascii="Arial" w:hAnsi="Arial" w:cs="Arial"/>
          <w:sz w:val="23"/>
          <w:szCs w:val="23"/>
          <w:lang w:val="it-CH"/>
        </w:rPr>
        <w:t>m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essaggio </w:t>
      </w:r>
      <w:r>
        <w:rPr>
          <w:rFonts w:ascii="Arial" w:hAnsi="Arial" w:cs="Arial"/>
          <w:sz w:val="23"/>
          <w:szCs w:val="23"/>
          <w:lang w:val="it-CH"/>
        </w:rPr>
        <w:t xml:space="preserve">n. </w:t>
      </w:r>
      <w:r w:rsidRPr="00EE3BBA">
        <w:rPr>
          <w:rFonts w:ascii="Arial" w:hAnsi="Arial" w:cs="Arial"/>
          <w:sz w:val="23"/>
          <w:szCs w:val="23"/>
          <w:lang w:val="it-CH"/>
        </w:rPr>
        <w:t>7520 Consuntivo 2017, Rendiconto DT 2017 (pag. 215-216).</w:t>
      </w:r>
    </w:p>
    <w:p w:rsidR="000438D1" w:rsidRPr="00EE3BBA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>Negli ultimi 12 anni di scavi in Ticino, i reperti archeologici sono sempre aumentati in modo lineare per rapporto all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EE3BBA">
        <w:rPr>
          <w:rFonts w:ascii="Arial" w:hAnsi="Arial" w:cs="Arial"/>
          <w:sz w:val="23"/>
          <w:szCs w:val="23"/>
          <w:lang w:val="it-CH"/>
        </w:rPr>
        <w:t>evoluzione degli anni precedenti (</w:t>
      </w:r>
      <w:hyperlink r:id="rId10" w:history="1">
        <w:r w:rsidRPr="00C81CA7">
          <w:rPr>
            <w:rStyle w:val="Collegamentoipertestuale"/>
            <w:rFonts w:ascii="Arial" w:hAnsi="Arial" w:cs="Arial"/>
            <w:sz w:val="23"/>
            <w:szCs w:val="23"/>
            <w:lang w:val="it-CH"/>
          </w:rPr>
          <w:t>www3.ti.ch/DFE/DR/USTAT/allegati/</w:t>
        </w:r>
        <w:r>
          <w:rPr>
            <w:rStyle w:val="Collegamentoipertestuale"/>
            <w:rFonts w:ascii="Arial" w:hAnsi="Arial" w:cs="Arial"/>
            <w:sz w:val="23"/>
            <w:szCs w:val="23"/>
            <w:lang w:val="it-CH"/>
          </w:rPr>
          <w:t xml:space="preserve"> </w:t>
        </w:r>
        <w:r w:rsidRPr="00C81CA7">
          <w:rPr>
            <w:rStyle w:val="Collegamentoipertestuale"/>
            <w:rFonts w:ascii="Arial" w:hAnsi="Arial" w:cs="Arial"/>
            <w:sz w:val="23"/>
            <w:szCs w:val="23"/>
            <w:lang w:val="it-CH"/>
          </w:rPr>
          <w:t>articolo/1281dss_2006-1_5.pdf</w:t>
        </w:r>
      </w:hyperlink>
      <w:r w:rsidRPr="00EE3BBA">
        <w:rPr>
          <w:rFonts w:ascii="Arial" w:hAnsi="Arial" w:cs="Arial"/>
          <w:sz w:val="23"/>
          <w:szCs w:val="23"/>
          <w:lang w:val="it-CH"/>
        </w:rPr>
        <w:t xml:space="preserve">). </w:t>
      </w:r>
    </w:p>
    <w:p w:rsidR="000438D1" w:rsidRPr="00EE3BBA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>Oggi sono circa 30'000.</w:t>
      </w:r>
    </w:p>
    <w:p w:rsidR="000438D1" w:rsidRPr="00EE3BBA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>I Cantieri interessati sono pure stati diversi con anche riflessi economici per i fermi tecnici.</w:t>
      </w:r>
    </w:p>
    <w:p w:rsidR="000438D1" w:rsidRPr="00EE3BBA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>Secondo il Consiglio di Stato, il fatto che il 30% (come se fosse una percentuale risibile) dei reperti in ferro (circa 2000) vada irrimediabilmente perso per sempre pare non porre nessun problema di coscienza e responsabilità. Ciò non può essere condiviso tanto più che nemmeno il DT si confronta col tema del costo risibile che avrebbe un adeguato e tempestivo trattamento di questi reperti a dipendenza del loro stato di conservazione al momento del ritrovamento. Ovviamente i diversi tipi di intervento hanno costi differenti, e risulta evidente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economicità di trattamenti tempestivi in fase di rinvenimento e in condizioni di media conservazione. </w:t>
      </w:r>
    </w:p>
    <w:p w:rsidR="000438D1" w:rsidRPr="00EE3BBA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 xml:space="preserve">Secondo esperti del mestiere </w:t>
      </w:r>
      <w:r>
        <w:rPr>
          <w:rFonts w:ascii="Arial" w:hAnsi="Arial" w:cs="Arial"/>
          <w:sz w:val="23"/>
          <w:szCs w:val="23"/>
          <w:lang w:val="it-CH"/>
        </w:rPr>
        <w:t>-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 ed è difficile ritenere che il D</w:t>
      </w:r>
      <w:r>
        <w:rPr>
          <w:rFonts w:ascii="Arial" w:hAnsi="Arial" w:cs="Arial"/>
          <w:sz w:val="23"/>
          <w:szCs w:val="23"/>
          <w:lang w:val="it-CH"/>
        </w:rPr>
        <w:t>ipartimento del territorio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 non si sia debitamente informato presso i propri addetti che sicuramente conoscono la tabellina riassuntiva che segue e sapranno fornire anche pubblicamente il preventivo dei costi per il giusto e tempestivo trattamento (stimabile in 10/20'000 fr</w:t>
      </w:r>
      <w:r>
        <w:rPr>
          <w:rFonts w:ascii="Arial" w:hAnsi="Arial" w:cs="Arial"/>
          <w:sz w:val="23"/>
          <w:szCs w:val="23"/>
          <w:lang w:val="it-CH"/>
        </w:rPr>
        <w:t>anchi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 annui trattandosi di procedure semplici) </w:t>
      </w:r>
      <w:r>
        <w:rPr>
          <w:rFonts w:ascii="Arial" w:hAnsi="Arial" w:cs="Arial"/>
          <w:sz w:val="23"/>
          <w:szCs w:val="23"/>
          <w:lang w:val="it-CH"/>
        </w:rPr>
        <w:t>-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 con un minimo intervento infatti si riesce a garantire il mantenimento dell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oggetto e la fruibilità in futuro, il riconoscimento dello stesso, che altrimenti andrebbe totalmente distrutto procedendo nel degrado. Nel minimo intervento non occorre provvedere alla ricerca di attacchi e alla ricomposizione del manufatto, operazioni complesse che rappresentano un impegno di tempo considerevole e che comprende ovviamente anche le fasi di incollaggio, infiltrazione, consolidamento, oltre alle protezioni finali della superficie. </w:t>
      </w:r>
    </w:p>
    <w:tbl>
      <w:tblPr>
        <w:tblStyle w:val="TableGrid"/>
        <w:tblW w:w="10146" w:type="dxa"/>
        <w:tblInd w:w="-110" w:type="dxa"/>
        <w:tblCellMar>
          <w:top w:w="48" w:type="dxa"/>
          <w:left w:w="110" w:type="dxa"/>
          <w:right w:w="12" w:type="dxa"/>
        </w:tblCellMar>
        <w:tblLook w:val="04A0" w:firstRow="1" w:lastRow="0" w:firstColumn="1" w:lastColumn="0" w:noHBand="0" w:noVBand="1"/>
      </w:tblPr>
      <w:tblGrid>
        <w:gridCol w:w="362"/>
        <w:gridCol w:w="1781"/>
        <w:gridCol w:w="2514"/>
        <w:gridCol w:w="3233"/>
        <w:gridCol w:w="2256"/>
      </w:tblGrid>
      <w:tr w:rsidR="000438D1" w:rsidRPr="00EE3BBA" w:rsidTr="00512100">
        <w:trPr>
          <w:trHeight w:val="77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A675C8" w:rsidRDefault="000438D1" w:rsidP="00512100">
            <w:pPr>
              <w:spacing w:before="120"/>
              <w:ind w:right="130"/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A675C8">
              <w:rPr>
                <w:rFonts w:ascii="Arial" w:hAnsi="Arial" w:cs="Arial"/>
                <w:b/>
                <w:sz w:val="21"/>
                <w:szCs w:val="21"/>
                <w:lang w:val="it-CH"/>
              </w:rPr>
              <w:t xml:space="preserve">Stato di conservazione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A675C8" w:rsidRDefault="000438D1" w:rsidP="00512100">
            <w:pPr>
              <w:spacing w:before="120"/>
              <w:ind w:right="30"/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A675C8">
              <w:rPr>
                <w:rFonts w:ascii="Arial" w:hAnsi="Arial" w:cs="Arial"/>
                <w:b/>
                <w:sz w:val="21"/>
                <w:szCs w:val="21"/>
                <w:lang w:val="it-CH"/>
              </w:rPr>
              <w:t xml:space="preserve">Caratteristiche dello stato di conservazione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A675C8" w:rsidRDefault="000438D1" w:rsidP="00512100">
            <w:pPr>
              <w:spacing w:before="120"/>
              <w:ind w:right="130"/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A675C8">
              <w:rPr>
                <w:rFonts w:ascii="Arial" w:hAnsi="Arial" w:cs="Arial"/>
                <w:b/>
                <w:sz w:val="21"/>
                <w:szCs w:val="21"/>
                <w:lang w:val="it-CH"/>
              </w:rPr>
              <w:t xml:space="preserve">Trattamenti possibili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A675C8" w:rsidRDefault="000438D1" w:rsidP="00512100">
            <w:pPr>
              <w:spacing w:before="120"/>
              <w:ind w:right="130"/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A675C8">
              <w:rPr>
                <w:rFonts w:ascii="Arial" w:hAnsi="Arial" w:cs="Arial"/>
                <w:b/>
                <w:sz w:val="21"/>
                <w:szCs w:val="21"/>
                <w:lang w:val="it-CH"/>
              </w:rPr>
              <w:t xml:space="preserve">Tempestività del trattamento </w:t>
            </w:r>
          </w:p>
        </w:tc>
      </w:tr>
      <w:tr w:rsidR="000438D1" w:rsidRPr="007D77B1" w:rsidTr="00512100">
        <w:trPr>
          <w:trHeight w:val="481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 xml:space="preserve">Buone condizioni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 xml:space="preserve">Poca ossidazione superficiale, buona consistenza metallica, non sono presenti distacchi di parti ossidate.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spacing w:after="2"/>
              <w:ind w:right="13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T</w:t>
            </w:r>
            <w:r w:rsidRPr="00EE3BBA">
              <w:rPr>
                <w:rFonts w:ascii="Arial" w:hAnsi="Arial" w:cs="Arial"/>
                <w:lang w:val="it-CH"/>
              </w:rPr>
              <w:t xml:space="preserve">rattamenti immediati dallo scavo (rimozione terriccio e materiale non pertinente, riconoscimento eventuali residui organici </w:t>
            </w:r>
          </w:p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>(tessuti/legni/cuoio/e</w:t>
            </w:r>
            <w:r>
              <w:rPr>
                <w:rFonts w:ascii="Arial" w:hAnsi="Arial" w:cs="Arial"/>
                <w:lang w:val="it-CH"/>
              </w:rPr>
              <w:t>c</w:t>
            </w:r>
            <w:r w:rsidRPr="00EE3BBA">
              <w:rPr>
                <w:rFonts w:ascii="Arial" w:hAnsi="Arial" w:cs="Arial"/>
                <w:lang w:val="it-CH"/>
              </w:rPr>
              <w:t>c.) e consolidamento degli stessi, dove mancanti eventuali</w:t>
            </w:r>
            <w:r w:rsidRPr="00EE3BBA">
              <w:rPr>
                <w:rFonts w:ascii="Arial" w:hAnsi="Arial" w:cs="Arial"/>
                <w:b/>
                <w:lang w:val="it-CH"/>
              </w:rPr>
              <w:t xml:space="preserve"> procedimenti con lavaggi </w:t>
            </w:r>
            <w:r w:rsidRPr="00EE3BBA">
              <w:rPr>
                <w:rFonts w:ascii="Arial" w:hAnsi="Arial" w:cs="Arial"/>
                <w:lang w:val="it-CH"/>
              </w:rPr>
              <w:t>controllati, (</w:t>
            </w:r>
            <w:r w:rsidRPr="00EE3BBA">
              <w:rPr>
                <w:rFonts w:ascii="Arial" w:hAnsi="Arial" w:cs="Arial"/>
                <w:b/>
                <w:lang w:val="it-CH"/>
              </w:rPr>
              <w:t>desalinizzazione</w:t>
            </w:r>
            <w:r w:rsidRPr="00EE3BBA">
              <w:rPr>
                <w:rFonts w:ascii="Arial" w:hAnsi="Arial" w:cs="Arial"/>
                <w:lang w:val="it-CH"/>
              </w:rPr>
              <w:t xml:space="preserve">), con eventuali soluzioni alcaline, disidratazione, verifica del trattamento, eventuali trattamenti con acido tannico o fenolico, secondo occorrenza e/o con modalità mirate. Protezione della superficie con resine acriliche e cere microcristalline.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b/>
                <w:lang w:val="it-CH"/>
              </w:rPr>
              <w:t>I</w:t>
            </w:r>
            <w:r w:rsidRPr="00EE3BBA">
              <w:rPr>
                <w:rFonts w:ascii="Arial" w:hAnsi="Arial" w:cs="Arial"/>
                <w:b/>
                <w:lang w:val="it-CH"/>
              </w:rPr>
              <w:t xml:space="preserve">mmediati: post scavo </w:t>
            </w:r>
          </w:p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>(da considerarsi anche nelle situazioni di intervento su pani di terra sigillati e /o conservati in ambienti a bassissime temperature (es. congelatori)</w:t>
            </w:r>
            <w:r>
              <w:rPr>
                <w:rFonts w:ascii="Arial" w:hAnsi="Arial" w:cs="Arial"/>
                <w:lang w:val="it-CH"/>
              </w:rPr>
              <w:t>.</w:t>
            </w:r>
            <w:r w:rsidRPr="00EE3BBA">
              <w:rPr>
                <w:rFonts w:ascii="Arial" w:hAnsi="Arial" w:cs="Arial"/>
                <w:lang w:val="it-CH"/>
              </w:rPr>
              <w:t xml:space="preserve"> </w:t>
            </w:r>
          </w:p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>Oppure in ottime condizioni del materiale (situazione rara)</w:t>
            </w:r>
            <w:r>
              <w:rPr>
                <w:rFonts w:ascii="Arial" w:hAnsi="Arial" w:cs="Arial"/>
                <w:lang w:val="it-CH"/>
              </w:rPr>
              <w:t>.</w:t>
            </w:r>
            <w:r w:rsidRPr="00EE3BBA">
              <w:rPr>
                <w:rFonts w:ascii="Arial" w:hAnsi="Arial" w:cs="Arial"/>
                <w:lang w:val="it-CH"/>
              </w:rPr>
              <w:t xml:space="preserve"> </w:t>
            </w:r>
          </w:p>
        </w:tc>
      </w:tr>
      <w:tr w:rsidR="000438D1" w:rsidRPr="007D77B1" w:rsidTr="00512100">
        <w:trPr>
          <w:trHeight w:val="288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 xml:space="preserve">Medie condizioni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 xml:space="preserve">Ossidazione più profonda, mantiene consistenza metallica parziale, parti distaccate o in fase di distacco con evidenti cricche e </w:t>
            </w:r>
            <w:proofErr w:type="spellStart"/>
            <w:r w:rsidRPr="00EE3BBA">
              <w:rPr>
                <w:rFonts w:ascii="Arial" w:hAnsi="Arial" w:cs="Arial"/>
                <w:lang w:val="it-CH"/>
              </w:rPr>
              <w:t>crettature</w:t>
            </w:r>
            <w:proofErr w:type="spellEnd"/>
            <w:r>
              <w:rPr>
                <w:rFonts w:ascii="Arial" w:hAnsi="Arial" w:cs="Arial"/>
                <w:lang w:val="it-CH"/>
              </w:rPr>
              <w:t>.</w:t>
            </w:r>
            <w:r w:rsidRPr="00EE3BBA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>Consigliabile pulitura a secco, (bisturi-micro sabbiatrice</w:t>
            </w:r>
            <w:r>
              <w:rPr>
                <w:rFonts w:ascii="Arial" w:hAnsi="Arial" w:cs="Arial"/>
                <w:lang w:val="it-CH"/>
              </w:rPr>
              <w:t>,</w:t>
            </w:r>
            <w:r w:rsidRPr="00EE3BBA">
              <w:rPr>
                <w:rFonts w:ascii="Arial" w:hAnsi="Arial" w:cs="Arial"/>
                <w:lang w:val="it-CH"/>
              </w:rPr>
              <w:t xml:space="preserve"> e</w:t>
            </w:r>
            <w:r>
              <w:rPr>
                <w:rFonts w:ascii="Arial" w:hAnsi="Arial" w:cs="Arial"/>
                <w:lang w:val="it-CH"/>
              </w:rPr>
              <w:t>c</w:t>
            </w:r>
            <w:r w:rsidRPr="00EE3BBA">
              <w:rPr>
                <w:rFonts w:ascii="Arial" w:hAnsi="Arial" w:cs="Arial"/>
                <w:lang w:val="it-CH"/>
              </w:rPr>
              <w:t xml:space="preserve">c.) trattamenti di </w:t>
            </w:r>
            <w:r w:rsidRPr="00EE3BBA">
              <w:rPr>
                <w:rFonts w:ascii="Arial" w:hAnsi="Arial" w:cs="Arial"/>
                <w:b/>
                <w:lang w:val="it-CH"/>
              </w:rPr>
              <w:t>acido tannico</w:t>
            </w:r>
            <w:r w:rsidRPr="00EE3BBA">
              <w:rPr>
                <w:rFonts w:ascii="Arial" w:hAnsi="Arial" w:cs="Arial"/>
                <w:lang w:val="it-CH"/>
              </w:rPr>
              <w:t xml:space="preserve">, evitare lavaggi che possono provocare ulteriori distacchi, consolidamento resina acrilica protezione superficiale resina acrilica e cere microcristalline.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>Quando non eseguiti i trattamenti immediati, anche a distanza di</w:t>
            </w:r>
            <w:r w:rsidRPr="00EE3BBA">
              <w:rPr>
                <w:rFonts w:ascii="Arial" w:hAnsi="Arial" w:cs="Arial"/>
                <w:b/>
                <w:lang w:val="it-CH"/>
              </w:rPr>
              <w:t xml:space="preserve"> meno di un anno </w:t>
            </w:r>
            <w:r w:rsidRPr="00EE3BBA">
              <w:rPr>
                <w:rFonts w:ascii="Arial" w:hAnsi="Arial" w:cs="Arial"/>
                <w:lang w:val="it-CH"/>
              </w:rPr>
              <w:t>(dato variabile)</w:t>
            </w:r>
            <w:r>
              <w:rPr>
                <w:rFonts w:ascii="Arial" w:hAnsi="Arial" w:cs="Arial"/>
                <w:lang w:val="it-CH"/>
              </w:rPr>
              <w:t>.</w:t>
            </w:r>
            <w:r w:rsidRPr="00EE3BBA">
              <w:rPr>
                <w:rFonts w:ascii="Arial" w:hAnsi="Arial" w:cs="Arial"/>
                <w:b/>
                <w:lang w:val="it-CH"/>
              </w:rPr>
              <w:t xml:space="preserve"> </w:t>
            </w:r>
          </w:p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 xml:space="preserve">Controllo, verifica e </w:t>
            </w:r>
          </w:p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b/>
                <w:lang w:val="it-CH"/>
              </w:rPr>
              <w:t>minimo intervento di conservazione</w:t>
            </w:r>
            <w:r>
              <w:rPr>
                <w:rFonts w:ascii="Arial" w:hAnsi="Arial" w:cs="Arial"/>
                <w:b/>
                <w:lang w:val="it-CH"/>
              </w:rPr>
              <w:t>.</w:t>
            </w:r>
            <w:r w:rsidRPr="00EE3BBA">
              <w:rPr>
                <w:rFonts w:ascii="Arial" w:hAnsi="Arial" w:cs="Arial"/>
                <w:lang w:val="it-CH"/>
              </w:rPr>
              <w:t xml:space="preserve"> </w:t>
            </w:r>
          </w:p>
        </w:tc>
      </w:tr>
      <w:tr w:rsidR="000438D1" w:rsidRPr="00EE3BBA" w:rsidTr="00512100">
        <w:trPr>
          <w:trHeight w:val="3552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 xml:space="preserve">3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 xml:space="preserve">Pessime condizioni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 xml:space="preserve">Oggetto quasi totalmente mineralizzato, spesso con deformazione e perdita della superficie, frequentemente con scaglie distaccate in quantità considerevole. Se ne conserva la riconoscibilità della forma originale solo parzialmente.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>Oltre ai trattamenti precedenti occorre effettuare la ricerca di attacchi e la ricomposizione dell</w:t>
            </w:r>
            <w:r>
              <w:rPr>
                <w:rFonts w:ascii="Arial" w:hAnsi="Arial" w:cs="Arial"/>
                <w:lang w:val="it-CH"/>
              </w:rPr>
              <w:t>'</w:t>
            </w:r>
            <w:r w:rsidRPr="00EE3BBA">
              <w:rPr>
                <w:rFonts w:ascii="Arial" w:hAnsi="Arial" w:cs="Arial"/>
                <w:lang w:val="it-CH"/>
              </w:rPr>
              <w:t xml:space="preserve">oggetto. Diventa un intervento di restauro.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Default="000438D1" w:rsidP="00512100">
            <w:pPr>
              <w:ind w:right="130"/>
              <w:rPr>
                <w:rFonts w:ascii="Arial" w:hAnsi="Arial" w:cs="Arial"/>
                <w:b/>
                <w:lang w:val="it-CH"/>
              </w:rPr>
            </w:pPr>
            <w:r w:rsidRPr="00EE3BBA">
              <w:rPr>
                <w:rFonts w:ascii="Arial" w:hAnsi="Arial" w:cs="Arial"/>
                <w:lang w:val="it-CH"/>
              </w:rPr>
              <w:t>Quando non eseguiti i trattamenti immediati</w:t>
            </w:r>
            <w:r>
              <w:rPr>
                <w:rFonts w:ascii="Arial" w:hAnsi="Arial" w:cs="Arial"/>
                <w:lang w:val="it-CH"/>
              </w:rPr>
              <w:t>.</w:t>
            </w:r>
          </w:p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b/>
                <w:lang w:val="it-CH"/>
              </w:rPr>
              <w:t>Oggetti rinvenuti da più di un anno</w:t>
            </w:r>
            <w:r>
              <w:rPr>
                <w:rFonts w:ascii="Arial" w:hAnsi="Arial" w:cs="Arial"/>
                <w:b/>
                <w:lang w:val="it-CH"/>
              </w:rPr>
              <w:t>.</w:t>
            </w:r>
            <w:r w:rsidRPr="00EE3BBA">
              <w:rPr>
                <w:rFonts w:ascii="Arial" w:hAnsi="Arial" w:cs="Arial"/>
                <w:b/>
                <w:lang w:val="it-CH"/>
              </w:rPr>
              <w:t xml:space="preserve"> </w:t>
            </w:r>
          </w:p>
          <w:p w:rsidR="000438D1" w:rsidRPr="00EE3BBA" w:rsidRDefault="000438D1" w:rsidP="00512100">
            <w:pPr>
              <w:ind w:right="13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b/>
                <w:lang w:val="it-CH"/>
              </w:rPr>
              <w:t>Intervento di restauro</w:t>
            </w:r>
            <w:r>
              <w:rPr>
                <w:rFonts w:ascii="Arial" w:hAnsi="Arial" w:cs="Arial"/>
                <w:b/>
                <w:lang w:val="it-CH"/>
              </w:rPr>
              <w:t>.</w:t>
            </w:r>
            <w:r w:rsidRPr="00EE3BBA">
              <w:rPr>
                <w:rFonts w:ascii="Arial" w:hAnsi="Arial" w:cs="Arial"/>
                <w:b/>
                <w:lang w:val="it-CH"/>
              </w:rPr>
              <w:t xml:space="preserve"> </w:t>
            </w:r>
          </w:p>
        </w:tc>
      </w:tr>
      <w:tr w:rsidR="000438D1" w:rsidRPr="007D77B1" w:rsidTr="00512100">
        <w:trPr>
          <w:trHeight w:val="84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spacing w:before="120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b/>
                <w:lang w:val="it-CH"/>
              </w:rPr>
              <w:t xml:space="preserve">4 </w:t>
            </w:r>
          </w:p>
        </w:tc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D1" w:rsidRPr="00EE3BBA" w:rsidRDefault="000438D1" w:rsidP="00512100">
            <w:pPr>
              <w:spacing w:before="120"/>
              <w:ind w:right="130"/>
              <w:jc w:val="both"/>
              <w:rPr>
                <w:rFonts w:ascii="Arial" w:hAnsi="Arial" w:cs="Arial"/>
                <w:lang w:val="it-CH"/>
              </w:rPr>
            </w:pPr>
            <w:r w:rsidRPr="00EE3BBA">
              <w:rPr>
                <w:rFonts w:ascii="Arial" w:hAnsi="Arial" w:cs="Arial"/>
                <w:b/>
                <w:lang w:val="it-CH"/>
              </w:rPr>
              <w:t>Perdita dell</w:t>
            </w:r>
            <w:r>
              <w:rPr>
                <w:rFonts w:ascii="Arial" w:hAnsi="Arial" w:cs="Arial"/>
                <w:b/>
                <w:lang w:val="it-CH"/>
              </w:rPr>
              <w:t>'</w:t>
            </w:r>
            <w:r w:rsidRPr="00EE3BBA">
              <w:rPr>
                <w:rFonts w:ascii="Arial" w:hAnsi="Arial" w:cs="Arial"/>
                <w:b/>
                <w:lang w:val="it-CH"/>
              </w:rPr>
              <w:t>oggetto per impossibilità di ricomposizione degli elementi distaccati dovuti all</w:t>
            </w:r>
            <w:r>
              <w:rPr>
                <w:rFonts w:ascii="Arial" w:hAnsi="Arial" w:cs="Arial"/>
                <w:b/>
                <w:lang w:val="it-CH"/>
              </w:rPr>
              <w:t>'</w:t>
            </w:r>
            <w:r w:rsidRPr="00EE3BBA">
              <w:rPr>
                <w:rFonts w:ascii="Arial" w:hAnsi="Arial" w:cs="Arial"/>
                <w:b/>
                <w:lang w:val="it-CH"/>
              </w:rPr>
              <w:t xml:space="preserve">evoluzione dei processi corrosivi attivi. </w:t>
            </w:r>
          </w:p>
        </w:tc>
      </w:tr>
    </w:tbl>
    <w:p w:rsidR="000438D1" w:rsidRPr="00EE3BBA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438D1" w:rsidRPr="00EE3BBA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>Il Consiglio di Stato cita c</w:t>
      </w:r>
      <w:r>
        <w:rPr>
          <w:rFonts w:ascii="Arial" w:hAnsi="Arial" w:cs="Arial"/>
          <w:sz w:val="23"/>
          <w:szCs w:val="23"/>
          <w:lang w:val="it-CH"/>
        </w:rPr>
        <w:t>irca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 2.3 milioni netti (a </w:t>
      </w:r>
      <w:r>
        <w:rPr>
          <w:rFonts w:ascii="Arial" w:hAnsi="Arial" w:cs="Arial"/>
          <w:sz w:val="23"/>
          <w:szCs w:val="23"/>
          <w:lang w:val="it-CH"/>
        </w:rPr>
        <w:t>c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onsuntivo 2017) di investimenti nel settore del restauro senza però confrontarsi in modo trasparente ed esaustivo col tema </w:t>
      </w:r>
      <w:r w:rsidRPr="00EE3BBA">
        <w:rPr>
          <w:rFonts w:ascii="Arial" w:hAnsi="Arial" w:cs="Arial"/>
          <w:sz w:val="23"/>
          <w:szCs w:val="23"/>
          <w:lang w:val="it-CH"/>
        </w:rPr>
        <w:lastRenderedPageBreak/>
        <w:t>dell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EE3BBA">
        <w:rPr>
          <w:rFonts w:ascii="Arial" w:hAnsi="Arial" w:cs="Arial"/>
          <w:sz w:val="23"/>
          <w:szCs w:val="23"/>
          <w:lang w:val="it-CH"/>
        </w:rPr>
        <w:t>Interrogazione precedente. Infatti, tale cifra è quella spesa per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EE3BBA">
        <w:rPr>
          <w:rFonts w:ascii="Arial" w:hAnsi="Arial" w:cs="Arial"/>
          <w:sz w:val="23"/>
          <w:szCs w:val="23"/>
          <w:lang w:val="it-CH"/>
        </w:rPr>
        <w:t>insieme dei restauri (comprese quindi chiese, dipinti, …) senza indicare quale sia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investimento preciso o in percentuale per il restauro archeologico (ritenuto a quanto pare marginale). Quindi si chiede che il Governo approfondisca e fornisca chiare e complete risposte quando dovrà trattare la presente mozione. </w:t>
      </w:r>
    </w:p>
    <w:p w:rsidR="000438D1" w:rsidRPr="002A596E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>Il Governo sostiene infine che il Servizio archeologico e dei Beni culturali abbia ricevuto sempre una dotazione (in risorse umane e finanziarie) per far fronte ai propri investimenti e, diremmo noi, ai propri doveri secondo le leggi in vigore. Si rammenta che per legge, ogni reperto rinvenuto è di proprietà del Cantone e deve venir documentato, catalogato, conservato e/o restaurato e infine depositato presso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Ufficio dei beni culturali. Quindi si tratta di un obbligo legale e non di una opzione a discrezione del Dipartimento. </w:t>
      </w:r>
    </w:p>
    <w:p w:rsidR="000438D1" w:rsidRPr="00EE3BBA" w:rsidRDefault="000438D1" w:rsidP="000438D1">
      <w:pPr>
        <w:spacing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>Orbene secondo le pubblicazioni sopra richiamate, gli stessi responsabili del Servizio archeologico ripetono da tempo altro, ovvero che vi è una cronica penuria di personale specializzato, la mancanza di una istituzione museale cantonale. Fatti che fanno sì che alcuni restauri debbono essere demandati fuori Cantone a costi maggiori e lunghi tempi di attesa per rapporto a quelli che vi sarebbero se fatti in Ticino. La collezione archeologica del Cantone Ticino conta oggi circa 30'000 reperti. Di che riempire un Museo ticinese e invece si legge che alcuni di questi, e per le mancanze di risorse citate, hanno dovuto essere venduti a Musei svizzeri ed europei (sic!) per essere conservati ed esposti. Forse che “prima i nostri” vale solo per le persone e non anche per il “nostro” patrimonio storico culturale?</w:t>
      </w:r>
    </w:p>
    <w:p w:rsidR="000438D1" w:rsidRDefault="000438D1" w:rsidP="000438D1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>Per le ragioni sopra esposte e quelle già indicate nell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interrogazione precedente, considerato che i motivi legati alla situazione finanziaria del Cantone non possono essere usate come pretesto o a geometria variabile per spendere solo dove si vuole, </w:t>
      </w:r>
      <w:r w:rsidRPr="00D035CF">
        <w:rPr>
          <w:rFonts w:ascii="Arial" w:hAnsi="Arial" w:cs="Arial"/>
          <w:b/>
          <w:sz w:val="23"/>
          <w:szCs w:val="23"/>
          <w:lang w:val="it-CH"/>
        </w:rPr>
        <w:t>si chiede al Governo</w:t>
      </w:r>
    </w:p>
    <w:p w:rsidR="000438D1" w:rsidRDefault="000438D1" w:rsidP="000438D1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</w:p>
    <w:p w:rsidR="000438D1" w:rsidRPr="00EE3BBA" w:rsidRDefault="000438D1" w:rsidP="000438D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CH"/>
        </w:rPr>
      </w:pPr>
      <w:r w:rsidRPr="00D035CF">
        <w:rPr>
          <w:rFonts w:ascii="Arial" w:hAnsi="Arial" w:cs="Arial"/>
          <w:sz w:val="23"/>
          <w:szCs w:val="23"/>
          <w:lang w:val="it-CH"/>
        </w:rPr>
        <w:t xml:space="preserve">- </w:t>
      </w:r>
      <w:r>
        <w:rPr>
          <w:rFonts w:ascii="Arial" w:hAnsi="Arial" w:cs="Arial"/>
          <w:sz w:val="23"/>
          <w:szCs w:val="23"/>
          <w:lang w:val="it-CH"/>
        </w:rPr>
        <w:tab/>
      </w:r>
      <w:r w:rsidRPr="00EE3BBA">
        <w:rPr>
          <w:rFonts w:ascii="Arial" w:hAnsi="Arial" w:cs="Arial"/>
          <w:sz w:val="23"/>
          <w:szCs w:val="23"/>
          <w:lang w:val="it-CH"/>
        </w:rPr>
        <w:t>che abbia al più presto ad adottare e finanziare quanto necessario per risolvere da subito il problema della perdita definitiva del 30% dei reperti archeologici in ferro ed indichi chiaramente quali sono i mezzi finanziari e le risorse umane necessarie per assolvere ai compiti legali in materia archeologica secondo le linee guida e le intenzioni reali del Governo circa la futura politica di conservazione e promozione del patrimonio archeologico ticinese. Ciò tenuto conto anche che i costi (che il Governo si auspica indicherà) per i restauri fatti fare fuori Cantone potrebbero essere meglio spesi in Ticino. Al Governo si chiederà anche che spieghi a quanto ammontano i costi che il Cantone si assume quando per mancanza di sufficiente dotazione di personale presso il Servizio archeologico cantonale deve rivolgersi a terzi esterni.</w:t>
      </w:r>
    </w:p>
    <w:p w:rsidR="000438D1" w:rsidRDefault="000438D1" w:rsidP="000438D1">
      <w:pPr>
        <w:spacing w:after="0" w:line="240" w:lineRule="auto"/>
        <w:rPr>
          <w:rFonts w:ascii="Arial" w:hAnsi="Arial" w:cs="Arial"/>
          <w:b/>
          <w:sz w:val="23"/>
          <w:szCs w:val="23"/>
          <w:lang w:val="it-CH"/>
        </w:rPr>
      </w:pPr>
    </w:p>
    <w:p w:rsidR="000438D1" w:rsidRPr="00EE3BBA" w:rsidRDefault="000438D1" w:rsidP="000438D1">
      <w:pPr>
        <w:spacing w:after="0" w:line="240" w:lineRule="auto"/>
        <w:rPr>
          <w:rFonts w:ascii="Arial" w:hAnsi="Arial" w:cs="Arial"/>
          <w:b/>
          <w:sz w:val="23"/>
          <w:szCs w:val="23"/>
          <w:lang w:val="it-CH"/>
        </w:rPr>
      </w:pPr>
    </w:p>
    <w:p w:rsidR="000438D1" w:rsidRPr="00EE3BBA" w:rsidRDefault="000438D1" w:rsidP="000438D1">
      <w:pPr>
        <w:spacing w:after="0" w:line="240" w:lineRule="auto"/>
        <w:rPr>
          <w:rFonts w:ascii="Arial" w:hAnsi="Arial" w:cs="Arial"/>
          <w:b/>
          <w:sz w:val="23"/>
          <w:szCs w:val="23"/>
          <w:lang w:val="it-CH"/>
        </w:rPr>
      </w:pPr>
      <w:r w:rsidRPr="002A596E">
        <w:rPr>
          <w:rFonts w:ascii="Arial" w:hAnsi="Arial" w:cs="Arial"/>
          <w:sz w:val="23"/>
          <w:szCs w:val="23"/>
          <w:lang w:val="it-CH"/>
        </w:rPr>
        <w:t>Matteo Quadranti</w:t>
      </w:r>
    </w:p>
    <w:p w:rsidR="000438D1" w:rsidRDefault="000438D1" w:rsidP="000438D1">
      <w:pPr>
        <w:spacing w:after="0" w:line="240" w:lineRule="auto"/>
        <w:rPr>
          <w:rFonts w:ascii="Arial" w:hAnsi="Arial" w:cs="Arial"/>
          <w:i/>
          <w:sz w:val="23"/>
          <w:szCs w:val="23"/>
          <w:lang w:val="it-CH"/>
        </w:rPr>
      </w:pPr>
      <w:proofErr w:type="spellStart"/>
      <w:r w:rsidRPr="00EE3BBA">
        <w:rPr>
          <w:rFonts w:ascii="Arial" w:hAnsi="Arial" w:cs="Arial"/>
          <w:sz w:val="23"/>
          <w:szCs w:val="23"/>
          <w:lang w:val="it-CH"/>
        </w:rPr>
        <w:t>Ay</w:t>
      </w:r>
      <w:proofErr w:type="spellEnd"/>
      <w:r w:rsidRPr="00EE3BBA">
        <w:rPr>
          <w:rFonts w:ascii="Arial" w:hAnsi="Arial" w:cs="Arial"/>
          <w:sz w:val="23"/>
          <w:szCs w:val="23"/>
          <w:lang w:val="it-CH"/>
        </w:rPr>
        <w:t xml:space="preserve"> </w:t>
      </w:r>
      <w:r>
        <w:rPr>
          <w:rFonts w:ascii="Arial" w:hAnsi="Arial" w:cs="Arial"/>
          <w:sz w:val="23"/>
          <w:szCs w:val="23"/>
          <w:lang w:val="it-CH"/>
        </w:rPr>
        <w:t xml:space="preserve">- 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Beretta Piccoli </w:t>
      </w:r>
      <w:r>
        <w:rPr>
          <w:rFonts w:ascii="Arial" w:hAnsi="Arial" w:cs="Arial"/>
          <w:sz w:val="23"/>
          <w:szCs w:val="23"/>
          <w:lang w:val="it-CH"/>
        </w:rPr>
        <w:t xml:space="preserve">- </w:t>
      </w:r>
      <w:r w:rsidRPr="00EE3BBA">
        <w:rPr>
          <w:rFonts w:ascii="Arial" w:hAnsi="Arial" w:cs="Arial"/>
          <w:sz w:val="23"/>
          <w:szCs w:val="23"/>
          <w:lang w:val="it-CH"/>
        </w:rPr>
        <w:t>Celio</w:t>
      </w:r>
      <w:r w:rsidRPr="00EE3BBA">
        <w:rPr>
          <w:rFonts w:ascii="Arial" w:hAnsi="Arial" w:cs="Arial"/>
          <w:i/>
          <w:sz w:val="23"/>
          <w:szCs w:val="23"/>
          <w:lang w:val="it-CH"/>
        </w:rPr>
        <w:t xml:space="preserve"> </w:t>
      </w:r>
    </w:p>
    <w:p w:rsidR="000438D1" w:rsidRDefault="000438D1" w:rsidP="000438D1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 w:rsidRPr="00EE3BBA">
        <w:rPr>
          <w:rFonts w:ascii="Arial" w:hAnsi="Arial" w:cs="Arial"/>
          <w:sz w:val="23"/>
          <w:szCs w:val="23"/>
          <w:lang w:val="it-CH"/>
        </w:rPr>
        <w:t>Mattei</w:t>
      </w:r>
      <w:r w:rsidRPr="00EE3BBA">
        <w:rPr>
          <w:rFonts w:ascii="Arial" w:hAnsi="Arial" w:cs="Arial"/>
          <w:i/>
          <w:sz w:val="23"/>
          <w:szCs w:val="23"/>
          <w:lang w:val="it-CH"/>
        </w:rPr>
        <w:t xml:space="preserve"> </w:t>
      </w:r>
      <w:r>
        <w:rPr>
          <w:rFonts w:ascii="Arial" w:hAnsi="Arial" w:cs="Arial"/>
          <w:sz w:val="23"/>
          <w:szCs w:val="23"/>
          <w:lang w:val="it-CH"/>
        </w:rPr>
        <w:t xml:space="preserve">- </w:t>
      </w:r>
      <w:r w:rsidRPr="00EE3BBA">
        <w:rPr>
          <w:rFonts w:ascii="Arial" w:hAnsi="Arial" w:cs="Arial"/>
          <w:sz w:val="23"/>
          <w:szCs w:val="23"/>
          <w:lang w:val="it-CH"/>
        </w:rPr>
        <w:t>Pagnamenta</w:t>
      </w:r>
      <w:r w:rsidRPr="00EE3BBA">
        <w:rPr>
          <w:rFonts w:ascii="Arial" w:hAnsi="Arial" w:cs="Arial"/>
          <w:i/>
          <w:sz w:val="23"/>
          <w:szCs w:val="23"/>
          <w:lang w:val="it-CH"/>
        </w:rPr>
        <w:t xml:space="preserve"> </w:t>
      </w:r>
      <w:r>
        <w:rPr>
          <w:rFonts w:ascii="Arial" w:hAnsi="Arial" w:cs="Arial"/>
          <w:sz w:val="23"/>
          <w:szCs w:val="23"/>
          <w:lang w:val="it-CH"/>
        </w:rPr>
        <w:t xml:space="preserve">- </w:t>
      </w:r>
      <w:r w:rsidRPr="00EE3BBA">
        <w:rPr>
          <w:rFonts w:ascii="Arial" w:hAnsi="Arial" w:cs="Arial"/>
          <w:sz w:val="23"/>
          <w:szCs w:val="23"/>
          <w:lang w:val="it-CH"/>
        </w:rPr>
        <w:t xml:space="preserve">Pini </w:t>
      </w:r>
    </w:p>
    <w:p w:rsidR="000438D1" w:rsidRDefault="000438D1" w:rsidP="000438D1">
      <w:pPr>
        <w:tabs>
          <w:tab w:val="left" w:pos="-4820"/>
          <w:tab w:val="left" w:pos="-3686"/>
          <w:tab w:val="left" w:pos="426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3F6F03" w:rsidRPr="000438D1" w:rsidRDefault="003F6F03" w:rsidP="000438D1">
      <w:bookmarkStart w:id="0" w:name="_GoBack"/>
      <w:bookmarkEnd w:id="0"/>
    </w:p>
    <w:sectPr w:rsidR="003F6F03" w:rsidRPr="000438D1" w:rsidSect="004E28CF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B2" w:rsidRDefault="007C55B2" w:rsidP="004E28CF">
      <w:pPr>
        <w:spacing w:after="0" w:line="240" w:lineRule="auto"/>
      </w:pPr>
      <w:r>
        <w:separator/>
      </w:r>
    </w:p>
  </w:endnote>
  <w:endnote w:type="continuationSeparator" w:id="0">
    <w:p w:rsidR="007C55B2" w:rsidRDefault="007C55B2" w:rsidP="004E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愀渀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B2" w:rsidRDefault="007C55B2" w:rsidP="004E28CF">
      <w:pPr>
        <w:spacing w:after="0" w:line="240" w:lineRule="auto"/>
      </w:pPr>
      <w:r>
        <w:separator/>
      </w:r>
    </w:p>
  </w:footnote>
  <w:footnote w:type="continuationSeparator" w:id="0">
    <w:p w:rsidR="007C55B2" w:rsidRDefault="007C55B2" w:rsidP="004E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F55"/>
    <w:multiLevelType w:val="hybridMultilevel"/>
    <w:tmpl w:val="E52666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9E"/>
    <w:rsid w:val="000438D1"/>
    <w:rsid w:val="000D20D1"/>
    <w:rsid w:val="00213C28"/>
    <w:rsid w:val="003F6F03"/>
    <w:rsid w:val="004E28CF"/>
    <w:rsid w:val="007C55B2"/>
    <w:rsid w:val="00C80590"/>
    <w:rsid w:val="00D169E5"/>
    <w:rsid w:val="00D2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F9E"/>
    <w:rPr>
      <w:rFonts w:ascii="Calibri" w:eastAsia="Calibri" w:hAnsi="Calibri" w:cs="Times New Roman"/>
      <w:lang w:val="de-CH"/>
    </w:rPr>
  </w:style>
  <w:style w:type="paragraph" w:styleId="Titolo1">
    <w:name w:val="heading 1"/>
    <w:aliases w:val="H Titolo 1"/>
    <w:basedOn w:val="Normale"/>
    <w:next w:val="Normale"/>
    <w:link w:val="Titolo1Carattere"/>
    <w:uiPriority w:val="1"/>
    <w:qFormat/>
    <w:rsid w:val="004E28CF"/>
    <w:pPr>
      <w:widowControl w:val="0"/>
      <w:autoSpaceDE w:val="0"/>
      <w:autoSpaceDN w:val="0"/>
      <w:adjustRightInd w:val="0"/>
      <w:spacing w:after="0" w:line="240" w:lineRule="auto"/>
      <w:ind w:left="682" w:hanging="568"/>
      <w:outlineLvl w:val="0"/>
    </w:pPr>
    <w:rPr>
      <w:rFonts w:ascii="Cambria" w:eastAsia="Times New Rom愀渀" w:hAnsi="Cambria"/>
      <w:b/>
      <w:bCs/>
      <w:kern w:val="32"/>
      <w:sz w:val="32"/>
      <w:szCs w:val="3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 Titolo 1 Carattere"/>
    <w:basedOn w:val="Carpredefinitoparagrafo"/>
    <w:link w:val="Titolo1"/>
    <w:uiPriority w:val="1"/>
    <w:rsid w:val="004E28CF"/>
    <w:rPr>
      <w:rFonts w:ascii="Cambria" w:eastAsia="Times New Rom愀渀" w:hAnsi="Cambria" w:cs="Times New Roman"/>
      <w:b/>
      <w:bCs/>
      <w:kern w:val="32"/>
      <w:sz w:val="32"/>
      <w:szCs w:val="32"/>
    </w:rPr>
  </w:style>
  <w:style w:type="character" w:styleId="Rimandonotaapidipagina">
    <w:name w:val="footnote reference"/>
    <w:basedOn w:val="Carpredefinitoparagrafo"/>
    <w:uiPriority w:val="99"/>
    <w:unhideWhenUsed/>
    <w:rsid w:val="004E28CF"/>
  </w:style>
  <w:style w:type="character" w:styleId="Collegamentoipertestuale">
    <w:name w:val="Hyperlink"/>
    <w:uiPriority w:val="99"/>
    <w:rsid w:val="000438D1"/>
    <w:rPr>
      <w:color w:val="0000FF"/>
      <w:u w:val="single"/>
    </w:rPr>
  </w:style>
  <w:style w:type="table" w:customStyle="1" w:styleId="TableGrid">
    <w:name w:val="TableGrid"/>
    <w:rsid w:val="000438D1"/>
    <w:pPr>
      <w:spacing w:after="0" w:line="240" w:lineRule="auto"/>
    </w:pPr>
    <w:rPr>
      <w:rFonts w:eastAsiaTheme="minorEastAsia"/>
      <w:lang w:eastAsia="it-C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F9E"/>
    <w:rPr>
      <w:rFonts w:ascii="Calibri" w:eastAsia="Calibri" w:hAnsi="Calibri" w:cs="Times New Roman"/>
      <w:lang w:val="de-CH"/>
    </w:rPr>
  </w:style>
  <w:style w:type="paragraph" w:styleId="Titolo1">
    <w:name w:val="heading 1"/>
    <w:aliases w:val="H Titolo 1"/>
    <w:basedOn w:val="Normale"/>
    <w:next w:val="Normale"/>
    <w:link w:val="Titolo1Carattere"/>
    <w:uiPriority w:val="1"/>
    <w:qFormat/>
    <w:rsid w:val="004E28CF"/>
    <w:pPr>
      <w:widowControl w:val="0"/>
      <w:autoSpaceDE w:val="0"/>
      <w:autoSpaceDN w:val="0"/>
      <w:adjustRightInd w:val="0"/>
      <w:spacing w:after="0" w:line="240" w:lineRule="auto"/>
      <w:ind w:left="682" w:hanging="568"/>
      <w:outlineLvl w:val="0"/>
    </w:pPr>
    <w:rPr>
      <w:rFonts w:ascii="Cambria" w:eastAsia="Times New Rom愀渀" w:hAnsi="Cambria"/>
      <w:b/>
      <w:bCs/>
      <w:kern w:val="32"/>
      <w:sz w:val="32"/>
      <w:szCs w:val="3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 Titolo 1 Carattere"/>
    <w:basedOn w:val="Carpredefinitoparagrafo"/>
    <w:link w:val="Titolo1"/>
    <w:uiPriority w:val="1"/>
    <w:rsid w:val="004E28CF"/>
    <w:rPr>
      <w:rFonts w:ascii="Cambria" w:eastAsia="Times New Rom愀渀" w:hAnsi="Cambria" w:cs="Times New Roman"/>
      <w:b/>
      <w:bCs/>
      <w:kern w:val="32"/>
      <w:sz w:val="32"/>
      <w:szCs w:val="32"/>
    </w:rPr>
  </w:style>
  <w:style w:type="character" w:styleId="Rimandonotaapidipagina">
    <w:name w:val="footnote reference"/>
    <w:basedOn w:val="Carpredefinitoparagrafo"/>
    <w:uiPriority w:val="99"/>
    <w:unhideWhenUsed/>
    <w:rsid w:val="004E28CF"/>
  </w:style>
  <w:style w:type="character" w:styleId="Collegamentoipertestuale">
    <w:name w:val="Hyperlink"/>
    <w:uiPriority w:val="99"/>
    <w:rsid w:val="000438D1"/>
    <w:rPr>
      <w:color w:val="0000FF"/>
      <w:u w:val="single"/>
    </w:rPr>
  </w:style>
  <w:style w:type="table" w:customStyle="1" w:styleId="TableGrid">
    <w:name w:val="TableGrid"/>
    <w:rsid w:val="000438D1"/>
    <w:pPr>
      <w:spacing w:after="0" w:line="240" w:lineRule="auto"/>
    </w:pPr>
    <w:rPr>
      <w:rFonts w:eastAsiaTheme="minorEastAsia"/>
      <w:lang w:eastAsia="it-C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ti.ch/poteri/gc/messaggi-e-atti/ricerca/risultati/dettaglio/?user_gcparlamento_pi8%5Battid%5D=95933&amp;user_gcparlamento_pi8%5bricerca%5d=11.18&amp;user_gcparlamento_pi8%5btat109%5d=1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3.ti.ch/DFE/DR/USTAT/allegati/articolo/1281dss_2006-1_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ti.ch/DFE/DR/USTAT/allegati/articolo/1281dss_2006-1_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2018-06-22T12:16:00Z</cp:lastPrinted>
  <dcterms:created xsi:type="dcterms:W3CDTF">2018-06-22T12:17:00Z</dcterms:created>
  <dcterms:modified xsi:type="dcterms:W3CDTF">2018-06-22T12:17:00Z</dcterms:modified>
</cp:coreProperties>
</file>