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A86161">
      <w:r w:rsidRPr="00352F1A">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AC4EEC">
      <w:pPr>
        <w:tabs>
          <w:tab w:val="left" w:pos="2098"/>
          <w:tab w:val="left" w:pos="4933"/>
        </w:tabs>
      </w:pPr>
      <w:r>
        <w:rPr>
          <w:b/>
          <w:sz w:val="32"/>
        </w:rPr>
        <w:t>7603</w:t>
      </w:r>
      <w:r w:rsidR="00BF3FC3">
        <w:rPr>
          <w:sz w:val="28"/>
        </w:rPr>
        <w:tab/>
      </w:r>
      <w:r>
        <w:rPr>
          <w:sz w:val="28"/>
        </w:rPr>
        <w:t>27 novembre 2018</w:t>
      </w:r>
      <w:r w:rsidR="00BF3FC3">
        <w:rPr>
          <w:sz w:val="28"/>
        </w:rPr>
        <w:tab/>
      </w:r>
      <w:r w:rsidR="001402AF">
        <w:rPr>
          <w:sz w:val="28"/>
        </w:rPr>
        <w:t>TERRITORIO</w:t>
      </w:r>
    </w:p>
    <w:p w:rsidR="00BF3FC3" w:rsidRDefault="00BF3FC3"/>
    <w:p w:rsidR="00FD5A47" w:rsidRDefault="00FD5A47"/>
    <w:p w:rsidR="00BF3FC3" w:rsidRDefault="00BF3FC3"/>
    <w:p w:rsidR="001402AF" w:rsidRPr="00152370" w:rsidRDefault="001402AF" w:rsidP="001402AF">
      <w:pPr>
        <w:rPr>
          <w:b/>
          <w:bCs/>
          <w:sz w:val="28"/>
          <w:lang w:val="it-CH"/>
        </w:rPr>
      </w:pPr>
      <w:r>
        <w:rPr>
          <w:b/>
          <w:bCs/>
          <w:sz w:val="28"/>
          <w:lang w:val="it-CH"/>
        </w:rPr>
        <w:t>Rapporto del Consiglio di Stato sull’iniziativa parlamentare 16 ottobre 2018 presentata nella forma generica da Cleto Ferrari e Gabriele Pinoja per l’abolizione della tassa di collegamento (TC)</w:t>
      </w:r>
    </w:p>
    <w:p w:rsidR="00BF3FC3" w:rsidRDefault="00BF3FC3"/>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Default="00FD5A47"/>
    <w:p w:rsidR="001402AF" w:rsidRDefault="001402AF" w:rsidP="001402AF">
      <w:pPr>
        <w:rPr>
          <w:szCs w:val="24"/>
          <w:lang w:val="it-CH"/>
        </w:rPr>
      </w:pPr>
      <w:r>
        <w:rPr>
          <w:szCs w:val="24"/>
          <w:lang w:val="it-CH"/>
        </w:rPr>
        <w:t>richiamato l’art. 103 cpv. 2 della l</w:t>
      </w:r>
      <w:r w:rsidRPr="00364333">
        <w:rPr>
          <w:szCs w:val="24"/>
          <w:lang w:val="it-CH"/>
        </w:rPr>
        <w:t>egge sul Gran Consiglio e sui rapporti con il Consiglio di Stato (LGC)</w:t>
      </w:r>
      <w:r>
        <w:rPr>
          <w:szCs w:val="24"/>
          <w:lang w:val="it-CH"/>
        </w:rPr>
        <w:t>,</w:t>
      </w:r>
      <w:r w:rsidRPr="00364333">
        <w:rPr>
          <w:szCs w:val="24"/>
          <w:lang w:val="it-CH"/>
        </w:rPr>
        <w:t xml:space="preserve"> </w:t>
      </w:r>
      <w:r w:rsidRPr="00152370">
        <w:rPr>
          <w:szCs w:val="24"/>
          <w:lang w:val="it-CH"/>
        </w:rPr>
        <w:t xml:space="preserve">con il presente messaggio il Consiglio di Stato </w:t>
      </w:r>
      <w:r>
        <w:rPr>
          <w:szCs w:val="24"/>
          <w:lang w:val="it-CH"/>
        </w:rPr>
        <w:t>si esprime sull’iniziativa</w:t>
      </w:r>
      <w:r w:rsidRPr="00152370">
        <w:rPr>
          <w:szCs w:val="24"/>
          <w:lang w:val="it-CH"/>
        </w:rPr>
        <w:t xml:space="preserve"> </w:t>
      </w:r>
      <w:r w:rsidRPr="00364333">
        <w:rPr>
          <w:szCs w:val="24"/>
          <w:lang w:val="it-CH"/>
        </w:rPr>
        <w:t xml:space="preserve">parlamentare generica per l’abolizione della tassa di collegamento </w:t>
      </w:r>
      <w:r>
        <w:rPr>
          <w:szCs w:val="24"/>
          <w:lang w:val="it-CH"/>
        </w:rPr>
        <w:t>presentata il</w:t>
      </w:r>
      <w:r w:rsidRPr="00364333">
        <w:rPr>
          <w:szCs w:val="24"/>
          <w:lang w:val="it-CH"/>
        </w:rPr>
        <w:t xml:space="preserve"> 16 ottobre 2018</w:t>
      </w:r>
      <w:r>
        <w:rPr>
          <w:szCs w:val="24"/>
          <w:lang w:val="it-CH"/>
        </w:rPr>
        <w:t xml:space="preserve"> da Cleto Ferrari e Gabriele Pinoja. </w:t>
      </w:r>
    </w:p>
    <w:p w:rsidR="001402AF" w:rsidRDefault="001402AF" w:rsidP="001402AF">
      <w:pPr>
        <w:rPr>
          <w:szCs w:val="24"/>
          <w:lang w:val="it-CH"/>
        </w:rPr>
      </w:pPr>
    </w:p>
    <w:p w:rsidR="001402AF" w:rsidRDefault="001402AF" w:rsidP="001402AF">
      <w:pPr>
        <w:rPr>
          <w:szCs w:val="24"/>
          <w:lang w:val="it-CH"/>
        </w:rPr>
      </w:pPr>
      <w:r>
        <w:rPr>
          <w:szCs w:val="24"/>
          <w:lang w:val="it-CH"/>
        </w:rPr>
        <w:t xml:space="preserve">L’iniziativa postula l’abrogazione delle </w:t>
      </w:r>
      <w:r w:rsidRPr="007711D2">
        <w:rPr>
          <w:szCs w:val="24"/>
          <w:lang w:val="it-CH"/>
        </w:rPr>
        <w:t>modifiche 14 dicembre 2015 della leg</w:t>
      </w:r>
      <w:r>
        <w:rPr>
          <w:szCs w:val="24"/>
          <w:lang w:val="it-CH"/>
        </w:rPr>
        <w:t>ge sui trasporti pubblici</w:t>
      </w:r>
      <w:r w:rsidRPr="00DB4C4F">
        <w:t xml:space="preserve"> </w:t>
      </w:r>
      <w:r w:rsidRPr="00DB4C4F">
        <w:rPr>
          <w:szCs w:val="24"/>
          <w:lang w:val="it-CH"/>
        </w:rPr>
        <w:t>(</w:t>
      </w:r>
      <w:proofErr w:type="spellStart"/>
      <w:r w:rsidRPr="00DB4C4F">
        <w:rPr>
          <w:szCs w:val="24"/>
          <w:lang w:val="it-CH"/>
        </w:rPr>
        <w:t>LTPub</w:t>
      </w:r>
      <w:proofErr w:type="spellEnd"/>
      <w:r>
        <w:rPr>
          <w:szCs w:val="24"/>
          <w:lang w:val="it-CH"/>
        </w:rPr>
        <w:t xml:space="preserve">), relative alla </w:t>
      </w:r>
      <w:r w:rsidRPr="007711D2">
        <w:rPr>
          <w:szCs w:val="24"/>
          <w:lang w:val="it-CH"/>
        </w:rPr>
        <w:t>tassa di collegamento</w:t>
      </w:r>
      <w:r>
        <w:rPr>
          <w:szCs w:val="24"/>
          <w:lang w:val="it-CH"/>
        </w:rPr>
        <w:t>, sostanzialmente perché:</w:t>
      </w:r>
    </w:p>
    <w:p w:rsidR="001402AF" w:rsidRDefault="001402AF" w:rsidP="001402AF">
      <w:pPr>
        <w:pStyle w:val="Paragrafoelenco"/>
        <w:numPr>
          <w:ilvl w:val="0"/>
          <w:numId w:val="16"/>
        </w:numPr>
        <w:spacing w:before="80"/>
        <w:ind w:left="284" w:hanging="284"/>
        <w:contextualSpacing w:val="0"/>
        <w:rPr>
          <w:szCs w:val="24"/>
          <w:lang w:val="it-CH"/>
        </w:rPr>
      </w:pPr>
      <w:r>
        <w:rPr>
          <w:szCs w:val="24"/>
          <w:lang w:val="it-CH"/>
        </w:rPr>
        <w:t>potrebbe costituire un eccessivo rincaro per il costo della vita dei ticinesi;</w:t>
      </w:r>
    </w:p>
    <w:p w:rsidR="001402AF" w:rsidRDefault="001402AF" w:rsidP="001402AF">
      <w:pPr>
        <w:pStyle w:val="Paragrafoelenco"/>
        <w:numPr>
          <w:ilvl w:val="0"/>
          <w:numId w:val="16"/>
        </w:numPr>
        <w:spacing w:before="80"/>
        <w:ind w:left="284" w:hanging="284"/>
        <w:contextualSpacing w:val="0"/>
        <w:rPr>
          <w:szCs w:val="24"/>
          <w:lang w:val="it-CH"/>
        </w:rPr>
      </w:pPr>
      <w:r>
        <w:rPr>
          <w:szCs w:val="24"/>
          <w:lang w:val="it-CH"/>
        </w:rPr>
        <w:t>la Commissione della gestione avrebbe trovato finanziamenti sostitutivi a questa tassa;</w:t>
      </w:r>
    </w:p>
    <w:p w:rsidR="001402AF" w:rsidRDefault="001402AF" w:rsidP="001402AF">
      <w:pPr>
        <w:pStyle w:val="Paragrafoelenco"/>
        <w:numPr>
          <w:ilvl w:val="0"/>
          <w:numId w:val="16"/>
        </w:numPr>
        <w:spacing w:before="80"/>
        <w:ind w:left="284" w:hanging="284"/>
        <w:contextualSpacing w:val="0"/>
        <w:rPr>
          <w:szCs w:val="24"/>
          <w:lang w:val="it-CH"/>
        </w:rPr>
      </w:pPr>
      <w:r>
        <w:rPr>
          <w:szCs w:val="24"/>
          <w:lang w:val="it-CH"/>
        </w:rPr>
        <w:t>l’approccio nei confronti della mobilità motorizzata sarebbe eccessivamente vessatorio; la mobilità individuale privata verso il posto di lavoro costituirebbe una necessità.</w:t>
      </w:r>
    </w:p>
    <w:p w:rsidR="001402AF" w:rsidRPr="001402AF" w:rsidRDefault="001402AF" w:rsidP="001402AF">
      <w:pPr>
        <w:rPr>
          <w:szCs w:val="24"/>
          <w:lang w:val="it-CH"/>
        </w:rPr>
      </w:pPr>
    </w:p>
    <w:p w:rsidR="001402AF" w:rsidRDefault="001402AF" w:rsidP="001402AF">
      <w:pPr>
        <w:rPr>
          <w:szCs w:val="24"/>
        </w:rPr>
      </w:pPr>
      <w:r>
        <w:rPr>
          <w:szCs w:val="24"/>
        </w:rPr>
        <w:t xml:space="preserve">Al proposito, si osserva </w:t>
      </w:r>
      <w:proofErr w:type="spellStart"/>
      <w:r>
        <w:rPr>
          <w:szCs w:val="24"/>
        </w:rPr>
        <w:t>avantutto</w:t>
      </w:r>
      <w:proofErr w:type="spellEnd"/>
      <w:r>
        <w:rPr>
          <w:szCs w:val="24"/>
        </w:rPr>
        <w:t xml:space="preserve"> che le </w:t>
      </w:r>
      <w:r w:rsidRPr="003B159F">
        <w:rPr>
          <w:szCs w:val="24"/>
        </w:rPr>
        <w:t>no</w:t>
      </w:r>
      <w:r>
        <w:rPr>
          <w:szCs w:val="24"/>
        </w:rPr>
        <w:t xml:space="preserve">rme (artt. 35a-35t </w:t>
      </w:r>
      <w:proofErr w:type="spellStart"/>
      <w:r>
        <w:rPr>
          <w:szCs w:val="24"/>
        </w:rPr>
        <w:t>LTPub</w:t>
      </w:r>
      <w:proofErr w:type="spellEnd"/>
      <w:r>
        <w:rPr>
          <w:szCs w:val="24"/>
        </w:rPr>
        <w:t>)</w:t>
      </w:r>
      <w:r w:rsidRPr="003B159F">
        <w:rPr>
          <w:szCs w:val="24"/>
        </w:rPr>
        <w:t xml:space="preserve"> destinate a dare attuazione a</w:t>
      </w:r>
      <w:r>
        <w:rPr>
          <w:szCs w:val="24"/>
        </w:rPr>
        <w:t xml:space="preserve">lla tassa di collegamento sono state adottate dal </w:t>
      </w:r>
      <w:r w:rsidRPr="003B159F">
        <w:rPr>
          <w:szCs w:val="24"/>
        </w:rPr>
        <w:t xml:space="preserve">Gran Consiglio </w:t>
      </w:r>
      <w:r>
        <w:rPr>
          <w:szCs w:val="24"/>
        </w:rPr>
        <w:t>i</w:t>
      </w:r>
      <w:r w:rsidRPr="003B159F">
        <w:rPr>
          <w:szCs w:val="24"/>
        </w:rPr>
        <w:t>l 14 dicem</w:t>
      </w:r>
      <w:r>
        <w:rPr>
          <w:szCs w:val="24"/>
        </w:rPr>
        <w:t>bre 2015.</w:t>
      </w:r>
      <w:r w:rsidRPr="003B159F">
        <w:rPr>
          <w:szCs w:val="24"/>
        </w:rPr>
        <w:t xml:space="preserve"> </w:t>
      </w:r>
      <w:r>
        <w:rPr>
          <w:szCs w:val="24"/>
        </w:rPr>
        <w:t>T</w:t>
      </w:r>
      <w:r w:rsidRPr="003B159F">
        <w:rPr>
          <w:szCs w:val="24"/>
        </w:rPr>
        <w:t xml:space="preserve">ali disposizioni sono state </w:t>
      </w:r>
      <w:r>
        <w:rPr>
          <w:szCs w:val="24"/>
        </w:rPr>
        <w:t xml:space="preserve">poi </w:t>
      </w:r>
      <w:r w:rsidRPr="003B159F">
        <w:rPr>
          <w:szCs w:val="24"/>
        </w:rPr>
        <w:t xml:space="preserve">oggetto di </w:t>
      </w:r>
      <w:r w:rsidRPr="00DB4C4F">
        <w:rPr>
          <w:i/>
          <w:szCs w:val="24"/>
        </w:rPr>
        <w:t>referendum</w:t>
      </w:r>
      <w:r>
        <w:rPr>
          <w:szCs w:val="24"/>
        </w:rPr>
        <w:t xml:space="preserve"> </w:t>
      </w:r>
      <w:r w:rsidRPr="003B159F">
        <w:rPr>
          <w:szCs w:val="24"/>
        </w:rPr>
        <w:t>po</w:t>
      </w:r>
      <w:r>
        <w:rPr>
          <w:szCs w:val="24"/>
        </w:rPr>
        <w:t>polare:</w:t>
      </w:r>
      <w:r w:rsidRPr="003B159F">
        <w:rPr>
          <w:szCs w:val="24"/>
        </w:rPr>
        <w:t xml:space="preserve"> il 5 giugno 2016</w:t>
      </w:r>
      <w:r>
        <w:rPr>
          <w:szCs w:val="24"/>
        </w:rPr>
        <w:t>,</w:t>
      </w:r>
      <w:r w:rsidRPr="003B159F">
        <w:rPr>
          <w:szCs w:val="24"/>
        </w:rPr>
        <w:t xml:space="preserve"> i cittadini e le cittadine ticinesi hanno dichiarato di condividere la tassa di collegamento (cfr. FU 48/2016 del 17 giugno 2016, pag. 5506). La nuova imposta gode pertanto anche della diretta legittimazione popolare.</w:t>
      </w:r>
    </w:p>
    <w:p w:rsidR="001402AF" w:rsidRDefault="001402AF" w:rsidP="001402AF">
      <w:pPr>
        <w:rPr>
          <w:szCs w:val="24"/>
        </w:rPr>
      </w:pPr>
    </w:p>
    <w:p w:rsidR="001402AF" w:rsidRDefault="001402AF" w:rsidP="001402AF">
      <w:pPr>
        <w:rPr>
          <w:rFonts w:cs="Arial"/>
          <w:szCs w:val="24"/>
        </w:rPr>
      </w:pPr>
      <w:r w:rsidRPr="00756C66">
        <w:rPr>
          <w:rFonts w:cs="Arial"/>
          <w:szCs w:val="24"/>
          <w:lang w:val="it-CH"/>
        </w:rPr>
        <w:t>La tassa di collegamento</w:t>
      </w:r>
      <w:r>
        <w:rPr>
          <w:rFonts w:cs="Arial"/>
          <w:szCs w:val="24"/>
          <w:lang w:val="it-CH"/>
        </w:rPr>
        <w:t>, poi,</w:t>
      </w:r>
      <w:r w:rsidRPr="00756C66">
        <w:rPr>
          <w:rFonts w:cs="Arial"/>
          <w:szCs w:val="24"/>
          <w:lang w:val="it-CH"/>
        </w:rPr>
        <w:t xml:space="preserve"> vuole </w:t>
      </w:r>
      <w:r w:rsidRPr="00F83503">
        <w:rPr>
          <w:rFonts w:cs="Arial"/>
          <w:szCs w:val="24"/>
          <w:lang w:val="it-CH"/>
        </w:rPr>
        <w:t>riorientare la domanda di mobilità per contrastare la saturazione della rete viaria e l’inquinamento ambientale</w:t>
      </w:r>
      <w:r>
        <w:rPr>
          <w:rFonts w:cs="Arial"/>
          <w:szCs w:val="24"/>
          <w:lang w:val="it-CH"/>
        </w:rPr>
        <w:t>, mediante la riduzione del</w:t>
      </w:r>
      <w:r w:rsidRPr="00756C66">
        <w:rPr>
          <w:rFonts w:cs="Arial"/>
          <w:szCs w:val="24"/>
        </w:rPr>
        <w:t xml:space="preserve">la disponibilità e </w:t>
      </w:r>
      <w:r>
        <w:rPr>
          <w:rFonts w:cs="Arial"/>
          <w:szCs w:val="24"/>
        </w:rPr>
        <w:t>del</w:t>
      </w:r>
      <w:r w:rsidRPr="00756C66">
        <w:rPr>
          <w:rFonts w:cs="Arial"/>
          <w:szCs w:val="24"/>
        </w:rPr>
        <w:t>l’attrattiva dei posteggi. Essa configura un’</w:t>
      </w:r>
      <w:r w:rsidRPr="00756C66">
        <w:rPr>
          <w:rFonts w:cs="Arial"/>
          <w:i/>
          <w:szCs w:val="24"/>
        </w:rPr>
        <w:t>imposta orientativa</w:t>
      </w:r>
      <w:r w:rsidRPr="00756C66">
        <w:rPr>
          <w:rFonts w:cs="Arial"/>
          <w:szCs w:val="24"/>
        </w:rPr>
        <w:t xml:space="preserve">, vale a dire un’imposta non finalizzata </w:t>
      </w:r>
      <w:r>
        <w:rPr>
          <w:rFonts w:cs="Arial"/>
          <w:szCs w:val="24"/>
        </w:rPr>
        <w:t>principalmente</w:t>
      </w:r>
      <w:r w:rsidRPr="00756C66">
        <w:rPr>
          <w:rFonts w:cs="Arial"/>
          <w:szCs w:val="24"/>
        </w:rPr>
        <w:t xml:space="preserve"> a conseguire un introito fiscale, ma a modificare in primo luogo il comportamento degli assoggettati, rendendo finanziariamente meno attrattive determinate attività.</w:t>
      </w:r>
      <w:r>
        <w:rPr>
          <w:rFonts w:cs="Arial"/>
          <w:szCs w:val="24"/>
        </w:rPr>
        <w:t xml:space="preserve"> Si tratta di una vera e propria esigenza, ritenuto che i</w:t>
      </w:r>
      <w:r w:rsidRPr="00F83503">
        <w:rPr>
          <w:rFonts w:cs="Arial"/>
          <w:szCs w:val="24"/>
        </w:rPr>
        <w:t>l Cantone e la sua popolazione non sono più in grado di sopporta</w:t>
      </w:r>
      <w:r>
        <w:rPr>
          <w:rFonts w:cs="Arial"/>
          <w:szCs w:val="24"/>
        </w:rPr>
        <w:t>re l</w:t>
      </w:r>
      <w:r w:rsidRPr="00F83503">
        <w:rPr>
          <w:rFonts w:cs="Arial"/>
          <w:szCs w:val="24"/>
        </w:rPr>
        <w:t xml:space="preserve">a situazione </w:t>
      </w:r>
      <w:r>
        <w:rPr>
          <w:rFonts w:cs="Arial"/>
          <w:szCs w:val="24"/>
        </w:rPr>
        <w:t xml:space="preserve">viaria e ambientale che conosciamo, </w:t>
      </w:r>
      <w:r w:rsidRPr="00F83503">
        <w:rPr>
          <w:rFonts w:cs="Arial"/>
          <w:szCs w:val="24"/>
        </w:rPr>
        <w:t>tanto problematica</w:t>
      </w:r>
      <w:r>
        <w:rPr>
          <w:rFonts w:cs="Arial"/>
          <w:szCs w:val="24"/>
        </w:rPr>
        <w:t xml:space="preserve"> da</w:t>
      </w:r>
      <w:r w:rsidRPr="00F83503">
        <w:rPr>
          <w:rFonts w:cs="Arial"/>
          <w:szCs w:val="24"/>
        </w:rPr>
        <w:t xml:space="preserve"> compromette</w:t>
      </w:r>
      <w:r>
        <w:rPr>
          <w:rFonts w:cs="Arial"/>
          <w:szCs w:val="24"/>
        </w:rPr>
        <w:t>re</w:t>
      </w:r>
      <w:r w:rsidRPr="00F83503">
        <w:rPr>
          <w:rFonts w:cs="Arial"/>
          <w:szCs w:val="24"/>
        </w:rPr>
        <w:t xml:space="preserve"> la qualità di vita dei cittadini</w:t>
      </w:r>
      <w:r>
        <w:rPr>
          <w:rFonts w:cs="Arial"/>
          <w:szCs w:val="24"/>
        </w:rPr>
        <w:t>,</w:t>
      </w:r>
      <w:r w:rsidRPr="00F83503">
        <w:rPr>
          <w:rFonts w:cs="Arial"/>
          <w:szCs w:val="24"/>
        </w:rPr>
        <w:t xml:space="preserve"> </w:t>
      </w:r>
      <w:r>
        <w:rPr>
          <w:rFonts w:cs="Arial"/>
          <w:szCs w:val="24"/>
        </w:rPr>
        <w:t>con</w:t>
      </w:r>
      <w:r w:rsidRPr="00F83503">
        <w:rPr>
          <w:rFonts w:cs="Arial"/>
          <w:szCs w:val="24"/>
        </w:rPr>
        <w:t xml:space="preserve"> ripercussioni negative anche sull’economia</w:t>
      </w:r>
      <w:r>
        <w:rPr>
          <w:rFonts w:cs="Arial"/>
          <w:szCs w:val="24"/>
        </w:rPr>
        <w:t>.</w:t>
      </w:r>
    </w:p>
    <w:p w:rsidR="009F66A4" w:rsidRDefault="009F66A4" w:rsidP="001402AF">
      <w:pPr>
        <w:rPr>
          <w:rFonts w:cs="Arial"/>
          <w:szCs w:val="24"/>
        </w:rPr>
      </w:pPr>
    </w:p>
    <w:p w:rsidR="001402AF" w:rsidRDefault="001402AF" w:rsidP="001402AF">
      <w:pPr>
        <w:rPr>
          <w:szCs w:val="24"/>
        </w:rPr>
      </w:pPr>
      <w:r>
        <w:rPr>
          <w:rFonts w:cs="Arial"/>
          <w:szCs w:val="24"/>
        </w:rPr>
        <w:t>Ora, p</w:t>
      </w:r>
      <w:r>
        <w:rPr>
          <w:szCs w:val="24"/>
        </w:rPr>
        <w:t xml:space="preserve">ur considerando con riguardo e premura il benessere, anche economico, dei ticinesi, si ritiene che la tassa di collegamento sia stata attentamente commisurata per ottenere un sufficiente effetto incitativo, senza per questo incidere nella vita dei cittadini </w:t>
      </w:r>
      <w:r>
        <w:rPr>
          <w:szCs w:val="24"/>
        </w:rPr>
        <w:lastRenderedPageBreak/>
        <w:t xml:space="preserve">nel modo descritto dall’iniziativa. Peraltro, questa imposta non è ancora debitamente applicata, stante l’effetto sospensivo conferito dal Tribunale federale ai ricorsi promossi contro di essa.  </w:t>
      </w:r>
    </w:p>
    <w:p w:rsidR="001402AF" w:rsidRDefault="001402AF" w:rsidP="001402AF">
      <w:pPr>
        <w:rPr>
          <w:szCs w:val="24"/>
        </w:rPr>
      </w:pPr>
    </w:p>
    <w:p w:rsidR="001402AF" w:rsidRDefault="001402AF" w:rsidP="001402AF">
      <w:r>
        <w:t xml:space="preserve">Infine, appare eccessivo tacciare di dirigista una semplice imposta orientativa, che lascia in ogni caso al singolo la libertà di determinare come spostarsi, pur mirando a orientare la sua scelta su modalità di trasporto più sostenibili. Nemmeno si può ritenere che non vi siano alternative all’uso del mezzo di trasporto individuale. A seconda delle situazioni concrete, possono infatti entrare in considerazione:  </w:t>
      </w:r>
    </w:p>
    <w:p w:rsidR="001402AF" w:rsidRDefault="001402AF" w:rsidP="001402AF">
      <w:pPr>
        <w:spacing w:before="80"/>
        <w:ind w:left="284" w:hanging="284"/>
      </w:pPr>
      <w:r>
        <w:t>-</w:t>
      </w:r>
      <w:r>
        <w:tab/>
        <w:t xml:space="preserve">il trasporto pubblico, che può anche essere combinato con l’automobile privata, grazie a </w:t>
      </w:r>
      <w:r>
        <w:rPr>
          <w:rFonts w:cs="Arial"/>
          <w:szCs w:val="24"/>
        </w:rPr>
        <w:t>impianti Park &amp; Ride (P+R)</w:t>
      </w:r>
      <w:r>
        <w:t xml:space="preserve">, o con </w:t>
      </w:r>
      <w:r>
        <w:rPr>
          <w:rFonts w:cs="Arial"/>
          <w:szCs w:val="24"/>
        </w:rPr>
        <w:t xml:space="preserve">la mobilità </w:t>
      </w:r>
      <w:r w:rsidRPr="00756C66">
        <w:rPr>
          <w:rFonts w:cs="Arial"/>
          <w:szCs w:val="24"/>
        </w:rPr>
        <w:t xml:space="preserve">ciclabile </w:t>
      </w:r>
      <w:r>
        <w:rPr>
          <w:rFonts w:cs="Arial"/>
          <w:szCs w:val="24"/>
        </w:rPr>
        <w:t>(impianti Bike &amp; Ride);</w:t>
      </w:r>
    </w:p>
    <w:p w:rsidR="001402AF" w:rsidRDefault="001402AF" w:rsidP="001402AF">
      <w:pPr>
        <w:spacing w:before="80"/>
        <w:ind w:left="284" w:hanging="284"/>
        <w:rPr>
          <w:rFonts w:cs="Arial"/>
          <w:szCs w:val="24"/>
        </w:rPr>
      </w:pPr>
      <w:r>
        <w:t>-</w:t>
      </w:r>
      <w:r>
        <w:tab/>
      </w:r>
      <w:r>
        <w:rPr>
          <w:rFonts w:cs="Arial"/>
          <w:szCs w:val="24"/>
        </w:rPr>
        <w:t xml:space="preserve">le forme di mobilità del </w:t>
      </w:r>
      <w:proofErr w:type="spellStart"/>
      <w:r>
        <w:rPr>
          <w:rFonts w:cs="Arial"/>
          <w:i/>
          <w:szCs w:val="24"/>
        </w:rPr>
        <w:t>carsharing</w:t>
      </w:r>
      <w:proofErr w:type="spellEnd"/>
      <w:r>
        <w:rPr>
          <w:rFonts w:cs="Arial"/>
          <w:i/>
          <w:szCs w:val="24"/>
        </w:rPr>
        <w:t xml:space="preserve"> </w:t>
      </w:r>
      <w:r w:rsidRPr="009E7692">
        <w:rPr>
          <w:rFonts w:cs="Arial"/>
          <w:szCs w:val="24"/>
        </w:rPr>
        <w:t>e</w:t>
      </w:r>
      <w:r w:rsidRPr="00756C66">
        <w:rPr>
          <w:rFonts w:cs="Arial"/>
          <w:i/>
          <w:szCs w:val="24"/>
        </w:rPr>
        <w:t xml:space="preserve"> </w:t>
      </w:r>
      <w:proofErr w:type="spellStart"/>
      <w:r w:rsidRPr="00756C66">
        <w:rPr>
          <w:rFonts w:cs="Arial"/>
          <w:i/>
          <w:szCs w:val="24"/>
        </w:rPr>
        <w:t>carpooling</w:t>
      </w:r>
      <w:proofErr w:type="spellEnd"/>
      <w:r>
        <w:rPr>
          <w:rFonts w:cs="Arial"/>
          <w:szCs w:val="24"/>
        </w:rPr>
        <w:t>;</w:t>
      </w:r>
    </w:p>
    <w:p w:rsidR="001402AF" w:rsidRDefault="001402AF" w:rsidP="001402AF">
      <w:pPr>
        <w:spacing w:before="80"/>
        <w:ind w:left="284" w:hanging="284"/>
        <w:rPr>
          <w:rFonts w:cs="Arial"/>
          <w:szCs w:val="24"/>
        </w:rPr>
      </w:pPr>
      <w:r>
        <w:rPr>
          <w:rFonts w:cs="Arial"/>
          <w:szCs w:val="24"/>
        </w:rPr>
        <w:t>-</w:t>
      </w:r>
      <w:r>
        <w:rPr>
          <w:rFonts w:cs="Arial"/>
          <w:szCs w:val="24"/>
        </w:rPr>
        <w:tab/>
        <w:t>la</w:t>
      </w:r>
      <w:r w:rsidRPr="00756C66">
        <w:rPr>
          <w:rFonts w:cs="Arial"/>
          <w:szCs w:val="24"/>
        </w:rPr>
        <w:t xml:space="preserve"> mobilità aziendale</w:t>
      </w:r>
      <w:r>
        <w:rPr>
          <w:rFonts w:cs="Arial"/>
          <w:szCs w:val="24"/>
        </w:rPr>
        <w:t xml:space="preserve"> </w:t>
      </w:r>
      <w:r w:rsidRPr="003912E7">
        <w:rPr>
          <w:rFonts w:cs="Arial"/>
          <w:szCs w:val="24"/>
        </w:rPr>
        <w:t>e per comprensori</w:t>
      </w:r>
      <w:r>
        <w:rPr>
          <w:rFonts w:cs="Arial"/>
          <w:szCs w:val="24"/>
        </w:rPr>
        <w:t>;</w:t>
      </w:r>
    </w:p>
    <w:p w:rsidR="001402AF" w:rsidRDefault="001402AF" w:rsidP="001402AF">
      <w:pPr>
        <w:spacing w:before="80"/>
        <w:ind w:left="284" w:hanging="284"/>
      </w:pPr>
      <w:r>
        <w:rPr>
          <w:rFonts w:cs="Arial"/>
          <w:szCs w:val="24"/>
        </w:rPr>
        <w:t>-</w:t>
      </w:r>
      <w:r>
        <w:rPr>
          <w:rFonts w:cs="Arial"/>
          <w:szCs w:val="24"/>
        </w:rPr>
        <w:tab/>
      </w:r>
      <w:r w:rsidRPr="00352CC3">
        <w:t>la mobil</w:t>
      </w:r>
      <w:r>
        <w:t>ità lenta, ciclabile o pedonale.</w:t>
      </w:r>
    </w:p>
    <w:p w:rsidR="001402AF" w:rsidRDefault="001402AF" w:rsidP="001402AF">
      <w:pPr>
        <w:rPr>
          <w:szCs w:val="24"/>
        </w:rPr>
      </w:pPr>
    </w:p>
    <w:p w:rsidR="001402AF" w:rsidRPr="003B159F" w:rsidRDefault="001402AF" w:rsidP="001402AF">
      <w:pPr>
        <w:rPr>
          <w:szCs w:val="24"/>
        </w:rPr>
      </w:pPr>
    </w:p>
    <w:p w:rsidR="001402AF" w:rsidRPr="003B159F" w:rsidRDefault="001402AF" w:rsidP="001402AF">
      <w:pPr>
        <w:rPr>
          <w:szCs w:val="24"/>
        </w:rPr>
      </w:pPr>
      <w:r>
        <w:rPr>
          <w:szCs w:val="24"/>
        </w:rPr>
        <w:t>In considerazione di quanto precede, e in particolare del voto espresso il</w:t>
      </w:r>
      <w:r w:rsidRPr="00605A08">
        <w:rPr>
          <w:szCs w:val="24"/>
        </w:rPr>
        <w:t xml:space="preserve"> 5 giu</w:t>
      </w:r>
      <w:r>
        <w:rPr>
          <w:szCs w:val="24"/>
        </w:rPr>
        <w:t>gno 2016 da</w:t>
      </w:r>
      <w:r w:rsidRPr="00605A08">
        <w:rPr>
          <w:szCs w:val="24"/>
        </w:rPr>
        <w:t xml:space="preserve">i cittadini e </w:t>
      </w:r>
      <w:r>
        <w:rPr>
          <w:szCs w:val="24"/>
        </w:rPr>
        <w:t>dal</w:t>
      </w:r>
      <w:r w:rsidRPr="00605A08">
        <w:rPr>
          <w:szCs w:val="24"/>
        </w:rPr>
        <w:t>le cittadine ticinesi</w:t>
      </w:r>
      <w:r>
        <w:rPr>
          <w:szCs w:val="24"/>
        </w:rPr>
        <w:t xml:space="preserve">, si propone al Gran Consiglio di </w:t>
      </w:r>
      <w:r w:rsidRPr="00605A08">
        <w:rPr>
          <w:szCs w:val="24"/>
        </w:rPr>
        <w:t>non accettare l’iniziativa.</w:t>
      </w:r>
    </w:p>
    <w:p w:rsidR="00AC4EEC" w:rsidRDefault="00AC4EEC" w:rsidP="00AC4EEC">
      <w:pPr>
        <w:tabs>
          <w:tab w:val="left" w:pos="284"/>
          <w:tab w:val="left" w:pos="426"/>
          <w:tab w:val="left" w:pos="4962"/>
        </w:tabs>
        <w:rPr>
          <w:szCs w:val="24"/>
        </w:rPr>
      </w:pPr>
    </w:p>
    <w:p w:rsidR="00AC4EEC" w:rsidRPr="005B3E0C" w:rsidRDefault="00AC4EEC" w:rsidP="00AC4EEC">
      <w:pPr>
        <w:tabs>
          <w:tab w:val="left" w:pos="284"/>
          <w:tab w:val="left" w:pos="426"/>
          <w:tab w:val="left" w:pos="4962"/>
        </w:tabs>
        <w:rPr>
          <w:szCs w:val="24"/>
        </w:rPr>
      </w:pPr>
    </w:p>
    <w:p w:rsidR="00AC4EEC" w:rsidRPr="005B3E0C" w:rsidRDefault="00AC4EEC" w:rsidP="00AC4EEC">
      <w:pPr>
        <w:rPr>
          <w:szCs w:val="24"/>
        </w:rPr>
      </w:pPr>
      <w:r w:rsidRPr="005B3E0C">
        <w:rPr>
          <w:szCs w:val="24"/>
        </w:rPr>
        <w:t>Vogliate gradire, signor</w:t>
      </w:r>
      <w:r>
        <w:rPr>
          <w:szCs w:val="24"/>
        </w:rPr>
        <w:t>a</w:t>
      </w:r>
      <w:r w:rsidRPr="005B3E0C">
        <w:rPr>
          <w:szCs w:val="24"/>
        </w:rPr>
        <w:t xml:space="preserve"> Presidente, signore e signori deputati, l'espressione della nostra massima stima.</w:t>
      </w:r>
    </w:p>
    <w:p w:rsidR="00AC4EEC" w:rsidRPr="005B3E0C" w:rsidRDefault="00AC4EEC" w:rsidP="00AC4EEC">
      <w:pPr>
        <w:rPr>
          <w:szCs w:val="24"/>
        </w:rPr>
      </w:pPr>
    </w:p>
    <w:p w:rsidR="00AC4EEC" w:rsidRDefault="00AC4EEC" w:rsidP="00AC4EEC">
      <w:pPr>
        <w:rPr>
          <w:szCs w:val="24"/>
        </w:rPr>
      </w:pPr>
    </w:p>
    <w:p w:rsidR="00AC4EEC" w:rsidRDefault="00AC4EEC" w:rsidP="00AC4EEC">
      <w:pPr>
        <w:rPr>
          <w:szCs w:val="24"/>
        </w:rPr>
      </w:pPr>
    </w:p>
    <w:p w:rsidR="00AC4EEC" w:rsidRPr="005B3E0C" w:rsidRDefault="00AC4EEC" w:rsidP="00AC4EEC">
      <w:pPr>
        <w:spacing w:after="120"/>
        <w:rPr>
          <w:szCs w:val="24"/>
        </w:rPr>
      </w:pPr>
      <w:r w:rsidRPr="005B3E0C">
        <w:rPr>
          <w:szCs w:val="24"/>
        </w:rPr>
        <w:t>Per il Consiglio di Stato:</w:t>
      </w:r>
    </w:p>
    <w:p w:rsidR="00AC4EEC" w:rsidRPr="005B3E0C" w:rsidRDefault="00AC4EEC" w:rsidP="00AC4EEC">
      <w:pPr>
        <w:rPr>
          <w:szCs w:val="24"/>
        </w:rPr>
      </w:pPr>
      <w:r w:rsidRPr="005B3E0C">
        <w:rPr>
          <w:szCs w:val="24"/>
        </w:rPr>
        <w:t xml:space="preserve">Il Presidente, </w:t>
      </w:r>
      <w:r>
        <w:rPr>
          <w:szCs w:val="24"/>
        </w:rPr>
        <w:t>Claudio Zali</w:t>
      </w:r>
    </w:p>
    <w:p w:rsidR="00AC4EEC" w:rsidRDefault="00AC4EEC" w:rsidP="00AC4EEC">
      <w:pPr>
        <w:rPr>
          <w:szCs w:val="24"/>
        </w:rPr>
      </w:pPr>
      <w:r w:rsidRPr="005B3E0C">
        <w:rPr>
          <w:szCs w:val="24"/>
        </w:rPr>
        <w:t>Il Cancelliere, A</w:t>
      </w:r>
      <w:r>
        <w:rPr>
          <w:szCs w:val="24"/>
        </w:rPr>
        <w:t>rnoldo</w:t>
      </w:r>
      <w:r w:rsidRPr="005B3E0C">
        <w:rPr>
          <w:szCs w:val="24"/>
        </w:rPr>
        <w:t xml:space="preserve"> Coduri</w:t>
      </w:r>
    </w:p>
    <w:p w:rsidR="00AC4EEC" w:rsidRPr="005B3E0C" w:rsidRDefault="00AC4EEC" w:rsidP="00AC4EEC">
      <w:pPr>
        <w:rPr>
          <w:szCs w:val="24"/>
        </w:rPr>
      </w:pPr>
    </w:p>
    <w:p w:rsidR="00AC4EEC" w:rsidRPr="00FF7AD4" w:rsidRDefault="00AC4EEC" w:rsidP="00AC4EEC">
      <w:pPr>
        <w:tabs>
          <w:tab w:val="left" w:pos="2269"/>
        </w:tabs>
        <w:rPr>
          <w:szCs w:val="24"/>
        </w:rPr>
      </w:pPr>
    </w:p>
    <w:sectPr w:rsidR="00AC4EEC" w:rsidRPr="00FF7AD4"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0D" w:rsidRDefault="00B83C0D">
      <w:r>
        <w:separator/>
      </w:r>
    </w:p>
  </w:endnote>
  <w:endnote w:type="continuationSeparator" w:id="0">
    <w:p w:rsidR="00B83C0D" w:rsidRDefault="00B8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A86161">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0D" w:rsidRDefault="00B83C0D">
      <w:r>
        <w:separator/>
      </w:r>
    </w:p>
  </w:footnote>
  <w:footnote w:type="continuationSeparator" w:id="0">
    <w:p w:rsidR="00B83C0D" w:rsidRDefault="00B83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41A35ADC"/>
    <w:multiLevelType w:val="hybridMultilevel"/>
    <w:tmpl w:val="4114154C"/>
    <w:lvl w:ilvl="0" w:tplc="F3C6BD8C">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0">
    <w:nsid w:val="5B982913"/>
    <w:multiLevelType w:val="hybridMultilevel"/>
    <w:tmpl w:val="EEA6EBF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0"/>
  </w:num>
  <w:num w:numId="7">
    <w:abstractNumId w:val="11"/>
  </w:num>
  <w:num w:numId="8">
    <w:abstractNumId w:val="13"/>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5"/>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402AF"/>
    <w:rsid w:val="0017133E"/>
    <w:rsid w:val="00180F3B"/>
    <w:rsid w:val="00296F84"/>
    <w:rsid w:val="002B3873"/>
    <w:rsid w:val="002B698B"/>
    <w:rsid w:val="002C0D3F"/>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42AAE"/>
    <w:rsid w:val="009832AD"/>
    <w:rsid w:val="00995265"/>
    <w:rsid w:val="009F66A4"/>
    <w:rsid w:val="00A05B99"/>
    <w:rsid w:val="00A133CF"/>
    <w:rsid w:val="00A8611B"/>
    <w:rsid w:val="00A86161"/>
    <w:rsid w:val="00A9424E"/>
    <w:rsid w:val="00AA68D5"/>
    <w:rsid w:val="00AC4EEC"/>
    <w:rsid w:val="00AE6F3D"/>
    <w:rsid w:val="00AF5992"/>
    <w:rsid w:val="00B01474"/>
    <w:rsid w:val="00B364FB"/>
    <w:rsid w:val="00B378FB"/>
    <w:rsid w:val="00B56C78"/>
    <w:rsid w:val="00B83C0D"/>
    <w:rsid w:val="00B93BA2"/>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C4EEC"/>
    <w:pPr>
      <w:spacing w:before="100" w:beforeAutospacing="1" w:after="100" w:afterAutospacing="1"/>
      <w:jc w:val="left"/>
    </w:pPr>
    <w:rPr>
      <w:rFonts w:ascii="Times New Roman" w:hAnsi="Times New Roman"/>
      <w:szCs w:val="24"/>
      <w:lang w:val="it-CH"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C4EEC"/>
    <w:pPr>
      <w:spacing w:before="100" w:beforeAutospacing="1" w:after="100" w:afterAutospacing="1"/>
      <w:jc w:val="left"/>
    </w:pPr>
    <w:rPr>
      <w:rFonts w:ascii="Times New Roman" w:hAnsi="Times New Roman"/>
      <w:szCs w:val="24"/>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3379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2018-11-30T08:39:00Z</cp:lastPrinted>
  <dcterms:created xsi:type="dcterms:W3CDTF">2018-11-30T08:20:00Z</dcterms:created>
  <dcterms:modified xsi:type="dcterms:W3CDTF">2018-11-30T11:28:00Z</dcterms:modified>
</cp:coreProperties>
</file>