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b/>
          <w:sz w:val="23"/>
          <w:szCs w:val="23"/>
        </w:rPr>
      </w:pPr>
      <w:r w:rsidRPr="00892434">
        <w:rPr>
          <w:rFonts w:ascii="Arial" w:hAnsi="Arial" w:cs="Arial"/>
          <w:b/>
          <w:sz w:val="23"/>
          <w:szCs w:val="23"/>
        </w:rPr>
        <w:t>INTERPELLANZA</w:t>
      </w:r>
    </w:p>
    <w:p w:rsidR="001755A0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92434">
        <w:rPr>
          <w:rFonts w:ascii="Arial" w:hAnsi="Arial" w:cs="Arial"/>
          <w:b/>
          <w:sz w:val="23"/>
          <w:szCs w:val="23"/>
          <w:u w:val="single"/>
        </w:rPr>
        <w:t>Caprara e la spartizione delle poltrone dell’E</w:t>
      </w:r>
      <w:r>
        <w:rPr>
          <w:rFonts w:ascii="Arial" w:hAnsi="Arial" w:cs="Arial"/>
          <w:b/>
          <w:sz w:val="23"/>
          <w:szCs w:val="23"/>
          <w:u w:val="single"/>
        </w:rPr>
        <w:t>nte ospedaliero cantonale</w:t>
      </w:r>
    </w:p>
    <w:p w:rsidR="001755A0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Pr="00892434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>del 18 ottobre 2019</w:t>
      </w:r>
    </w:p>
    <w:p w:rsidR="001755A0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Secondo l’articolo 13 della </w:t>
      </w:r>
      <w:r>
        <w:rPr>
          <w:rFonts w:ascii="Arial" w:hAnsi="Arial" w:cs="Arial"/>
          <w:sz w:val="23"/>
          <w:szCs w:val="23"/>
        </w:rPr>
        <w:t>L</w:t>
      </w:r>
      <w:r w:rsidRPr="00892434">
        <w:rPr>
          <w:rFonts w:ascii="Arial" w:hAnsi="Arial" w:cs="Arial"/>
          <w:sz w:val="23"/>
          <w:szCs w:val="23"/>
        </w:rPr>
        <w:t xml:space="preserve">egge sull’Ente </w:t>
      </w:r>
      <w:r>
        <w:rPr>
          <w:rFonts w:ascii="Arial" w:hAnsi="Arial" w:cs="Arial"/>
          <w:sz w:val="23"/>
          <w:szCs w:val="23"/>
        </w:rPr>
        <w:t>o</w:t>
      </w:r>
      <w:r w:rsidRPr="00892434">
        <w:rPr>
          <w:rFonts w:ascii="Arial" w:hAnsi="Arial" w:cs="Arial"/>
          <w:sz w:val="23"/>
          <w:szCs w:val="23"/>
        </w:rPr>
        <w:t xml:space="preserve">spedaliero </w:t>
      </w:r>
      <w:r>
        <w:rPr>
          <w:rFonts w:ascii="Arial" w:hAnsi="Arial" w:cs="Arial"/>
          <w:sz w:val="23"/>
          <w:szCs w:val="23"/>
        </w:rPr>
        <w:t>c</w:t>
      </w:r>
      <w:r w:rsidRPr="00892434">
        <w:rPr>
          <w:rFonts w:ascii="Arial" w:hAnsi="Arial" w:cs="Arial"/>
          <w:sz w:val="23"/>
          <w:szCs w:val="23"/>
        </w:rPr>
        <w:t xml:space="preserve">antonale </w:t>
      </w:r>
      <w:r>
        <w:rPr>
          <w:rFonts w:ascii="Arial" w:hAnsi="Arial" w:cs="Arial"/>
          <w:sz w:val="23"/>
          <w:szCs w:val="23"/>
        </w:rPr>
        <w:t xml:space="preserve">(LEOC) </w:t>
      </w:r>
      <w:r w:rsidRPr="00892434">
        <w:rPr>
          <w:rFonts w:ascii="Arial" w:hAnsi="Arial" w:cs="Arial"/>
          <w:sz w:val="23"/>
          <w:szCs w:val="23"/>
        </w:rPr>
        <w:t>i membri del Consiglio di amministrazione di tale ente sono nominati dal Gran Consiglio</w:t>
      </w:r>
      <w:r>
        <w:rPr>
          <w:rFonts w:ascii="Arial" w:hAnsi="Arial" w:cs="Arial"/>
          <w:sz w:val="23"/>
          <w:szCs w:val="23"/>
        </w:rPr>
        <w:t>,</w:t>
      </w:r>
      <w:r w:rsidRPr="00892434">
        <w:rPr>
          <w:rFonts w:ascii="Arial" w:hAnsi="Arial" w:cs="Arial"/>
          <w:sz w:val="23"/>
          <w:szCs w:val="23"/>
        </w:rPr>
        <w:t xml:space="preserve"> su p</w:t>
      </w:r>
      <w:r>
        <w:rPr>
          <w:rFonts w:ascii="Arial" w:hAnsi="Arial" w:cs="Arial"/>
          <w:sz w:val="23"/>
          <w:szCs w:val="23"/>
        </w:rPr>
        <w:t>roposta del Consiglio di Stato.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Dalle affermazioni fatte da Bixio Caprara lo scorso 15 ottobre 2019 davanti al Gran Consiglio parrebbe di capire che, in realtà, le cose non stiano proprio così e che la scelta dei membri del </w:t>
      </w:r>
      <w:proofErr w:type="spellStart"/>
      <w:r w:rsidRPr="00892434">
        <w:rPr>
          <w:rFonts w:ascii="Arial" w:hAnsi="Arial" w:cs="Arial"/>
          <w:sz w:val="23"/>
          <w:szCs w:val="23"/>
        </w:rPr>
        <w:t>CdA</w:t>
      </w:r>
      <w:proofErr w:type="spellEnd"/>
      <w:r w:rsidRPr="00892434">
        <w:rPr>
          <w:rFonts w:ascii="Arial" w:hAnsi="Arial" w:cs="Arial"/>
          <w:sz w:val="23"/>
          <w:szCs w:val="23"/>
        </w:rPr>
        <w:t xml:space="preserve"> dell’EOC spetterebbe, quasi di diritto verrebbe da pensare, almeno per due dei sette seggi, al PLRT. Afferma infatti, il </w:t>
      </w:r>
      <w:r>
        <w:rPr>
          <w:rFonts w:ascii="Arial" w:hAnsi="Arial" w:cs="Arial"/>
          <w:sz w:val="23"/>
          <w:szCs w:val="23"/>
        </w:rPr>
        <w:t>P</w:t>
      </w:r>
      <w:r w:rsidRPr="00892434">
        <w:rPr>
          <w:rFonts w:ascii="Arial" w:hAnsi="Arial" w:cs="Arial"/>
          <w:sz w:val="23"/>
          <w:szCs w:val="23"/>
        </w:rPr>
        <w:t>residente del PLRT:</w:t>
      </w:r>
      <w:r>
        <w:rPr>
          <w:rFonts w:ascii="Arial" w:hAnsi="Arial" w:cs="Arial"/>
          <w:sz w:val="23"/>
          <w:szCs w:val="23"/>
        </w:rPr>
        <w:t xml:space="preserve"> </w:t>
      </w:r>
      <w:r w:rsidRPr="00892434">
        <w:rPr>
          <w:rFonts w:ascii="Arial" w:hAnsi="Arial" w:cs="Arial"/>
          <w:i/>
          <w:sz w:val="23"/>
          <w:szCs w:val="23"/>
        </w:rPr>
        <w:t xml:space="preserve">“Il nostro partito… era nella condizione di dover sostituire un rappresentante, dato che un proprio membro del </w:t>
      </w:r>
      <w:proofErr w:type="spellStart"/>
      <w:r w:rsidRPr="00892434">
        <w:rPr>
          <w:rFonts w:ascii="Arial" w:hAnsi="Arial" w:cs="Arial"/>
          <w:i/>
          <w:sz w:val="23"/>
          <w:szCs w:val="23"/>
        </w:rPr>
        <w:t>CdA</w:t>
      </w:r>
      <w:proofErr w:type="spellEnd"/>
      <w:r w:rsidRPr="00892434">
        <w:rPr>
          <w:rFonts w:ascii="Arial" w:hAnsi="Arial" w:cs="Arial"/>
          <w:i/>
          <w:sz w:val="23"/>
          <w:szCs w:val="23"/>
        </w:rPr>
        <w:t xml:space="preserve"> non era più disponibile. Abbiamo proposto un profilo, l’avvocato Andrea Bersani… Un profilo che accompagna e completa il secondo nostro rappresentante, un medico di indubbia esperienza, il dottor Mariani…”.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La lingua e la grammatica italiana non lasciano spazio a dubbi interpretativi: espressioni quali “un </w:t>
      </w:r>
      <w:r w:rsidRPr="00892434">
        <w:rPr>
          <w:rFonts w:ascii="Arial" w:hAnsi="Arial" w:cs="Arial"/>
          <w:i/>
          <w:sz w:val="23"/>
          <w:szCs w:val="23"/>
        </w:rPr>
        <w:t xml:space="preserve">proprio </w:t>
      </w:r>
      <w:r w:rsidRPr="00892434">
        <w:rPr>
          <w:rFonts w:ascii="Arial" w:hAnsi="Arial" w:cs="Arial"/>
          <w:sz w:val="23"/>
          <w:szCs w:val="23"/>
        </w:rPr>
        <w:t xml:space="preserve">membro…”, “il secondo </w:t>
      </w:r>
      <w:r w:rsidRPr="00892434">
        <w:rPr>
          <w:rFonts w:ascii="Arial" w:hAnsi="Arial" w:cs="Arial"/>
          <w:i/>
          <w:sz w:val="23"/>
          <w:szCs w:val="23"/>
        </w:rPr>
        <w:t xml:space="preserve">nostro </w:t>
      </w:r>
      <w:r w:rsidRPr="00892434">
        <w:rPr>
          <w:rFonts w:ascii="Arial" w:hAnsi="Arial" w:cs="Arial"/>
          <w:sz w:val="23"/>
          <w:szCs w:val="23"/>
        </w:rPr>
        <w:t>rappresentante” significano che il PLRT e il suo presidente guardano a questi consiglieri di amministrazione come rappresentati del PLRT in seno al Consiglio stesso.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Siccome non siamo caduti dal seggiolone da piccoli, sappiamo benissimo che le cose in questo Cantone vanno, da sempre oseremmo dire, in questo modo e che i partiti politici che gestiscono questo </w:t>
      </w:r>
      <w:r>
        <w:rPr>
          <w:rFonts w:ascii="Arial" w:hAnsi="Arial" w:cs="Arial"/>
          <w:sz w:val="23"/>
          <w:szCs w:val="23"/>
        </w:rPr>
        <w:t>P</w:t>
      </w:r>
      <w:r w:rsidRPr="00892434">
        <w:rPr>
          <w:rFonts w:ascii="Arial" w:hAnsi="Arial" w:cs="Arial"/>
          <w:sz w:val="23"/>
          <w:szCs w:val="23"/>
        </w:rPr>
        <w:t>aese hanno sempre applicato questi metodi di spartizione (lo schema 2-2-1 ha imperato per decenni).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Si abbia allora il coraggio di dirlo e di formalizzarlo. Inutile quindi far riferimento all’“indipendenza” e alla “competenza” dei consiglieri di amministrazione quando, tutti sanno e tutti vedono, si tratta di “rappresentanti” dei partiti, sentiti come tali dai partiti (e le parole di Caprara, nella loro disarmante e arrogante schiettezza, lo confermano). 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>Da parte sua Bersani intervistato da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</w:t>
      </w:r>
      <w:r w:rsidRPr="00892434">
        <w:rPr>
          <w:rFonts w:ascii="Arial" w:hAnsi="Arial" w:cs="Arial"/>
          <w:sz w:val="23"/>
          <w:szCs w:val="23"/>
        </w:rPr>
        <w:t>aRegione</w:t>
      </w:r>
      <w:proofErr w:type="spellEnd"/>
      <w:r w:rsidRPr="00892434">
        <w:rPr>
          <w:rFonts w:ascii="Arial" w:hAnsi="Arial" w:cs="Arial"/>
          <w:sz w:val="23"/>
          <w:szCs w:val="23"/>
        </w:rPr>
        <w:t xml:space="preserve"> (15 ottobre 2019) conferma tale procedura: </w:t>
      </w:r>
      <w:r w:rsidRPr="001139B5">
        <w:rPr>
          <w:rFonts w:ascii="Arial" w:hAnsi="Arial" w:cs="Arial"/>
          <w:i/>
          <w:sz w:val="23"/>
          <w:szCs w:val="23"/>
        </w:rPr>
        <w:t>“Mi era stato chiesto dal PLRT se fossi disponibile e ho risposto affermativamente…”.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Questa procedura d’altronde pone anche un problema di funzionamento delle istituzioni parlamentari. Infatti l’attuale legge riserva il </w:t>
      </w:r>
      <w:r w:rsidRPr="001139B5">
        <w:rPr>
          <w:rFonts w:ascii="Arial" w:hAnsi="Arial" w:cs="Arial"/>
          <w:i/>
          <w:sz w:val="23"/>
          <w:szCs w:val="23"/>
        </w:rPr>
        <w:t>“diritto di proposta”</w:t>
      </w:r>
      <w:r w:rsidRPr="00892434">
        <w:rPr>
          <w:rFonts w:ascii="Arial" w:hAnsi="Arial" w:cs="Arial"/>
          <w:sz w:val="23"/>
          <w:szCs w:val="23"/>
        </w:rPr>
        <w:t xml:space="preserve"> per l’elezione dei membri del </w:t>
      </w:r>
      <w:proofErr w:type="spellStart"/>
      <w:r w:rsidRPr="00892434">
        <w:rPr>
          <w:rFonts w:ascii="Arial" w:hAnsi="Arial" w:cs="Arial"/>
          <w:sz w:val="23"/>
          <w:szCs w:val="23"/>
        </w:rPr>
        <w:t>CdA</w:t>
      </w:r>
      <w:proofErr w:type="spellEnd"/>
      <w:r w:rsidRPr="00892434">
        <w:rPr>
          <w:rFonts w:ascii="Arial" w:hAnsi="Arial" w:cs="Arial"/>
          <w:sz w:val="23"/>
          <w:szCs w:val="23"/>
        </w:rPr>
        <w:t xml:space="preserve"> dell’EOC al solo Consiglio di Stato. Ai sensi della lettera dell’art. 13 </w:t>
      </w:r>
      <w:r>
        <w:rPr>
          <w:rFonts w:ascii="Arial" w:hAnsi="Arial" w:cs="Arial"/>
          <w:sz w:val="23"/>
          <w:szCs w:val="23"/>
        </w:rPr>
        <w:t xml:space="preserve">LEOC </w:t>
      </w:r>
      <w:r w:rsidRPr="00892434">
        <w:rPr>
          <w:rFonts w:ascii="Arial" w:hAnsi="Arial" w:cs="Arial"/>
          <w:sz w:val="23"/>
          <w:szCs w:val="23"/>
        </w:rPr>
        <w:t xml:space="preserve">i membri del Gran Consiglio non hanno diritto di proporre un consigliere di amministrazione non presente nella lista presentata dal </w:t>
      </w:r>
      <w:r>
        <w:rPr>
          <w:rFonts w:ascii="Arial" w:hAnsi="Arial" w:cs="Arial"/>
          <w:sz w:val="23"/>
          <w:szCs w:val="23"/>
        </w:rPr>
        <w:t>G</w:t>
      </w:r>
      <w:r w:rsidRPr="00892434">
        <w:rPr>
          <w:rFonts w:ascii="Arial" w:hAnsi="Arial" w:cs="Arial"/>
          <w:sz w:val="23"/>
          <w:szCs w:val="23"/>
        </w:rPr>
        <w:t>overno.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Ora, vista questa forte limitazione, appare discutibile che il </w:t>
      </w:r>
      <w:r>
        <w:rPr>
          <w:rFonts w:ascii="Arial" w:hAnsi="Arial" w:cs="Arial"/>
          <w:sz w:val="23"/>
          <w:szCs w:val="23"/>
        </w:rPr>
        <w:t>G</w:t>
      </w:r>
      <w:r w:rsidRPr="00892434">
        <w:rPr>
          <w:rFonts w:ascii="Arial" w:hAnsi="Arial" w:cs="Arial"/>
          <w:sz w:val="23"/>
          <w:szCs w:val="23"/>
        </w:rPr>
        <w:t>overno “appalti” questa sua prerogativa ai partiti (e non a tutti: pensiamo che alcuni partiti non siano stati coinvolti in questa procedura di scelta dei candidati), limitandosi di fatto a fare il passacarte tra le indicazioni dei partiti e le propost</w:t>
      </w:r>
      <w:r>
        <w:rPr>
          <w:rFonts w:ascii="Arial" w:hAnsi="Arial" w:cs="Arial"/>
          <w:sz w:val="23"/>
          <w:szCs w:val="23"/>
        </w:rPr>
        <w:t>e presentate al Gran Consiglio.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>Un minimo di decenza istituzionale vorrebbe che, dato l’attuale tenore della legge, il Consiglio di Stato si rivolgesse a tutti i partiti presenti in Gran Consiglio e chiedesse loro di esprimere dei candidati (magari motivandone “il profilo” al di là della tessera di partito che hanno in tasca) a partire dai quali poi formulare la propria “proposta” al Gran Consiglio.</w:t>
      </w:r>
    </w:p>
    <w:p w:rsidR="001755A0" w:rsidRPr="00892434" w:rsidRDefault="001755A0" w:rsidP="001755A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Caprara, nel suo intervento, ha però detto anche altro. In particolare ha espresso strane frasi, non facili da contestualizzare e decifrare: </w:t>
      </w:r>
      <w:r w:rsidRPr="00892434">
        <w:rPr>
          <w:rFonts w:ascii="Arial" w:hAnsi="Arial" w:cs="Arial"/>
          <w:i/>
          <w:sz w:val="23"/>
          <w:szCs w:val="23"/>
        </w:rPr>
        <w:t xml:space="preserve">“il comportamento di un certo numero di deputati, che si sono astenuti dal voto accomunandolo a una valutazione dell’operato del Presidente del </w:t>
      </w:r>
      <w:proofErr w:type="spellStart"/>
      <w:r w:rsidRPr="00892434">
        <w:rPr>
          <w:rFonts w:ascii="Arial" w:hAnsi="Arial" w:cs="Arial"/>
          <w:i/>
          <w:sz w:val="23"/>
          <w:szCs w:val="23"/>
        </w:rPr>
        <w:t>CdA</w:t>
      </w:r>
      <w:proofErr w:type="spellEnd"/>
      <w:r w:rsidRPr="00892434">
        <w:rPr>
          <w:rFonts w:ascii="Arial" w:hAnsi="Arial" w:cs="Arial"/>
          <w:i/>
          <w:sz w:val="23"/>
          <w:szCs w:val="23"/>
        </w:rPr>
        <w:t>, facendo di ogni erba un fascio e senza esprimere alcuna critica giustificata, non depone a favore della correttezza e del rispetto delle procedure di questo Parlamento. Una delle forze del nostro Paese è sempre stata la concordanza, intesa come la capacità di rispettare i rispettivi ruoli e le procedure pattuite a favore di soluzioni condivise. Se il Presidente dell’EOC che vi rappresenta non vi andava, ci si poteva impegnare diversamente per trovare delle alternative.”</w:t>
      </w:r>
    </w:p>
    <w:p w:rsidR="001755A0" w:rsidRPr="00892434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 xml:space="preserve">Sorprende che il </w:t>
      </w:r>
      <w:r>
        <w:rPr>
          <w:rFonts w:ascii="Arial" w:hAnsi="Arial" w:cs="Arial"/>
          <w:sz w:val="23"/>
          <w:szCs w:val="23"/>
        </w:rPr>
        <w:t>P</w:t>
      </w:r>
      <w:r w:rsidRPr="00892434">
        <w:rPr>
          <w:rFonts w:ascii="Arial" w:hAnsi="Arial" w:cs="Arial"/>
          <w:sz w:val="23"/>
          <w:szCs w:val="23"/>
        </w:rPr>
        <w:t>residente del Gran Consiglio, così come altri, sempre pronto a bacchettare le interrogazioni e gli interventi dei rappresentanti dell’MPS, ritenut</w:t>
      </w:r>
      <w:r>
        <w:rPr>
          <w:rFonts w:ascii="Arial" w:hAnsi="Arial" w:cs="Arial"/>
          <w:sz w:val="23"/>
          <w:szCs w:val="23"/>
        </w:rPr>
        <w:t>i</w:t>
      </w:r>
      <w:r w:rsidRPr="00892434">
        <w:rPr>
          <w:rFonts w:ascii="Arial" w:hAnsi="Arial" w:cs="Arial"/>
          <w:sz w:val="23"/>
          <w:szCs w:val="23"/>
        </w:rPr>
        <w:t xml:space="preserve"> eccessiv</w:t>
      </w:r>
      <w:r>
        <w:rPr>
          <w:rFonts w:ascii="Arial" w:hAnsi="Arial" w:cs="Arial"/>
          <w:sz w:val="23"/>
          <w:szCs w:val="23"/>
        </w:rPr>
        <w:t>i</w:t>
      </w:r>
      <w:r w:rsidRPr="00892434">
        <w:rPr>
          <w:rFonts w:ascii="Arial" w:hAnsi="Arial" w:cs="Arial"/>
          <w:sz w:val="23"/>
          <w:szCs w:val="23"/>
        </w:rPr>
        <w:t xml:space="preserve"> nella forma e “non in linea” con quella che viene considerata l’”etichetta” parlamentare, non abbia sentito il dovere di richiamare un parlamentare che si permette di accusare i colleghi e le colleghe di mancare di “correttezza” e di “rispetto” nei confronti del Parlamento solo perché hanno deciso di astenersi sul nome di alcuni candidati proposti dal </w:t>
      </w:r>
      <w:r>
        <w:rPr>
          <w:rFonts w:ascii="Arial" w:hAnsi="Arial" w:cs="Arial"/>
          <w:sz w:val="23"/>
          <w:szCs w:val="23"/>
        </w:rPr>
        <w:t>G</w:t>
      </w:r>
      <w:r w:rsidRPr="00892434">
        <w:rPr>
          <w:rFonts w:ascii="Arial" w:hAnsi="Arial" w:cs="Arial"/>
          <w:sz w:val="23"/>
          <w:szCs w:val="23"/>
        </w:rPr>
        <w:t>overno (si noti l’utilizzo di un termine come “rispetto” che potrebbe prestarsi a esegesi interessanti…).</w:t>
      </w:r>
    </w:p>
    <w:p w:rsidR="001755A0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>Alla luce di queste brevi considerazioni e ricordando comunque che il nostro punto di riferimento in materia resta l’iniziativa parlamentare che abbiamo presentato proprio nel corso della seduta parlamentare alla quale si fa riferimento in questa inte</w:t>
      </w:r>
      <w:r>
        <w:rPr>
          <w:rFonts w:ascii="Arial" w:hAnsi="Arial" w:cs="Arial"/>
          <w:sz w:val="23"/>
          <w:szCs w:val="23"/>
        </w:rPr>
        <w:t>rpellanza</w:t>
      </w:r>
      <w:r w:rsidRPr="00892434">
        <w:rPr>
          <w:rFonts w:ascii="Arial" w:hAnsi="Arial" w:cs="Arial"/>
          <w:sz w:val="23"/>
          <w:szCs w:val="23"/>
        </w:rPr>
        <w:t>, ci permettiamo di formulare alcun</w:t>
      </w:r>
      <w:r>
        <w:rPr>
          <w:rFonts w:ascii="Arial" w:hAnsi="Arial" w:cs="Arial"/>
          <w:sz w:val="23"/>
          <w:szCs w:val="23"/>
        </w:rPr>
        <w:t>e domande al Consiglio di Stato.</w:t>
      </w:r>
    </w:p>
    <w:p w:rsidR="001755A0" w:rsidRPr="00892434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Default="001755A0" w:rsidP="001755A0">
      <w:pPr>
        <w:pStyle w:val="Normale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eastAsia="Palatino Linotype" w:hAnsi="Arial" w:cs="Arial"/>
          <w:sz w:val="23"/>
          <w:szCs w:val="23"/>
        </w:rPr>
        <w:t>1.</w:t>
      </w:r>
      <w:r w:rsidRPr="00892434">
        <w:rPr>
          <w:rFonts w:ascii="Arial" w:eastAsia="Palatino Linotype" w:hAnsi="Arial" w:cs="Arial"/>
          <w:sz w:val="23"/>
          <w:szCs w:val="23"/>
        </w:rPr>
        <w:tab/>
      </w:r>
      <w:r w:rsidRPr="00892434">
        <w:rPr>
          <w:rFonts w:ascii="Arial" w:hAnsi="Arial" w:cs="Arial"/>
          <w:sz w:val="23"/>
          <w:szCs w:val="23"/>
        </w:rPr>
        <w:t xml:space="preserve">Sulla base di quali disposizioni di legge il </w:t>
      </w:r>
      <w:r>
        <w:rPr>
          <w:rFonts w:ascii="Arial" w:hAnsi="Arial" w:cs="Arial"/>
          <w:sz w:val="23"/>
          <w:szCs w:val="23"/>
        </w:rPr>
        <w:t>G</w:t>
      </w:r>
      <w:r w:rsidRPr="00892434">
        <w:rPr>
          <w:rFonts w:ascii="Arial" w:hAnsi="Arial" w:cs="Arial"/>
          <w:sz w:val="23"/>
          <w:szCs w:val="23"/>
        </w:rPr>
        <w:t xml:space="preserve">overno chiede solo ad alcuni partiti e non a tutti i partiti presenti in Gran Consiglio di indicare nominativi per il </w:t>
      </w:r>
      <w:proofErr w:type="spellStart"/>
      <w:r w:rsidRPr="00892434">
        <w:rPr>
          <w:rFonts w:ascii="Arial" w:hAnsi="Arial" w:cs="Arial"/>
          <w:sz w:val="23"/>
          <w:szCs w:val="23"/>
        </w:rPr>
        <w:t>CdA</w:t>
      </w:r>
      <w:proofErr w:type="spellEnd"/>
      <w:r w:rsidRPr="00892434">
        <w:rPr>
          <w:rFonts w:ascii="Arial" w:hAnsi="Arial" w:cs="Arial"/>
          <w:sz w:val="23"/>
          <w:szCs w:val="23"/>
        </w:rPr>
        <w:t xml:space="preserve"> dell’EOC?</w:t>
      </w:r>
    </w:p>
    <w:p w:rsidR="001755A0" w:rsidRPr="00892434" w:rsidRDefault="001755A0" w:rsidP="001755A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Default="001755A0" w:rsidP="001755A0">
      <w:pPr>
        <w:pStyle w:val="Normale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eastAsia="Palatino Linotype" w:hAnsi="Arial" w:cs="Arial"/>
          <w:sz w:val="23"/>
          <w:szCs w:val="23"/>
        </w:rPr>
        <w:t>2.</w:t>
      </w:r>
      <w:r w:rsidRPr="00892434">
        <w:rPr>
          <w:rFonts w:ascii="Arial" w:eastAsia="Palatino Linotype" w:hAnsi="Arial" w:cs="Arial"/>
          <w:sz w:val="23"/>
          <w:szCs w:val="23"/>
        </w:rPr>
        <w:tab/>
      </w:r>
      <w:r w:rsidRPr="00892434">
        <w:rPr>
          <w:rFonts w:ascii="Arial" w:hAnsi="Arial" w:cs="Arial"/>
          <w:sz w:val="23"/>
          <w:szCs w:val="23"/>
        </w:rPr>
        <w:t xml:space="preserve">Afferma Caprara, smentendo la legge, che il suo partito </w:t>
      </w:r>
      <w:r w:rsidRPr="001139B5">
        <w:rPr>
          <w:rFonts w:ascii="Arial" w:hAnsi="Arial" w:cs="Arial"/>
          <w:i/>
          <w:sz w:val="23"/>
          <w:szCs w:val="23"/>
        </w:rPr>
        <w:t>“ha proposto…”:</w:t>
      </w:r>
      <w:r w:rsidRPr="00892434">
        <w:rPr>
          <w:rFonts w:ascii="Arial" w:hAnsi="Arial" w:cs="Arial"/>
          <w:sz w:val="23"/>
          <w:szCs w:val="23"/>
        </w:rPr>
        <w:t xml:space="preserve"> è al Consiglio di Stato che il PLRT ha proposto dei nominativi? Se questo è avvenuto (e se quindi il Consiglio di Stato non pensa di dover smentire Caprara)</w:t>
      </w:r>
      <w:r>
        <w:rPr>
          <w:rFonts w:ascii="Arial" w:hAnsi="Arial" w:cs="Arial"/>
          <w:sz w:val="23"/>
          <w:szCs w:val="23"/>
        </w:rPr>
        <w:t>,</w:t>
      </w:r>
      <w:r w:rsidRPr="00892434">
        <w:rPr>
          <w:rFonts w:ascii="Arial" w:hAnsi="Arial" w:cs="Arial"/>
          <w:sz w:val="23"/>
          <w:szCs w:val="23"/>
        </w:rPr>
        <w:t xml:space="preserve"> come è avvenuta questa proposta? </w:t>
      </w:r>
    </w:p>
    <w:p w:rsidR="001755A0" w:rsidRPr="00892434" w:rsidRDefault="001755A0" w:rsidP="001755A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Default="001755A0" w:rsidP="001755A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eastAsia="Palatino Linotype" w:hAnsi="Arial" w:cs="Arial"/>
          <w:sz w:val="23"/>
          <w:szCs w:val="23"/>
        </w:rPr>
        <w:t>3.</w:t>
      </w:r>
      <w:r w:rsidRPr="00892434">
        <w:rPr>
          <w:rFonts w:ascii="Arial" w:eastAsia="Palatino Linotype" w:hAnsi="Arial" w:cs="Arial"/>
          <w:sz w:val="23"/>
          <w:szCs w:val="23"/>
        </w:rPr>
        <w:tab/>
      </w:r>
      <w:r w:rsidRPr="00892434">
        <w:rPr>
          <w:rFonts w:ascii="Arial" w:hAnsi="Arial" w:cs="Arial"/>
          <w:sz w:val="23"/>
          <w:szCs w:val="23"/>
        </w:rPr>
        <w:t>Questa procedura è stata la stessa anche per gli altri partiti?</w:t>
      </w:r>
    </w:p>
    <w:p w:rsidR="001755A0" w:rsidRPr="00892434" w:rsidRDefault="001755A0" w:rsidP="001755A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Pr="00892434" w:rsidRDefault="001755A0" w:rsidP="001755A0">
      <w:pPr>
        <w:pStyle w:val="Normale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eastAsia="Palatino Linotype" w:hAnsi="Arial" w:cs="Arial"/>
          <w:sz w:val="23"/>
          <w:szCs w:val="23"/>
        </w:rPr>
        <w:t>4.</w:t>
      </w:r>
      <w:r w:rsidRPr="00892434">
        <w:rPr>
          <w:rFonts w:ascii="Arial" w:eastAsia="Palatino Linotype" w:hAnsi="Arial" w:cs="Arial"/>
          <w:sz w:val="23"/>
          <w:szCs w:val="23"/>
        </w:rPr>
        <w:tab/>
      </w:r>
      <w:r w:rsidRPr="00892434">
        <w:rPr>
          <w:rFonts w:ascii="Arial" w:hAnsi="Arial" w:cs="Arial"/>
          <w:sz w:val="23"/>
          <w:szCs w:val="23"/>
        </w:rPr>
        <w:t xml:space="preserve">Non pensa che sarebbe più onesto e trasparente modificare l’art. 13 </w:t>
      </w:r>
      <w:r>
        <w:rPr>
          <w:rFonts w:ascii="Arial" w:hAnsi="Arial" w:cs="Arial"/>
          <w:sz w:val="23"/>
          <w:szCs w:val="23"/>
        </w:rPr>
        <w:t>L</w:t>
      </w:r>
      <w:r w:rsidRPr="00892434">
        <w:rPr>
          <w:rFonts w:ascii="Arial" w:hAnsi="Arial" w:cs="Arial"/>
          <w:sz w:val="23"/>
          <w:szCs w:val="23"/>
        </w:rPr>
        <w:t xml:space="preserve">EOC inserendo, lo diciamo a titolo puramente esemplificativo, una formulazione del tipo “i </w:t>
      </w:r>
      <w:r w:rsidRPr="00892434">
        <w:rPr>
          <w:rFonts w:ascii="Arial" w:hAnsi="Arial" w:cs="Arial"/>
          <w:color w:val="000000"/>
          <w:sz w:val="23"/>
          <w:szCs w:val="23"/>
        </w:rPr>
        <w:t xml:space="preserve">membri del Consiglio di amministrazione sono nominati dal Gran Consiglio su proposta dei partiti di </w:t>
      </w:r>
      <w:r>
        <w:rPr>
          <w:rFonts w:ascii="Arial" w:hAnsi="Arial" w:cs="Arial"/>
          <w:color w:val="000000"/>
          <w:sz w:val="23"/>
          <w:szCs w:val="23"/>
        </w:rPr>
        <w:t>G</w:t>
      </w:r>
      <w:r w:rsidRPr="00892434">
        <w:rPr>
          <w:rFonts w:ascii="Arial" w:hAnsi="Arial" w:cs="Arial"/>
          <w:color w:val="000000"/>
          <w:sz w:val="23"/>
          <w:szCs w:val="23"/>
        </w:rPr>
        <w:t>overno…”.</w:t>
      </w:r>
    </w:p>
    <w:p w:rsidR="001755A0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Pr="00892434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1755A0" w:rsidRPr="00892434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>Per MPS-POP-Indipendenti</w:t>
      </w:r>
    </w:p>
    <w:p w:rsidR="001755A0" w:rsidRPr="00892434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>Matteo Pronzini</w:t>
      </w:r>
    </w:p>
    <w:p w:rsidR="001755A0" w:rsidRPr="00892434" w:rsidRDefault="001755A0" w:rsidP="00175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92434">
        <w:rPr>
          <w:rFonts w:ascii="Arial" w:hAnsi="Arial" w:cs="Arial"/>
          <w:sz w:val="23"/>
          <w:szCs w:val="23"/>
        </w:rPr>
        <w:t>Arigoni Zürcher - Lepori Sergi</w:t>
      </w:r>
    </w:p>
    <w:p w:rsidR="00903F20" w:rsidRPr="001755A0" w:rsidRDefault="00903F20" w:rsidP="001755A0">
      <w:bookmarkStart w:id="0" w:name="_GoBack"/>
      <w:bookmarkEnd w:id="0"/>
    </w:p>
    <w:sectPr w:rsidR="00903F20" w:rsidRPr="00175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609B6"/>
    <w:multiLevelType w:val="hybridMultilevel"/>
    <w:tmpl w:val="3516EC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B5"/>
    <w:rsid w:val="001755A0"/>
    <w:rsid w:val="003D56B5"/>
    <w:rsid w:val="009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43910A-D8BD-43BB-9C44-11C4378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5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6B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5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5A0"/>
    <w:rPr>
      <w:rFonts w:ascii="Segoe UI" w:eastAsia="Times New Roman" w:hAnsi="Segoe UI" w:cs="Segoe UI"/>
      <w:sz w:val="18"/>
      <w:szCs w:val="18"/>
      <w:lang w:eastAsia="it-CH"/>
    </w:rPr>
  </w:style>
  <w:style w:type="paragraph" w:styleId="NormaleWeb">
    <w:name w:val="Normal (Web)"/>
    <w:basedOn w:val="Normale"/>
    <w:uiPriority w:val="99"/>
    <w:unhideWhenUsed/>
    <w:rsid w:val="001755A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2019-11-07T09:39:00Z</cp:lastPrinted>
  <dcterms:created xsi:type="dcterms:W3CDTF">2019-11-07T09:47:00Z</dcterms:created>
  <dcterms:modified xsi:type="dcterms:W3CDTF">2019-11-07T09:47:00Z</dcterms:modified>
</cp:coreProperties>
</file>