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EA" w:rsidRPr="00871F10" w:rsidRDefault="002E44EA" w:rsidP="002E44EA">
      <w:pPr>
        <w:rPr>
          <w:sz w:val="52"/>
          <w:szCs w:val="52"/>
        </w:rPr>
      </w:pPr>
      <w:r w:rsidRPr="00871F10">
        <w:rPr>
          <w:rFonts w:ascii="Gill Sans MT" w:hAnsi="Gill Sans MT" w:cs="Calibri Light"/>
          <w:b/>
          <w:sz w:val="52"/>
          <w:szCs w:val="52"/>
        </w:rPr>
        <w:t>Messaggio</w:t>
      </w:r>
    </w:p>
    <w:p w:rsidR="00346C2D" w:rsidRPr="00871F10" w:rsidRDefault="00346C2D">
      <w:pPr>
        <w:rPr>
          <w:szCs w:val="24"/>
        </w:rPr>
      </w:pPr>
    </w:p>
    <w:p w:rsidR="00DF434B" w:rsidRPr="00871F10" w:rsidRDefault="00DF434B">
      <w:pPr>
        <w:rPr>
          <w:szCs w:val="24"/>
        </w:rPr>
      </w:pPr>
    </w:p>
    <w:p w:rsidR="00BF3FC3" w:rsidRPr="00871F10" w:rsidRDefault="00BF3FC3">
      <w:pPr>
        <w:rPr>
          <w:szCs w:val="24"/>
        </w:rPr>
      </w:pPr>
    </w:p>
    <w:p w:rsidR="00BF3FC3" w:rsidRDefault="0034010A">
      <w:pPr>
        <w:tabs>
          <w:tab w:val="left" w:pos="2098"/>
          <w:tab w:val="left" w:pos="4933"/>
        </w:tabs>
      </w:pPr>
      <w:r w:rsidRPr="0034010A">
        <w:rPr>
          <w:b/>
          <w:sz w:val="32"/>
        </w:rPr>
        <w:t>7917</w:t>
      </w:r>
      <w:r w:rsidR="00BF3FC3">
        <w:rPr>
          <w:sz w:val="28"/>
        </w:rPr>
        <w:tab/>
      </w:r>
      <w:r w:rsidRPr="0034010A">
        <w:rPr>
          <w:sz w:val="28"/>
        </w:rPr>
        <w:t>28</w:t>
      </w:r>
      <w:r w:rsidR="00577B4B" w:rsidRPr="0034010A">
        <w:rPr>
          <w:sz w:val="28"/>
        </w:rPr>
        <w:t xml:space="preserve"> ottobre </w:t>
      </w:r>
      <w:r w:rsidR="0036544B" w:rsidRPr="0034010A">
        <w:rPr>
          <w:sz w:val="28"/>
        </w:rPr>
        <w:t>2020</w:t>
      </w:r>
      <w:r w:rsidR="00BF3FC3">
        <w:rPr>
          <w:sz w:val="28"/>
        </w:rPr>
        <w:tab/>
      </w:r>
      <w:r>
        <w:rPr>
          <w:sz w:val="28"/>
        </w:rPr>
        <w:t>ISTITUZIONI</w:t>
      </w:r>
      <w:r w:rsidR="00B61658">
        <w:rPr>
          <w:sz w:val="28"/>
        </w:rPr>
        <w:t xml:space="preserve"> </w:t>
      </w:r>
    </w:p>
    <w:p w:rsidR="00BF3FC3" w:rsidRDefault="00BF3FC3"/>
    <w:p w:rsidR="00FD5A47" w:rsidRDefault="00FD5A47"/>
    <w:p w:rsidR="00BF3FC3" w:rsidRDefault="00BF3FC3"/>
    <w:p w:rsidR="0034010A" w:rsidRPr="00B345AB" w:rsidRDefault="0034010A" w:rsidP="0034010A">
      <w:pPr>
        <w:pStyle w:val="Titolo1"/>
        <w:tabs>
          <w:tab w:val="clear" w:pos="567"/>
        </w:tabs>
        <w:spacing w:after="0"/>
        <w:rPr>
          <w:rFonts w:cs="Arial"/>
          <w:caps w:val="0"/>
          <w:sz w:val="28"/>
          <w:szCs w:val="28"/>
        </w:rPr>
      </w:pPr>
      <w:r w:rsidRPr="00B345AB">
        <w:rPr>
          <w:rFonts w:cs="Arial"/>
          <w:caps w:val="0"/>
          <w:sz w:val="28"/>
          <w:szCs w:val="28"/>
        </w:rPr>
        <w:t>Modifica pu</w:t>
      </w:r>
      <w:bookmarkStart w:id="0" w:name="_GoBack"/>
      <w:r w:rsidRPr="00B345AB">
        <w:rPr>
          <w:rFonts w:cs="Arial"/>
          <w:caps w:val="0"/>
          <w:sz w:val="28"/>
          <w:szCs w:val="28"/>
        </w:rPr>
        <w:t>ntual</w:t>
      </w:r>
      <w:bookmarkEnd w:id="0"/>
      <w:r w:rsidRPr="00B345AB">
        <w:rPr>
          <w:rFonts w:cs="Arial"/>
          <w:caps w:val="0"/>
          <w:sz w:val="28"/>
          <w:szCs w:val="28"/>
        </w:rPr>
        <w:t>e della legge sulla cittadinanza ticinese e sull’attinenza comunale (</w:t>
      </w:r>
      <w:proofErr w:type="spellStart"/>
      <w:r w:rsidRPr="00B345AB">
        <w:rPr>
          <w:rFonts w:cs="Arial"/>
          <w:caps w:val="0"/>
          <w:sz w:val="28"/>
          <w:szCs w:val="28"/>
        </w:rPr>
        <w:t>LCCit</w:t>
      </w:r>
      <w:proofErr w:type="spellEnd"/>
      <w:r w:rsidRPr="00B345AB">
        <w:rPr>
          <w:rFonts w:cs="Arial"/>
          <w:caps w:val="0"/>
          <w:sz w:val="28"/>
          <w:szCs w:val="28"/>
        </w:rPr>
        <w:t>) dell’8 novembre 1994 - Inserimento del criterio di rimborso delle prestazioni assistenziali percepite negli ultimi dieci anni</w:t>
      </w:r>
    </w:p>
    <w:p w:rsidR="0089464E" w:rsidRPr="00577B4B" w:rsidRDefault="0089464E" w:rsidP="004E176C">
      <w:pPr>
        <w:rPr>
          <w:rFonts w:cs="Arial"/>
          <w:b/>
          <w:szCs w:val="24"/>
        </w:rPr>
      </w:pPr>
    </w:p>
    <w:p w:rsidR="00BF3FC3" w:rsidRDefault="00BF3FC3"/>
    <w:p w:rsidR="00FD5A47" w:rsidRDefault="00FD5A47"/>
    <w:p w:rsidR="0089464E" w:rsidRPr="0089464E" w:rsidRDefault="0089464E" w:rsidP="0089464E">
      <w:pPr>
        <w:contextualSpacing/>
        <w:rPr>
          <w:szCs w:val="24"/>
        </w:rPr>
      </w:pPr>
      <w:r w:rsidRPr="0089464E">
        <w:rPr>
          <w:szCs w:val="24"/>
        </w:rPr>
        <w:t>Signor Presidente,</w:t>
      </w:r>
    </w:p>
    <w:p w:rsidR="0089464E" w:rsidRPr="0089464E" w:rsidRDefault="0089464E" w:rsidP="0089464E">
      <w:pPr>
        <w:contextualSpacing/>
        <w:rPr>
          <w:szCs w:val="24"/>
        </w:rPr>
      </w:pPr>
      <w:r w:rsidRPr="0089464E">
        <w:rPr>
          <w:szCs w:val="24"/>
        </w:rPr>
        <w:t xml:space="preserve">signore e signori </w:t>
      </w:r>
      <w:r w:rsidRPr="004E176C">
        <w:rPr>
          <w:szCs w:val="24"/>
        </w:rPr>
        <w:t>d</w:t>
      </w:r>
      <w:r w:rsidRPr="0089464E">
        <w:rPr>
          <w:szCs w:val="24"/>
        </w:rPr>
        <w:t>eputati,</w:t>
      </w:r>
    </w:p>
    <w:p w:rsidR="004E176C" w:rsidRDefault="004E176C" w:rsidP="004E176C">
      <w:pPr>
        <w:tabs>
          <w:tab w:val="left" w:pos="284"/>
          <w:tab w:val="left" w:pos="426"/>
          <w:tab w:val="left" w:pos="4962"/>
        </w:tabs>
        <w:rPr>
          <w:szCs w:val="24"/>
        </w:rPr>
      </w:pPr>
    </w:p>
    <w:p w:rsidR="00564B38" w:rsidRDefault="0034010A" w:rsidP="00577B4B">
      <w:pPr>
        <w:contextualSpacing/>
        <w:rPr>
          <w:rFonts w:cs="Arial"/>
          <w:szCs w:val="24"/>
        </w:rPr>
      </w:pPr>
      <w:r w:rsidRPr="003142CF">
        <w:rPr>
          <w:rFonts w:cs="Arial"/>
          <w:szCs w:val="24"/>
        </w:rPr>
        <w:t xml:space="preserve">con questo messaggio sottoponiamo alla vostra attenzione la proposta del Consiglio di Stato di una modifica puntuale della Legge </w:t>
      </w:r>
      <w:r w:rsidRPr="003142CF">
        <w:rPr>
          <w:rFonts w:cs="Arial"/>
          <w:bCs/>
          <w:szCs w:val="24"/>
        </w:rPr>
        <w:t>sulla cittadinanza ticinese e sull’attinenza comunale dell’8 novembre 1994</w:t>
      </w:r>
      <w:r>
        <w:rPr>
          <w:rFonts w:cs="Arial"/>
          <w:bCs/>
          <w:szCs w:val="24"/>
        </w:rPr>
        <w:t xml:space="preserve"> </w:t>
      </w:r>
      <w:r w:rsidRPr="003142CF">
        <w:rPr>
          <w:rFonts w:cs="Arial"/>
          <w:szCs w:val="24"/>
        </w:rPr>
        <w:t>(</w:t>
      </w:r>
      <w:proofErr w:type="spellStart"/>
      <w:r w:rsidRPr="003142CF">
        <w:rPr>
          <w:rFonts w:cs="Arial"/>
          <w:szCs w:val="24"/>
        </w:rPr>
        <w:t>LCCit</w:t>
      </w:r>
      <w:proofErr w:type="spellEnd"/>
      <w:r w:rsidRPr="003142CF">
        <w:rPr>
          <w:rFonts w:cs="Arial"/>
          <w:szCs w:val="24"/>
        </w:rPr>
        <w:t>; RL 141.100), che concerne gli articoli 7 (requisiti di concessione della cittadinanza cantonale e dell’attinenza comunale a confederati), 12 (requisiti di concessione della cittadinanza cantonale a stranieri), 22 (acquisto della cittadinanza cantonale in via agevolata da parte di confederati) e 24 (acquisto della cittadinanza in via agevolata cantonale da parte di stranieri)</w:t>
      </w:r>
      <w:r>
        <w:rPr>
          <w:rFonts w:cs="Arial"/>
          <w:szCs w:val="24"/>
        </w:rPr>
        <w:t>.</w:t>
      </w:r>
    </w:p>
    <w:p w:rsidR="00577B4B" w:rsidRPr="00AF2C99" w:rsidRDefault="00577B4B" w:rsidP="00577B4B">
      <w:pPr>
        <w:contextualSpacing/>
        <w:rPr>
          <w:rFonts w:cs="Arial"/>
          <w:szCs w:val="24"/>
        </w:rPr>
      </w:pPr>
    </w:p>
    <w:p w:rsidR="00AD146D" w:rsidRPr="00F16AE4" w:rsidRDefault="00AD146D" w:rsidP="00B61658">
      <w:pPr>
        <w:tabs>
          <w:tab w:val="left" w:pos="5387"/>
        </w:tabs>
        <w:rPr>
          <w:rFonts w:cs="Arial"/>
          <w:szCs w:val="24"/>
          <w:lang w:val="it-CH"/>
        </w:rPr>
      </w:pPr>
    </w:p>
    <w:p w:rsidR="004E176C" w:rsidRDefault="004E176C" w:rsidP="004E176C">
      <w:pPr>
        <w:spacing w:line="23" w:lineRule="atLeast"/>
        <w:rPr>
          <w:rFonts w:cs="Arial"/>
        </w:rPr>
      </w:pPr>
    </w:p>
    <w:p w:rsidR="0034010A" w:rsidRPr="0034010A" w:rsidRDefault="0034010A" w:rsidP="0034010A">
      <w:pPr>
        <w:pStyle w:val="Titolo1"/>
      </w:pPr>
      <w:bookmarkStart w:id="1" w:name="_Toc344889020"/>
      <w:bookmarkStart w:id="2" w:name="_Toc404267896"/>
      <w:r>
        <w:t>1</w:t>
      </w:r>
      <w:r w:rsidRPr="0034010A">
        <w:t>.</w:t>
      </w:r>
      <w:r w:rsidRPr="0034010A">
        <w:tab/>
        <w:t>Premessa</w:t>
      </w:r>
      <w:bookmarkEnd w:id="1"/>
      <w:bookmarkEnd w:id="2"/>
    </w:p>
    <w:p w:rsidR="0034010A" w:rsidRPr="003142CF" w:rsidRDefault="0034010A" w:rsidP="0034010A">
      <w:pPr>
        <w:rPr>
          <w:rFonts w:cs="Arial"/>
          <w:szCs w:val="24"/>
        </w:rPr>
      </w:pPr>
      <w:r w:rsidRPr="003142CF">
        <w:rPr>
          <w:rFonts w:cs="Arial"/>
          <w:szCs w:val="24"/>
        </w:rPr>
        <w:t xml:space="preserve">Le modifiche alla </w:t>
      </w:r>
      <w:proofErr w:type="spellStart"/>
      <w:r w:rsidRPr="003142CF">
        <w:rPr>
          <w:rFonts w:cs="Arial"/>
          <w:szCs w:val="24"/>
        </w:rPr>
        <w:t>LCCit</w:t>
      </w:r>
      <w:proofErr w:type="spellEnd"/>
      <w:r w:rsidRPr="003142CF">
        <w:rPr>
          <w:rFonts w:cs="Arial"/>
          <w:szCs w:val="24"/>
        </w:rPr>
        <w:t xml:space="preserve"> proposte in questo messaggio prendono origine dall’iniziativa parlamentare del 21 gennaio 2019 presentata nella forma generica da Nicholas Marioli (ripresa da Omar Balli e Sem Genini) per il Gruppo della Lega dei Ticinesi e dall’approvazione del rapporto della Commissione giustizia e diritti da parte del Gran Consiglio il 18 febbraio 2020.</w:t>
      </w:r>
    </w:p>
    <w:p w:rsidR="0034010A" w:rsidRPr="003142CF" w:rsidRDefault="0034010A" w:rsidP="0034010A">
      <w:pPr>
        <w:rPr>
          <w:rFonts w:cs="Arial"/>
          <w:szCs w:val="24"/>
        </w:rPr>
      </w:pPr>
    </w:p>
    <w:p w:rsidR="0034010A" w:rsidRPr="003142CF" w:rsidRDefault="0034010A" w:rsidP="0034010A">
      <w:pPr>
        <w:rPr>
          <w:rFonts w:cs="Arial"/>
          <w:szCs w:val="24"/>
          <w:highlight w:val="yellow"/>
        </w:rPr>
      </w:pPr>
      <w:r w:rsidRPr="003142CF">
        <w:rPr>
          <w:rFonts w:cs="Arial"/>
          <w:szCs w:val="24"/>
        </w:rPr>
        <w:t>Il tema riguarda l’introduzione a livello cantonale di misure più restrittive rispetto a quelle previste dalle disposizioni federali sulla cittadinanza, per quanto riguarda i criteri di integrazione per la naturalizzazione, in particolare in merito al termine di indipendenza dal percepimento di prestazioni dell’aiuto sociale.</w:t>
      </w:r>
    </w:p>
    <w:p w:rsidR="0034010A" w:rsidRPr="003142CF" w:rsidRDefault="0034010A" w:rsidP="0034010A">
      <w:pPr>
        <w:rPr>
          <w:rFonts w:cs="Arial"/>
          <w:szCs w:val="24"/>
        </w:rPr>
      </w:pPr>
    </w:p>
    <w:p w:rsidR="0034010A" w:rsidRPr="003142CF" w:rsidRDefault="0034010A" w:rsidP="0034010A">
      <w:pPr>
        <w:rPr>
          <w:rFonts w:cs="Arial"/>
          <w:szCs w:val="24"/>
        </w:rPr>
      </w:pPr>
      <w:r w:rsidRPr="003142CF">
        <w:rPr>
          <w:rFonts w:cs="Arial"/>
          <w:szCs w:val="24"/>
        </w:rPr>
        <w:t>L’introduzione di tale inasprimento a livello cantonale per la naturalizzazione di cittadini stranieri si ripercuote anche sulle naturalizzazioni di cittadini confederati, rispettivamente sulle procedure di naturalizzazione agevolata a livello cantonale.</w:t>
      </w:r>
    </w:p>
    <w:p w:rsidR="0034010A" w:rsidRPr="003142CF" w:rsidRDefault="0034010A" w:rsidP="0034010A">
      <w:pPr>
        <w:rPr>
          <w:rFonts w:cs="Arial"/>
          <w:szCs w:val="24"/>
        </w:rPr>
      </w:pPr>
    </w:p>
    <w:p w:rsidR="0034010A" w:rsidRPr="003142CF" w:rsidRDefault="0034010A" w:rsidP="0034010A">
      <w:pPr>
        <w:pStyle w:val="Default"/>
        <w:jc w:val="both"/>
      </w:pPr>
      <w:r w:rsidRPr="003142CF">
        <w:t>Quale premessa generale è opportuno richiamare il principio su cui si basa il requisito in discussione, che discende direttamente dalla legge federale sulla cittadinanza svizzera</w:t>
      </w:r>
      <w:r w:rsidRPr="003142CF">
        <w:rPr>
          <w:rStyle w:val="Rimandonotaapidipagina"/>
        </w:rPr>
        <w:footnoteReference w:id="1"/>
      </w:r>
      <w:r w:rsidRPr="003142CF">
        <w:t xml:space="preserve"> e dalla relativa </w:t>
      </w:r>
      <w:r>
        <w:t>o</w:t>
      </w:r>
      <w:r w:rsidRPr="003142CF">
        <w:t>rdinanza d’applicazione</w:t>
      </w:r>
      <w:r w:rsidRPr="003142CF">
        <w:rPr>
          <w:rStyle w:val="Rimandonotaapidipagina"/>
        </w:rPr>
        <w:footnoteReference w:id="2"/>
      </w:r>
      <w:r w:rsidRPr="003142CF">
        <w:t xml:space="preserve">. Nel concreto si tratta della capacità dei candidati alla naturalizzazione di mantenersi economicamente; tale requisito è considerato </w:t>
      </w:r>
      <w:r w:rsidRPr="003142CF">
        <w:lastRenderedPageBreak/>
        <w:t xml:space="preserve">soddisfatto laddove il richiedente è in grado di mantenere sé stesso e la sua famiglia e di ossequiare le proprie obbligazioni alimentari con il suo reddito, il suo patrimonio o le prestazioni di terzi cui ha diritto (p. es. assicurazioni sociali, alimenti secondo il Codice civile svizzero). In questo modo si evita di escludere a priori dalla naturalizzazione le persone che non svolgono un’attività lucrativa ma dispongono di mezzi finanziari sufficienti, per esempio beneficiari di una rendita o persone abbienti. Giusta l’art. 9 </w:t>
      </w:r>
      <w:proofErr w:type="spellStart"/>
      <w:r w:rsidRPr="003142CF">
        <w:t>OCit</w:t>
      </w:r>
      <w:proofErr w:type="spellEnd"/>
      <w:r w:rsidRPr="003142CF">
        <w:t xml:space="preserve"> sono tuttavia previste delle deroghe che tengono conto delle circostanze personali particolari, segnatamente situazioni di disabilità, l’adempimento di obblighi di assistenza. </w:t>
      </w:r>
    </w:p>
    <w:p w:rsidR="0034010A" w:rsidRPr="003142CF" w:rsidRDefault="0034010A" w:rsidP="0034010A">
      <w:pPr>
        <w:pStyle w:val="Default"/>
      </w:pPr>
    </w:p>
    <w:p w:rsidR="0034010A" w:rsidRPr="003142CF" w:rsidRDefault="0034010A" w:rsidP="0034010A">
      <w:pPr>
        <w:pStyle w:val="Default"/>
        <w:tabs>
          <w:tab w:val="left" w:pos="8931"/>
        </w:tabs>
        <w:jc w:val="both"/>
        <w:rPr>
          <w:color w:val="auto"/>
        </w:rPr>
      </w:pPr>
      <w:r w:rsidRPr="003142CF">
        <w:rPr>
          <w:color w:val="auto"/>
        </w:rPr>
        <w:t xml:space="preserve">La percezione di prestazioni dell’aiuto sociale costituisce un ostacolo fondamentale alla naturalizzazione, giacché la persona in questione non è in grado, da sola, di sovvenire ai propri bisogni. Quest’interpretazione è stata adottata dal Consiglio federale già nel messaggio concernente la revisione totale della </w:t>
      </w:r>
      <w:proofErr w:type="spellStart"/>
      <w:r w:rsidRPr="003142CF">
        <w:rPr>
          <w:color w:val="auto"/>
        </w:rPr>
        <w:t>LCit</w:t>
      </w:r>
      <w:proofErr w:type="spellEnd"/>
      <w:r w:rsidRPr="003142CF">
        <w:rPr>
          <w:color w:val="auto"/>
        </w:rPr>
        <w:t xml:space="preserve"> ed è stata poi consolidata nei dibattiti parlamentari che ne sono seguiti. La stessa è quindi stata precisata nelle disposizioni d’esecuzione (</w:t>
      </w:r>
      <w:proofErr w:type="spellStart"/>
      <w:r w:rsidRPr="003142CF">
        <w:rPr>
          <w:color w:val="auto"/>
        </w:rPr>
        <w:t>OCit</w:t>
      </w:r>
      <w:proofErr w:type="spellEnd"/>
      <w:r w:rsidRPr="003142CF">
        <w:rPr>
          <w:color w:val="auto"/>
        </w:rPr>
        <w:t>).</w:t>
      </w:r>
    </w:p>
    <w:p w:rsidR="0034010A" w:rsidRPr="003142CF" w:rsidRDefault="0034010A" w:rsidP="0034010A">
      <w:pPr>
        <w:pStyle w:val="Default"/>
        <w:rPr>
          <w:color w:val="auto"/>
        </w:rPr>
      </w:pPr>
    </w:p>
    <w:p w:rsidR="0034010A" w:rsidRPr="003142CF" w:rsidRDefault="0034010A" w:rsidP="0034010A">
      <w:pPr>
        <w:pStyle w:val="Default"/>
        <w:jc w:val="both"/>
      </w:pPr>
      <w:r w:rsidRPr="003142CF">
        <w:t>In particolare, secondo quanto prescritto dall’articolo 7 cpv. 3 dell’</w:t>
      </w:r>
      <w:proofErr w:type="spellStart"/>
      <w:r w:rsidRPr="003142CF">
        <w:t>OCit</w:t>
      </w:r>
      <w:proofErr w:type="spellEnd"/>
      <w:r w:rsidRPr="003142CF">
        <w:t xml:space="preserve">, chi nei tre anni immediatamente precedenti la domanda o durante la procedura di naturalizzazione percepisce prestazioni dell’aiuto sociale è escluso dalla naturalizzazione. </w:t>
      </w:r>
    </w:p>
    <w:p w:rsidR="0034010A" w:rsidRPr="003142CF" w:rsidRDefault="0034010A" w:rsidP="0034010A">
      <w:pPr>
        <w:pStyle w:val="Default"/>
      </w:pPr>
    </w:p>
    <w:p w:rsidR="0034010A" w:rsidRPr="003142CF" w:rsidRDefault="0034010A" w:rsidP="0034010A">
      <w:pPr>
        <w:pStyle w:val="Testonotaapidipagina"/>
        <w:tabs>
          <w:tab w:val="left" w:pos="0"/>
        </w:tabs>
        <w:rPr>
          <w:rFonts w:cs="Arial"/>
          <w:sz w:val="24"/>
          <w:szCs w:val="24"/>
          <w:lang w:val="it-CH"/>
        </w:rPr>
      </w:pPr>
      <w:r w:rsidRPr="003142CF">
        <w:rPr>
          <w:rFonts w:cs="Arial"/>
          <w:color w:val="000000"/>
          <w:sz w:val="24"/>
          <w:szCs w:val="24"/>
        </w:rPr>
        <w:t xml:space="preserve">Il diritto cantonale ticinese ha ripreso tale requisito nella </w:t>
      </w:r>
      <w:proofErr w:type="spellStart"/>
      <w:r w:rsidRPr="003142CF">
        <w:rPr>
          <w:rFonts w:cs="Arial"/>
          <w:sz w:val="24"/>
          <w:szCs w:val="24"/>
          <w:lang w:val="it-CH"/>
        </w:rPr>
        <w:t>LCCit</w:t>
      </w:r>
      <w:proofErr w:type="spellEnd"/>
      <w:r w:rsidRPr="003142CF">
        <w:rPr>
          <w:rFonts w:cs="Arial"/>
          <w:sz w:val="24"/>
          <w:szCs w:val="24"/>
          <w:lang w:val="it-CH"/>
        </w:rPr>
        <w:t xml:space="preserve"> nell’ambito della revisione di adeguamento al diritto federale entrata in vigore il 1. gennaio 2018.</w:t>
      </w:r>
    </w:p>
    <w:p w:rsidR="0034010A" w:rsidRPr="003142CF" w:rsidRDefault="0034010A" w:rsidP="0034010A">
      <w:pPr>
        <w:pStyle w:val="Default"/>
      </w:pPr>
    </w:p>
    <w:p w:rsidR="0034010A" w:rsidRPr="003142CF" w:rsidRDefault="0034010A" w:rsidP="0034010A">
      <w:pPr>
        <w:rPr>
          <w:rFonts w:cs="Arial"/>
          <w:color w:val="000000"/>
          <w:szCs w:val="24"/>
          <w:lang w:val="it-CH" w:eastAsia="en-US"/>
        </w:rPr>
      </w:pPr>
      <w:r w:rsidRPr="003142CF">
        <w:rPr>
          <w:rFonts w:cs="Arial"/>
          <w:color w:val="000000"/>
          <w:szCs w:val="24"/>
        </w:rPr>
        <w:t>Il Gran Consiglio reputa che un periodo di tre anni sia insufficiente per valutare l’idoneità di una persona che richiede la naturalizzazione che è, senza ombra di dubbio, un passo importante e significativo. È stato evidenziato come questo lasso di tempo si presti anche ad abusi, ritenendo che un’attesa relativamente corta non inciti a voler procedere al rimborso anche se nel frattempo la situazione finanziaria del richiedente è mutata.</w:t>
      </w:r>
    </w:p>
    <w:p w:rsidR="0034010A" w:rsidRPr="003142CF" w:rsidRDefault="0034010A" w:rsidP="0034010A">
      <w:pPr>
        <w:rPr>
          <w:rFonts w:cs="Arial"/>
          <w:color w:val="000000"/>
          <w:szCs w:val="24"/>
        </w:rPr>
      </w:pPr>
    </w:p>
    <w:p w:rsidR="0034010A" w:rsidRPr="003142CF" w:rsidRDefault="0034010A" w:rsidP="0034010A">
      <w:pPr>
        <w:rPr>
          <w:rFonts w:cs="Arial"/>
          <w:color w:val="000000"/>
          <w:szCs w:val="24"/>
        </w:rPr>
      </w:pPr>
      <w:r w:rsidRPr="003142CF">
        <w:rPr>
          <w:rFonts w:cs="Arial"/>
          <w:color w:val="000000"/>
          <w:szCs w:val="24"/>
        </w:rPr>
        <w:t>La Commissione giustizia e diritti del Gran Consiglio nel suo rapporto del 3 febbraio 2020 evidenzia altresì che sono previste norme legislative molto più incisive nella Legge federale sugli stranieri e la loro integrazione (</w:t>
      </w:r>
      <w:proofErr w:type="spellStart"/>
      <w:r w:rsidRPr="003142CF">
        <w:rPr>
          <w:rFonts w:cs="Arial"/>
          <w:color w:val="000000"/>
          <w:szCs w:val="24"/>
        </w:rPr>
        <w:t>LStrI</w:t>
      </w:r>
      <w:proofErr w:type="spellEnd"/>
      <w:r w:rsidRPr="003142CF">
        <w:rPr>
          <w:rFonts w:cs="Arial"/>
          <w:color w:val="000000"/>
          <w:szCs w:val="24"/>
        </w:rPr>
        <w:t xml:space="preserve">; RS 142.20), per quanto attiene alla revoca dei permessi (art. 62 cpv. 1 </w:t>
      </w:r>
      <w:proofErr w:type="spellStart"/>
      <w:r w:rsidRPr="003142CF">
        <w:rPr>
          <w:rFonts w:cs="Arial"/>
          <w:color w:val="000000"/>
          <w:szCs w:val="24"/>
        </w:rPr>
        <w:t>lett</w:t>
      </w:r>
      <w:proofErr w:type="spellEnd"/>
      <w:r w:rsidRPr="003142CF">
        <w:rPr>
          <w:rFonts w:cs="Arial"/>
          <w:color w:val="000000"/>
          <w:szCs w:val="24"/>
        </w:rPr>
        <w:t xml:space="preserve">. e ed art. 63 cpv. 1 </w:t>
      </w:r>
      <w:proofErr w:type="spellStart"/>
      <w:r w:rsidRPr="003142CF">
        <w:rPr>
          <w:rFonts w:cs="Arial"/>
          <w:color w:val="000000"/>
          <w:szCs w:val="24"/>
        </w:rPr>
        <w:t>lett</w:t>
      </w:r>
      <w:proofErr w:type="spellEnd"/>
      <w:r w:rsidRPr="003142CF">
        <w:rPr>
          <w:rFonts w:cs="Arial"/>
          <w:color w:val="000000"/>
          <w:szCs w:val="24"/>
        </w:rPr>
        <w:t>. c). A tale proposito è stata citata una recente sentenza del Tribunale federale che ha confermato la decisione del Tribunale amministrativo cantonale (TRAM) relativa al mancato rinnovo di un permesso di dimora con la motivazione che il richiedente era indebitato e dipendente dagli aiuti sociali.</w:t>
      </w:r>
    </w:p>
    <w:p w:rsidR="0034010A" w:rsidRPr="003142CF" w:rsidRDefault="0034010A" w:rsidP="0034010A">
      <w:pPr>
        <w:rPr>
          <w:rFonts w:cs="Arial"/>
          <w:color w:val="000000"/>
          <w:szCs w:val="24"/>
        </w:rPr>
      </w:pPr>
    </w:p>
    <w:p w:rsidR="0034010A" w:rsidRPr="003142CF" w:rsidRDefault="0034010A" w:rsidP="0034010A">
      <w:pPr>
        <w:rPr>
          <w:rFonts w:cs="Arial"/>
          <w:color w:val="000000"/>
          <w:szCs w:val="24"/>
        </w:rPr>
      </w:pPr>
      <w:r w:rsidRPr="003142CF">
        <w:rPr>
          <w:rFonts w:cs="Arial"/>
          <w:color w:val="000000"/>
          <w:szCs w:val="24"/>
        </w:rPr>
        <w:t>A mente della Commissione, se la massima autorità giudiziaria federale ha sancito il mancato rinnovo di un permesso di dimora, a maggior ragione, in materia di naturalizzazione si deve essere più ristrettivi.</w:t>
      </w:r>
    </w:p>
    <w:p w:rsidR="0034010A" w:rsidRPr="003142CF" w:rsidRDefault="0034010A" w:rsidP="0034010A">
      <w:pPr>
        <w:rPr>
          <w:rFonts w:cs="Arial"/>
          <w:color w:val="000000"/>
          <w:szCs w:val="24"/>
        </w:rPr>
      </w:pPr>
    </w:p>
    <w:p w:rsidR="0034010A" w:rsidRPr="003142CF" w:rsidRDefault="0034010A" w:rsidP="0034010A">
      <w:pPr>
        <w:rPr>
          <w:rFonts w:cs="Arial"/>
          <w:color w:val="000000"/>
          <w:szCs w:val="24"/>
        </w:rPr>
      </w:pPr>
      <w:r w:rsidRPr="003142CF">
        <w:rPr>
          <w:rFonts w:cs="Arial"/>
          <w:color w:val="000000"/>
          <w:szCs w:val="24"/>
        </w:rPr>
        <w:t>Il Gran Consiglio, avallando con decisione del 18 febbraio 2020 il rapporto della Commissione giustizia e diritti, ha aderito a tali conclusioni.</w:t>
      </w:r>
    </w:p>
    <w:p w:rsidR="0034010A" w:rsidRPr="003142CF" w:rsidRDefault="0034010A" w:rsidP="0034010A">
      <w:pPr>
        <w:rPr>
          <w:rFonts w:cs="Arial"/>
          <w:szCs w:val="24"/>
        </w:rPr>
      </w:pPr>
    </w:p>
    <w:p w:rsidR="0034010A" w:rsidRPr="003142CF" w:rsidRDefault="0034010A" w:rsidP="0034010A">
      <w:pPr>
        <w:pStyle w:val="Default"/>
        <w:jc w:val="both"/>
      </w:pPr>
      <w:r w:rsidRPr="003142CF">
        <w:t xml:space="preserve">Conformemente all’articolo </w:t>
      </w:r>
      <w:hyperlink r:id="rId7" w:anchor="a38" w:history="1">
        <w:r w:rsidRPr="003142CF">
          <w:rPr>
            <w:rStyle w:val="Enfasigrassetto"/>
            <w:b w:val="0"/>
          </w:rPr>
          <w:t>38 cpv. 2 della Costituzione federale</w:t>
        </w:r>
        <w:r w:rsidRPr="003142CF">
          <w:rPr>
            <w:rStyle w:val="Rimandonotaapidipagina"/>
          </w:rPr>
          <w:footnoteReference w:id="3"/>
        </w:r>
      </w:hyperlink>
      <w:r w:rsidRPr="003142CF">
        <w:t> </w:t>
      </w:r>
      <w:r w:rsidRPr="003142CF">
        <w:rPr>
          <w:bCs/>
          <w:i/>
        </w:rPr>
        <w:t>la C</w:t>
      </w:r>
      <w:r w:rsidRPr="003142CF">
        <w:rPr>
          <w:i/>
        </w:rPr>
        <w:t>onfederazione emana prescrizioni minime sulla naturalizzazione degli stranieri da parte dei Cantoni e rilascia il relativo permesso</w:t>
      </w:r>
      <w:r w:rsidRPr="003142CF">
        <w:rPr>
          <w:iCs/>
        </w:rPr>
        <w:t>.</w:t>
      </w:r>
    </w:p>
    <w:p w:rsidR="0034010A" w:rsidRPr="003142CF" w:rsidRDefault="0034010A" w:rsidP="0034010A">
      <w:pPr>
        <w:pStyle w:val="Default"/>
        <w:rPr>
          <w:color w:val="auto"/>
        </w:rPr>
      </w:pPr>
    </w:p>
    <w:p w:rsidR="0034010A" w:rsidRPr="003142CF" w:rsidRDefault="0034010A" w:rsidP="0034010A">
      <w:pPr>
        <w:pStyle w:val="Default"/>
        <w:jc w:val="both"/>
        <w:rPr>
          <w:color w:val="auto"/>
        </w:rPr>
      </w:pPr>
      <w:r w:rsidRPr="003142CF">
        <w:rPr>
          <w:color w:val="auto"/>
        </w:rPr>
        <w:lastRenderedPageBreak/>
        <w:t>Così come lo precisa il rapporto esplicativo all’</w:t>
      </w:r>
      <w:proofErr w:type="spellStart"/>
      <w:r w:rsidRPr="003142CF">
        <w:rPr>
          <w:color w:val="auto"/>
        </w:rPr>
        <w:t>avamprogetto</w:t>
      </w:r>
      <w:proofErr w:type="spellEnd"/>
      <w:r w:rsidRPr="003142CF">
        <w:rPr>
          <w:color w:val="auto"/>
        </w:rPr>
        <w:t xml:space="preserve"> di Ordinanza sulla cittadinanza nel commento relativo all’articolo 7 cpv. 3</w:t>
      </w:r>
      <w:r w:rsidRPr="003142CF">
        <w:rPr>
          <w:rStyle w:val="Rimandonotaapidipagina"/>
          <w:color w:val="auto"/>
        </w:rPr>
        <w:footnoteReference w:id="4"/>
      </w:r>
      <w:r w:rsidRPr="003142CF">
        <w:rPr>
          <w:color w:val="auto"/>
        </w:rPr>
        <w:t xml:space="preserve">, i Cantoni sono liberi di adottare norme più severe (p. es. estendere il periodo a cinque anni, esigere il rimborso delle prestazioni percepite). </w:t>
      </w:r>
    </w:p>
    <w:p w:rsidR="0034010A" w:rsidRPr="003142CF" w:rsidRDefault="0034010A" w:rsidP="0034010A">
      <w:pPr>
        <w:rPr>
          <w:rFonts w:cs="Arial"/>
          <w:szCs w:val="24"/>
        </w:rPr>
      </w:pPr>
    </w:p>
    <w:p w:rsidR="0034010A" w:rsidRPr="003142CF" w:rsidRDefault="0034010A" w:rsidP="0034010A">
      <w:pPr>
        <w:rPr>
          <w:rFonts w:cs="Arial"/>
          <w:szCs w:val="24"/>
        </w:rPr>
      </w:pPr>
      <w:r w:rsidRPr="003142CF">
        <w:rPr>
          <w:rFonts w:cs="Arial"/>
          <w:szCs w:val="24"/>
        </w:rPr>
        <w:t xml:space="preserve">Occorre precisare che la percezione di prestazioni dell’aiuto sociale non costituisce un ostacolo assoluto alla naturalizzazione. Nel valutare la partecipazione alla vita economica o l’acquisizione di una formazione, le autorità competenti sono infatti vincolate dal divieto costituzionale di qualsiasi discriminazione e dal principio della proporzionalità (vedere a tale riguardo il commento all’art. 6 </w:t>
      </w:r>
      <w:proofErr w:type="spellStart"/>
      <w:r w:rsidRPr="003142CF">
        <w:rPr>
          <w:rFonts w:cs="Arial"/>
          <w:szCs w:val="24"/>
        </w:rPr>
        <w:t>OCit</w:t>
      </w:r>
      <w:proofErr w:type="spellEnd"/>
      <w:r w:rsidRPr="003142CF">
        <w:rPr>
          <w:rFonts w:cs="Arial"/>
          <w:szCs w:val="24"/>
        </w:rPr>
        <w:t xml:space="preserve"> del menzionato rapporto esplicativo all’</w:t>
      </w:r>
      <w:proofErr w:type="spellStart"/>
      <w:r w:rsidRPr="003142CF">
        <w:rPr>
          <w:rFonts w:cs="Arial"/>
          <w:szCs w:val="24"/>
        </w:rPr>
        <w:t>OCit</w:t>
      </w:r>
      <w:proofErr w:type="spellEnd"/>
      <w:r w:rsidRPr="003142CF">
        <w:rPr>
          <w:rFonts w:cs="Arial"/>
          <w:szCs w:val="24"/>
        </w:rPr>
        <w:t xml:space="preserve">). Può capitare che una persona cada a carico dell’aiuto sociale a causa di un handicap. Conformemente alla giurisprudenza del Tribunale federale, in questo caso il diniego della naturalizzazione potrebbe costituire una discriminazione: si pensi al caso in cui il richiedente soffra di un handicap che lo rende incapace di sovvenire ai propri bisogni e lo rende pertanto tributario dell’aiuto sociale. Occorre parimenti evitare di violare il principio della proporzionalità, come per esempio nel caso in cui una persona abbia beneficiato o benefici dell’aiuto sociale per motivi di cui non ha colpa (p. es. genitore che alleva i figli da solo, </w:t>
      </w:r>
      <w:proofErr w:type="spellStart"/>
      <w:r w:rsidRPr="003142CF">
        <w:rPr>
          <w:rFonts w:cs="Arial"/>
          <w:szCs w:val="24"/>
        </w:rPr>
        <w:t>working-poor</w:t>
      </w:r>
      <w:proofErr w:type="spellEnd"/>
      <w:r w:rsidRPr="003142CF">
        <w:rPr>
          <w:rFonts w:cs="Arial"/>
          <w:szCs w:val="24"/>
        </w:rPr>
        <w:t>) oppure ai casi in cui la dipendenza dall’aiuto sociale sia stata minima e si sia protratta per poco tempo.</w:t>
      </w:r>
    </w:p>
    <w:p w:rsidR="0034010A" w:rsidRDefault="0034010A" w:rsidP="0034010A">
      <w:pPr>
        <w:rPr>
          <w:rFonts w:cs="Arial"/>
          <w:szCs w:val="24"/>
        </w:rPr>
      </w:pPr>
    </w:p>
    <w:p w:rsidR="0034010A" w:rsidRPr="003142CF" w:rsidRDefault="0034010A" w:rsidP="0034010A">
      <w:pPr>
        <w:rPr>
          <w:rFonts w:cs="Arial"/>
          <w:szCs w:val="24"/>
        </w:rPr>
      </w:pPr>
    </w:p>
    <w:p w:rsidR="0034010A" w:rsidRPr="003142CF" w:rsidRDefault="0034010A" w:rsidP="0034010A">
      <w:pPr>
        <w:rPr>
          <w:rFonts w:cs="Arial"/>
          <w:szCs w:val="24"/>
        </w:rPr>
      </w:pPr>
    </w:p>
    <w:p w:rsidR="0034010A" w:rsidRPr="003142CF" w:rsidRDefault="0034010A" w:rsidP="0034010A">
      <w:pPr>
        <w:pStyle w:val="Titolo1"/>
      </w:pPr>
      <w:bookmarkStart w:id="3" w:name="_Toc404267899"/>
      <w:r>
        <w:t>2</w:t>
      </w:r>
      <w:r w:rsidRPr="003142CF">
        <w:t>.</w:t>
      </w:r>
      <w:r w:rsidRPr="003142CF">
        <w:tab/>
        <w:t>P</w:t>
      </w:r>
      <w:bookmarkEnd w:id="3"/>
      <w:r w:rsidRPr="003142CF">
        <w:t xml:space="preserve">ROPOSTE DI MODIFICA </w:t>
      </w:r>
    </w:p>
    <w:p w:rsidR="0034010A" w:rsidRPr="00824FE4" w:rsidRDefault="00824FE4" w:rsidP="00824FE4">
      <w:pPr>
        <w:pStyle w:val="Titolo2"/>
      </w:pPr>
      <w:bookmarkStart w:id="4" w:name="_Toc404267900"/>
      <w:r>
        <w:t>2.1</w:t>
      </w:r>
      <w:r>
        <w:tab/>
      </w:r>
      <w:r w:rsidR="0034010A" w:rsidRPr="00824FE4">
        <w:t xml:space="preserve">Proposta di modifica all’art. 7 cpv. 2 </w:t>
      </w:r>
      <w:proofErr w:type="spellStart"/>
      <w:r w:rsidR="0034010A" w:rsidRPr="00824FE4">
        <w:t>lett</w:t>
      </w:r>
      <w:proofErr w:type="spellEnd"/>
      <w:r w:rsidR="0034010A" w:rsidRPr="00824FE4">
        <w:t xml:space="preserve">. e) </w:t>
      </w:r>
      <w:proofErr w:type="spellStart"/>
      <w:r w:rsidR="0034010A" w:rsidRPr="00824FE4">
        <w:t>LCCit</w:t>
      </w:r>
      <w:bookmarkEnd w:id="4"/>
      <w:proofErr w:type="spellEnd"/>
      <w:r w:rsidR="0034010A" w:rsidRPr="00824FE4">
        <w:t xml:space="preserve"> e commento nuova norma</w:t>
      </w:r>
    </w:p>
    <w:p w:rsidR="0034010A" w:rsidRPr="00965AFB" w:rsidRDefault="0034010A" w:rsidP="0034010A">
      <w:pPr>
        <w:jc w:val="left"/>
        <w:rPr>
          <w:rFonts w:cs="Arial"/>
          <w:sz w:val="22"/>
          <w:szCs w:val="22"/>
        </w:rPr>
      </w:pPr>
    </w:p>
    <w:tbl>
      <w:tblPr>
        <w:tblW w:w="0" w:type="auto"/>
        <w:tblLook w:val="01E0" w:firstRow="1" w:lastRow="1" w:firstColumn="1" w:lastColumn="1" w:noHBand="0" w:noVBand="0"/>
      </w:tblPr>
      <w:tblGrid>
        <w:gridCol w:w="4679"/>
        <w:gridCol w:w="4949"/>
      </w:tblGrid>
      <w:tr w:rsidR="0034010A" w:rsidRPr="00C53493" w:rsidTr="00C7610F">
        <w:tc>
          <w:tcPr>
            <w:tcW w:w="4788" w:type="dxa"/>
            <w:tcBorders>
              <w:top w:val="single" w:sz="4" w:space="0" w:color="auto"/>
              <w:left w:val="single" w:sz="4" w:space="0" w:color="auto"/>
              <w:bottom w:val="single" w:sz="4" w:space="0" w:color="auto"/>
            </w:tcBorders>
          </w:tcPr>
          <w:p w:rsidR="0034010A" w:rsidRPr="00C53493" w:rsidRDefault="0034010A" w:rsidP="00C7610F">
            <w:pPr>
              <w:spacing w:before="40" w:after="40"/>
              <w:ind w:right="187"/>
              <w:jc w:val="left"/>
              <w:rPr>
                <w:rFonts w:cs="Arial"/>
                <w:b/>
                <w:bCs/>
                <w:sz w:val="22"/>
                <w:szCs w:val="22"/>
              </w:rPr>
            </w:pPr>
            <w:r w:rsidRPr="00C53493">
              <w:rPr>
                <w:rFonts w:cs="Arial"/>
                <w:b/>
                <w:bCs/>
                <w:sz w:val="22"/>
                <w:szCs w:val="22"/>
              </w:rPr>
              <w:t>Norma vigente</w:t>
            </w:r>
          </w:p>
        </w:tc>
        <w:tc>
          <w:tcPr>
            <w:tcW w:w="5066" w:type="dxa"/>
            <w:tcBorders>
              <w:top w:val="single" w:sz="4" w:space="0" w:color="auto"/>
              <w:bottom w:val="single" w:sz="4" w:space="0" w:color="auto"/>
              <w:right w:val="single" w:sz="4" w:space="0" w:color="auto"/>
            </w:tcBorders>
          </w:tcPr>
          <w:p w:rsidR="0034010A" w:rsidRPr="006D3B2E" w:rsidRDefault="0034010A" w:rsidP="00C7610F">
            <w:pPr>
              <w:spacing w:before="40" w:after="40"/>
              <w:ind w:left="72"/>
              <w:jc w:val="left"/>
              <w:rPr>
                <w:rFonts w:cs="Arial"/>
                <w:b/>
                <w:sz w:val="22"/>
                <w:szCs w:val="22"/>
              </w:rPr>
            </w:pPr>
            <w:r w:rsidRPr="006D3B2E">
              <w:rPr>
                <w:rFonts w:cs="Arial"/>
                <w:b/>
                <w:sz w:val="22"/>
                <w:szCs w:val="22"/>
              </w:rPr>
              <w:t>Proposta di modifica</w:t>
            </w:r>
          </w:p>
        </w:tc>
      </w:tr>
      <w:tr w:rsidR="0034010A" w:rsidRPr="00965AFB" w:rsidTr="00C76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4" w:space="0" w:color="auto"/>
            </w:tcBorders>
          </w:tcPr>
          <w:p w:rsidR="0034010A" w:rsidRPr="001B1CA5" w:rsidRDefault="0034010A" w:rsidP="00824FE4">
            <w:pPr>
              <w:tabs>
                <w:tab w:val="left" w:pos="180"/>
              </w:tabs>
              <w:spacing w:after="120"/>
              <w:ind w:left="181" w:right="187" w:hanging="181"/>
              <w:rPr>
                <w:rFonts w:cs="Arial"/>
                <w:sz w:val="22"/>
                <w:szCs w:val="22"/>
              </w:rPr>
            </w:pPr>
            <w:r w:rsidRPr="001B1CA5">
              <w:rPr>
                <w:rFonts w:cs="Arial"/>
                <w:b/>
                <w:bCs/>
                <w:sz w:val="22"/>
                <w:szCs w:val="22"/>
              </w:rPr>
              <w:t>Art. 7</w:t>
            </w:r>
            <w:r>
              <w:rPr>
                <w:rFonts w:cs="Arial"/>
                <w:b/>
                <w:bCs/>
                <w:sz w:val="22"/>
                <w:szCs w:val="22"/>
              </w:rPr>
              <w:t xml:space="preserve"> cpv. 2</w:t>
            </w:r>
          </w:p>
          <w:p w:rsidR="0034010A" w:rsidRPr="001B1CA5" w:rsidRDefault="0034010A" w:rsidP="00C7610F">
            <w:pPr>
              <w:pStyle w:val="NormaleWeb"/>
              <w:spacing w:before="0" w:beforeAutospacing="0" w:after="0" w:afterAutospacing="0"/>
              <w:ind w:right="187"/>
              <w:jc w:val="both"/>
              <w:rPr>
                <w:rFonts w:ascii="Arial" w:hAnsi="Arial" w:cs="Arial"/>
                <w:color w:val="000000"/>
                <w:sz w:val="22"/>
                <w:szCs w:val="22"/>
              </w:rPr>
            </w:pPr>
            <w:bookmarkStart w:id="5" w:name="_ftnref8"/>
            <w:bookmarkEnd w:id="5"/>
            <w:r w:rsidRPr="001B1CA5">
              <w:rPr>
                <w:rFonts w:ascii="Arial" w:hAnsi="Arial" w:cs="Arial"/>
                <w:color w:val="000000"/>
                <w:sz w:val="22"/>
                <w:szCs w:val="22"/>
              </w:rPr>
              <w:t xml:space="preserve">Un’integrazione riuscita si desume segnatamente: </w:t>
            </w:r>
          </w:p>
          <w:p w:rsidR="0034010A" w:rsidRPr="001B1CA5" w:rsidRDefault="0034010A" w:rsidP="00824FE4">
            <w:pPr>
              <w:pStyle w:val="NormaleWeb"/>
              <w:numPr>
                <w:ilvl w:val="0"/>
                <w:numId w:val="29"/>
              </w:numPr>
              <w:spacing w:before="60" w:beforeAutospacing="0" w:after="60" w:afterAutospacing="0"/>
              <w:ind w:left="316" w:right="187" w:hanging="316"/>
              <w:jc w:val="both"/>
              <w:rPr>
                <w:rFonts w:ascii="Arial" w:hAnsi="Arial" w:cs="Arial"/>
                <w:color w:val="000000"/>
                <w:sz w:val="22"/>
                <w:szCs w:val="22"/>
              </w:rPr>
            </w:pPr>
            <w:r w:rsidRPr="001B1CA5">
              <w:rPr>
                <w:rFonts w:ascii="Arial" w:hAnsi="Arial" w:cs="Arial"/>
                <w:color w:val="000000"/>
                <w:sz w:val="22"/>
                <w:szCs w:val="22"/>
              </w:rPr>
              <w:t xml:space="preserve">dal rispetto della sicurezza e dell’ordine pubblici; </w:t>
            </w:r>
          </w:p>
          <w:p w:rsidR="0034010A" w:rsidRPr="001B1CA5" w:rsidRDefault="0034010A" w:rsidP="00824FE4">
            <w:pPr>
              <w:pStyle w:val="NormaleWeb"/>
              <w:numPr>
                <w:ilvl w:val="0"/>
                <w:numId w:val="29"/>
              </w:numPr>
              <w:tabs>
                <w:tab w:val="left" w:pos="316"/>
              </w:tabs>
              <w:spacing w:before="60" w:beforeAutospacing="0" w:after="60" w:afterAutospacing="0"/>
              <w:ind w:left="316" w:right="187" w:hanging="316"/>
              <w:jc w:val="both"/>
              <w:rPr>
                <w:rFonts w:ascii="Arial" w:hAnsi="Arial" w:cs="Arial"/>
                <w:color w:val="000000"/>
                <w:sz w:val="22"/>
                <w:szCs w:val="22"/>
              </w:rPr>
            </w:pPr>
            <w:r w:rsidRPr="001B1CA5">
              <w:rPr>
                <w:rFonts w:ascii="Arial" w:hAnsi="Arial" w:cs="Arial"/>
                <w:color w:val="000000"/>
                <w:sz w:val="22"/>
                <w:szCs w:val="22"/>
              </w:rPr>
              <w:t xml:space="preserve">dal rispetto dei valori della Costituzione cantonale; </w:t>
            </w:r>
          </w:p>
          <w:p w:rsidR="0034010A" w:rsidRPr="001B1CA5" w:rsidRDefault="0034010A" w:rsidP="00824FE4">
            <w:pPr>
              <w:pStyle w:val="NormaleWeb"/>
              <w:numPr>
                <w:ilvl w:val="0"/>
                <w:numId w:val="29"/>
              </w:numPr>
              <w:spacing w:before="60" w:beforeAutospacing="0" w:after="60" w:afterAutospacing="0"/>
              <w:ind w:left="316" w:right="187" w:hanging="316"/>
              <w:jc w:val="both"/>
              <w:rPr>
                <w:rFonts w:ascii="Arial" w:hAnsi="Arial" w:cs="Arial"/>
                <w:color w:val="000000"/>
                <w:sz w:val="22"/>
                <w:szCs w:val="22"/>
              </w:rPr>
            </w:pPr>
            <w:r w:rsidRPr="001B1CA5">
              <w:rPr>
                <w:rFonts w:ascii="Arial" w:hAnsi="Arial" w:cs="Arial"/>
                <w:color w:val="000000"/>
                <w:sz w:val="22"/>
                <w:szCs w:val="22"/>
              </w:rPr>
              <w:t xml:space="preserve">dalla capacità di esprimersi nella vita quotidiana, oralmente e per scritto, nella lingua italiana; e </w:t>
            </w:r>
          </w:p>
          <w:p w:rsidR="0034010A" w:rsidRPr="001B1CA5" w:rsidRDefault="0034010A" w:rsidP="00824FE4">
            <w:pPr>
              <w:pStyle w:val="NormaleWeb"/>
              <w:numPr>
                <w:ilvl w:val="0"/>
                <w:numId w:val="29"/>
              </w:numPr>
              <w:spacing w:before="60" w:beforeAutospacing="0" w:after="60" w:afterAutospacing="0"/>
              <w:ind w:left="316" w:right="187" w:hanging="316"/>
              <w:jc w:val="both"/>
              <w:rPr>
                <w:rFonts w:ascii="Arial" w:hAnsi="Arial" w:cs="Arial"/>
                <w:color w:val="000000"/>
                <w:sz w:val="22"/>
                <w:szCs w:val="22"/>
              </w:rPr>
            </w:pPr>
            <w:r w:rsidRPr="001B1CA5">
              <w:rPr>
                <w:rFonts w:ascii="Arial" w:hAnsi="Arial" w:cs="Arial"/>
                <w:color w:val="000000"/>
                <w:sz w:val="22"/>
                <w:szCs w:val="22"/>
              </w:rPr>
              <w:t xml:space="preserve">dalla partecipazione alla vita economica o dall’acquisizione di una formazione. </w:t>
            </w:r>
          </w:p>
          <w:p w:rsidR="0034010A" w:rsidRPr="001B1CA5" w:rsidRDefault="0034010A" w:rsidP="00C7610F">
            <w:pPr>
              <w:pStyle w:val="NormaleWeb"/>
              <w:spacing w:before="0" w:beforeAutospacing="0" w:after="0" w:afterAutospacing="0"/>
              <w:ind w:right="187"/>
              <w:jc w:val="both"/>
              <w:rPr>
                <w:rFonts w:cs="Arial"/>
                <w:sz w:val="22"/>
                <w:szCs w:val="22"/>
              </w:rPr>
            </w:pPr>
          </w:p>
        </w:tc>
        <w:tc>
          <w:tcPr>
            <w:tcW w:w="5066" w:type="dxa"/>
            <w:tcBorders>
              <w:top w:val="single" w:sz="4" w:space="0" w:color="auto"/>
            </w:tcBorders>
          </w:tcPr>
          <w:p w:rsidR="0034010A" w:rsidRPr="006D3B2E" w:rsidRDefault="0034010A" w:rsidP="00824FE4">
            <w:pPr>
              <w:tabs>
                <w:tab w:val="left" w:pos="1701"/>
              </w:tabs>
              <w:spacing w:after="120"/>
              <w:ind w:left="720" w:right="187" w:hanging="646"/>
              <w:rPr>
                <w:rFonts w:cs="Arial"/>
                <w:b/>
                <w:sz w:val="22"/>
                <w:szCs w:val="22"/>
                <w:lang w:val="it-CH"/>
              </w:rPr>
            </w:pPr>
            <w:r w:rsidRPr="006D3B2E">
              <w:rPr>
                <w:rFonts w:cs="Arial"/>
                <w:b/>
                <w:sz w:val="22"/>
                <w:szCs w:val="22"/>
                <w:lang w:val="it-CH"/>
              </w:rPr>
              <w:t xml:space="preserve">Art. 7 cpv. 2 </w:t>
            </w:r>
            <w:proofErr w:type="spellStart"/>
            <w:r w:rsidRPr="006D3B2E">
              <w:rPr>
                <w:rFonts w:cs="Arial"/>
                <w:b/>
                <w:sz w:val="22"/>
                <w:szCs w:val="22"/>
                <w:lang w:val="it-CH"/>
              </w:rPr>
              <w:t>lett</w:t>
            </w:r>
            <w:proofErr w:type="spellEnd"/>
            <w:r w:rsidRPr="006D3B2E">
              <w:rPr>
                <w:rFonts w:cs="Arial"/>
                <w:b/>
                <w:sz w:val="22"/>
                <w:szCs w:val="22"/>
                <w:lang w:val="it-CH"/>
              </w:rPr>
              <w:t>. e) (nuova)</w:t>
            </w:r>
          </w:p>
          <w:p w:rsidR="0034010A" w:rsidRPr="001B1CA5" w:rsidRDefault="0034010A" w:rsidP="00C7610F">
            <w:pPr>
              <w:pStyle w:val="NormaleWeb"/>
              <w:spacing w:before="0" w:beforeAutospacing="0" w:after="0" w:afterAutospacing="0"/>
              <w:ind w:right="187"/>
              <w:jc w:val="both"/>
              <w:rPr>
                <w:rFonts w:ascii="Arial" w:hAnsi="Arial" w:cs="Arial"/>
                <w:color w:val="000000"/>
                <w:sz w:val="22"/>
                <w:szCs w:val="22"/>
              </w:rPr>
            </w:pPr>
            <w:r w:rsidRPr="001B1CA5">
              <w:rPr>
                <w:rFonts w:ascii="Arial" w:hAnsi="Arial" w:cs="Arial"/>
                <w:color w:val="000000"/>
                <w:sz w:val="22"/>
                <w:szCs w:val="22"/>
              </w:rPr>
              <w:t xml:space="preserve">Un’integrazione riuscita si desume segnatamente: </w:t>
            </w:r>
          </w:p>
          <w:p w:rsidR="0034010A" w:rsidRPr="001B1CA5" w:rsidRDefault="0034010A" w:rsidP="00824FE4">
            <w:pPr>
              <w:pStyle w:val="NormaleWeb"/>
              <w:numPr>
                <w:ilvl w:val="0"/>
                <w:numId w:val="31"/>
              </w:numPr>
              <w:spacing w:before="60" w:beforeAutospacing="0" w:after="60" w:afterAutospacing="0"/>
              <w:ind w:left="323" w:right="187" w:hanging="293"/>
              <w:jc w:val="both"/>
              <w:rPr>
                <w:rFonts w:ascii="Arial" w:hAnsi="Arial" w:cs="Arial"/>
                <w:color w:val="000000"/>
                <w:sz w:val="22"/>
                <w:szCs w:val="22"/>
              </w:rPr>
            </w:pPr>
            <w:r w:rsidRPr="001B1CA5">
              <w:rPr>
                <w:rFonts w:ascii="Arial" w:hAnsi="Arial" w:cs="Arial"/>
                <w:color w:val="000000"/>
                <w:sz w:val="22"/>
                <w:szCs w:val="22"/>
              </w:rPr>
              <w:t xml:space="preserve">dal rispetto della sicurezza e dell’ordine pubblici; </w:t>
            </w:r>
          </w:p>
          <w:p w:rsidR="0034010A" w:rsidRPr="001B1CA5" w:rsidRDefault="0034010A" w:rsidP="00824FE4">
            <w:pPr>
              <w:pStyle w:val="NormaleWeb"/>
              <w:numPr>
                <w:ilvl w:val="0"/>
                <w:numId w:val="31"/>
              </w:numPr>
              <w:spacing w:before="60" w:beforeAutospacing="0" w:after="60" w:afterAutospacing="0"/>
              <w:ind w:left="323" w:right="187" w:hanging="293"/>
              <w:jc w:val="both"/>
              <w:rPr>
                <w:rFonts w:ascii="Arial" w:hAnsi="Arial" w:cs="Arial"/>
                <w:color w:val="000000"/>
                <w:sz w:val="22"/>
                <w:szCs w:val="22"/>
              </w:rPr>
            </w:pPr>
            <w:r w:rsidRPr="001B1CA5">
              <w:rPr>
                <w:rFonts w:ascii="Arial" w:hAnsi="Arial" w:cs="Arial"/>
                <w:color w:val="000000"/>
                <w:sz w:val="22"/>
                <w:szCs w:val="22"/>
              </w:rPr>
              <w:t xml:space="preserve">dal rispetto dei valori della Costituzione cantonale; </w:t>
            </w:r>
          </w:p>
          <w:p w:rsidR="0034010A" w:rsidRPr="001B1CA5" w:rsidRDefault="0034010A" w:rsidP="00824FE4">
            <w:pPr>
              <w:pStyle w:val="NormaleWeb"/>
              <w:numPr>
                <w:ilvl w:val="0"/>
                <w:numId w:val="31"/>
              </w:numPr>
              <w:spacing w:before="60" w:beforeAutospacing="0" w:after="60" w:afterAutospacing="0"/>
              <w:ind w:left="323" w:right="187" w:hanging="293"/>
              <w:jc w:val="both"/>
              <w:rPr>
                <w:rFonts w:ascii="Arial" w:hAnsi="Arial" w:cs="Arial"/>
                <w:color w:val="000000"/>
                <w:sz w:val="22"/>
                <w:szCs w:val="22"/>
              </w:rPr>
            </w:pPr>
            <w:r w:rsidRPr="001B1CA5">
              <w:rPr>
                <w:rFonts w:ascii="Arial" w:hAnsi="Arial" w:cs="Arial"/>
                <w:color w:val="000000"/>
                <w:sz w:val="22"/>
                <w:szCs w:val="22"/>
              </w:rPr>
              <w:t>dalla capacità di esprimersi nella vita quotidiana, oralmente e per scritto, nella lingua italiana;</w:t>
            </w:r>
          </w:p>
          <w:p w:rsidR="0034010A" w:rsidRPr="006D3B2E" w:rsidRDefault="0034010A" w:rsidP="00824FE4">
            <w:pPr>
              <w:pStyle w:val="NormaleWeb"/>
              <w:numPr>
                <w:ilvl w:val="0"/>
                <w:numId w:val="31"/>
              </w:numPr>
              <w:spacing w:before="60" w:beforeAutospacing="0" w:after="60" w:afterAutospacing="0"/>
              <w:ind w:left="323" w:right="187" w:hanging="293"/>
              <w:jc w:val="both"/>
              <w:rPr>
                <w:rFonts w:ascii="Arial" w:hAnsi="Arial" w:cs="Arial"/>
                <w:sz w:val="22"/>
                <w:szCs w:val="22"/>
              </w:rPr>
            </w:pPr>
            <w:r w:rsidRPr="001B1CA5">
              <w:rPr>
                <w:rFonts w:ascii="Arial" w:hAnsi="Arial" w:cs="Arial"/>
                <w:color w:val="000000"/>
                <w:sz w:val="22"/>
                <w:szCs w:val="22"/>
              </w:rPr>
              <w:t xml:space="preserve">dalla partecipazione alla vita economica o </w:t>
            </w:r>
            <w:r w:rsidRPr="006D3B2E">
              <w:rPr>
                <w:rFonts w:ascii="Arial" w:hAnsi="Arial" w:cs="Arial"/>
                <w:sz w:val="22"/>
                <w:szCs w:val="22"/>
              </w:rPr>
              <w:t xml:space="preserve">dall’acquisizione di una formazione; e </w:t>
            </w:r>
          </w:p>
          <w:p w:rsidR="0034010A" w:rsidRPr="006D3B2E" w:rsidRDefault="0034010A" w:rsidP="00824FE4">
            <w:pPr>
              <w:pStyle w:val="NormaleWeb"/>
              <w:numPr>
                <w:ilvl w:val="0"/>
                <w:numId w:val="31"/>
              </w:numPr>
              <w:spacing w:before="60" w:beforeAutospacing="0" w:after="60" w:afterAutospacing="0"/>
              <w:ind w:left="323" w:right="187" w:hanging="293"/>
              <w:jc w:val="both"/>
              <w:rPr>
                <w:rFonts w:ascii="Arial" w:hAnsi="Arial" w:cs="Arial"/>
                <w:sz w:val="22"/>
                <w:szCs w:val="22"/>
              </w:rPr>
            </w:pPr>
            <w:r w:rsidRPr="006D3B2E">
              <w:rPr>
                <w:rFonts w:ascii="Arial" w:hAnsi="Arial" w:cs="Arial"/>
                <w:sz w:val="22"/>
                <w:szCs w:val="22"/>
              </w:rPr>
              <w:t>dall’indipendenza da aiuti sociali negli ultimi dieci anni, a meno che tali aiuti siano interamente restituiti.</w:t>
            </w:r>
          </w:p>
          <w:p w:rsidR="0034010A" w:rsidRPr="00965AFB" w:rsidRDefault="0034010A" w:rsidP="00C7610F">
            <w:pPr>
              <w:pStyle w:val="NormaleWeb"/>
              <w:spacing w:before="0" w:beforeAutospacing="0" w:after="0" w:afterAutospacing="0"/>
              <w:ind w:right="187"/>
              <w:jc w:val="both"/>
              <w:rPr>
                <w:rFonts w:cs="Arial"/>
                <w:sz w:val="22"/>
                <w:szCs w:val="22"/>
              </w:rPr>
            </w:pPr>
          </w:p>
        </w:tc>
      </w:tr>
    </w:tbl>
    <w:p w:rsidR="0034010A" w:rsidRDefault="0034010A" w:rsidP="0034010A">
      <w:pPr>
        <w:jc w:val="left"/>
        <w:rPr>
          <w:rFonts w:cs="Arial"/>
          <w:b/>
          <w:szCs w:val="24"/>
        </w:rPr>
      </w:pPr>
    </w:p>
    <w:p w:rsidR="0034010A" w:rsidRPr="00127BB5" w:rsidRDefault="0034010A" w:rsidP="00561368">
      <w:pPr>
        <w:spacing w:after="120"/>
        <w:jc w:val="left"/>
        <w:rPr>
          <w:rFonts w:cs="Arial"/>
          <w:b/>
          <w:szCs w:val="24"/>
        </w:rPr>
      </w:pPr>
      <w:r w:rsidRPr="00127BB5">
        <w:rPr>
          <w:rFonts w:cs="Arial"/>
          <w:b/>
          <w:szCs w:val="24"/>
        </w:rPr>
        <w:t>Commento</w:t>
      </w:r>
    </w:p>
    <w:p w:rsidR="0034010A" w:rsidRPr="00127BB5" w:rsidRDefault="0034010A" w:rsidP="0034010A">
      <w:pPr>
        <w:ind w:right="-1"/>
        <w:rPr>
          <w:rFonts w:cs="Arial"/>
          <w:szCs w:val="24"/>
        </w:rPr>
      </w:pPr>
      <w:r w:rsidRPr="00127BB5">
        <w:rPr>
          <w:rFonts w:cs="Arial"/>
          <w:szCs w:val="24"/>
        </w:rPr>
        <w:t xml:space="preserve">Tale disposizione concretizza la volontà del Parlamento di introdurre a livello cantonale misure più restrittive rispetto a quelle previste dall’Ordinanza federale sulla cittadinanza, in particolare per quanto riguarda il termine di indipendenza dal percepimento di prestazioni dell’aiuto sociale. </w:t>
      </w:r>
    </w:p>
    <w:p w:rsidR="0034010A" w:rsidRPr="00127BB5" w:rsidRDefault="0034010A" w:rsidP="0034010A">
      <w:pPr>
        <w:ind w:right="-1"/>
        <w:rPr>
          <w:rFonts w:cs="Arial"/>
          <w:szCs w:val="24"/>
        </w:rPr>
      </w:pPr>
      <w:r w:rsidRPr="00127BB5">
        <w:rPr>
          <w:rFonts w:cs="Arial"/>
          <w:szCs w:val="24"/>
        </w:rPr>
        <w:lastRenderedPageBreak/>
        <w:t>Per rispettare i principi di parità di trattamento e parallelismo, l’inasprimento delle condizioni applicate per cittadini stranieri che si vogliono naturalizzare, deve essere esteso anche alle naturalizzazioni di cittadini confederati che vogliono acquisire la cittadinanza cantonale ticinese e un’attinenza comunale del nostro Cantone.</w:t>
      </w:r>
    </w:p>
    <w:p w:rsidR="0034010A" w:rsidRPr="00127BB5" w:rsidRDefault="0034010A" w:rsidP="0034010A">
      <w:pPr>
        <w:ind w:right="-1"/>
        <w:rPr>
          <w:rFonts w:cs="Arial"/>
          <w:szCs w:val="24"/>
        </w:rPr>
      </w:pPr>
      <w:r w:rsidRPr="00127BB5">
        <w:rPr>
          <w:rFonts w:cs="Arial"/>
          <w:szCs w:val="24"/>
        </w:rPr>
        <w:t xml:space="preserve">La precisazione in una disposizione specifica rende più trasparente l’interpretazione, altrimenti rilevabile per estensione dal concetto di partecipazione alla vita economica di cui alla lettera d) dell’art. 7 cpv. 2 </w:t>
      </w:r>
      <w:proofErr w:type="spellStart"/>
      <w:r w:rsidRPr="00127BB5">
        <w:rPr>
          <w:rFonts w:cs="Arial"/>
          <w:szCs w:val="24"/>
        </w:rPr>
        <w:t>LCCit</w:t>
      </w:r>
      <w:proofErr w:type="spellEnd"/>
      <w:r w:rsidRPr="00127BB5">
        <w:rPr>
          <w:rFonts w:cs="Arial"/>
          <w:szCs w:val="24"/>
        </w:rPr>
        <w:t xml:space="preserve">. </w:t>
      </w:r>
    </w:p>
    <w:p w:rsidR="0034010A" w:rsidRPr="00127BB5" w:rsidRDefault="0034010A" w:rsidP="0034010A">
      <w:pPr>
        <w:tabs>
          <w:tab w:val="left" w:pos="1701"/>
        </w:tabs>
        <w:spacing w:before="120"/>
        <w:ind w:right="-57"/>
        <w:rPr>
          <w:rFonts w:cs="Arial"/>
          <w:noProof/>
          <w:szCs w:val="24"/>
        </w:rPr>
      </w:pPr>
    </w:p>
    <w:p w:rsidR="0034010A" w:rsidRPr="00824FE4" w:rsidRDefault="00824FE4" w:rsidP="00824FE4">
      <w:pPr>
        <w:pStyle w:val="Titolo2"/>
      </w:pPr>
      <w:r>
        <w:t>2.2</w:t>
      </w:r>
      <w:r>
        <w:tab/>
      </w:r>
      <w:r w:rsidR="0034010A" w:rsidRPr="00824FE4">
        <w:t xml:space="preserve">Proposta di modifica all’art. 12 cpv. 1 </w:t>
      </w:r>
      <w:proofErr w:type="spellStart"/>
      <w:r w:rsidR="0034010A" w:rsidRPr="00824FE4">
        <w:t>lett</w:t>
      </w:r>
      <w:proofErr w:type="spellEnd"/>
      <w:r w:rsidR="0034010A" w:rsidRPr="00824FE4">
        <w:t xml:space="preserve">. d) </w:t>
      </w:r>
      <w:proofErr w:type="spellStart"/>
      <w:r w:rsidR="0034010A" w:rsidRPr="00824FE4">
        <w:t>LCCit</w:t>
      </w:r>
      <w:proofErr w:type="spellEnd"/>
      <w:r w:rsidR="0034010A" w:rsidRPr="00824FE4">
        <w:t xml:space="preserve"> e commento nuova norma</w:t>
      </w:r>
    </w:p>
    <w:p w:rsidR="0034010A" w:rsidRPr="00965AFB" w:rsidRDefault="0034010A" w:rsidP="0034010A">
      <w:pPr>
        <w:jc w:val="left"/>
        <w:rPr>
          <w:rFonts w:cs="Arial"/>
          <w:sz w:val="22"/>
          <w:szCs w:val="22"/>
        </w:rPr>
      </w:pPr>
    </w:p>
    <w:tbl>
      <w:tblPr>
        <w:tblW w:w="0" w:type="auto"/>
        <w:tblLook w:val="01E0" w:firstRow="1" w:lastRow="1" w:firstColumn="1" w:lastColumn="1" w:noHBand="0" w:noVBand="0"/>
      </w:tblPr>
      <w:tblGrid>
        <w:gridCol w:w="4682"/>
        <w:gridCol w:w="4946"/>
      </w:tblGrid>
      <w:tr w:rsidR="0034010A" w:rsidRPr="00C53493" w:rsidTr="00C7610F">
        <w:tc>
          <w:tcPr>
            <w:tcW w:w="4788" w:type="dxa"/>
            <w:tcBorders>
              <w:top w:val="single" w:sz="4" w:space="0" w:color="auto"/>
              <w:left w:val="single" w:sz="4" w:space="0" w:color="auto"/>
              <w:bottom w:val="single" w:sz="4" w:space="0" w:color="auto"/>
            </w:tcBorders>
          </w:tcPr>
          <w:p w:rsidR="0034010A" w:rsidRPr="006D3B2E" w:rsidRDefault="0034010A" w:rsidP="00C7610F">
            <w:pPr>
              <w:spacing w:before="40" w:after="40"/>
              <w:ind w:right="187"/>
              <w:jc w:val="left"/>
              <w:rPr>
                <w:rFonts w:cs="Arial"/>
                <w:b/>
                <w:bCs/>
                <w:sz w:val="22"/>
                <w:szCs w:val="22"/>
              </w:rPr>
            </w:pPr>
            <w:r w:rsidRPr="006D3B2E">
              <w:rPr>
                <w:rFonts w:cs="Arial"/>
                <w:b/>
                <w:bCs/>
                <w:sz w:val="22"/>
                <w:szCs w:val="22"/>
              </w:rPr>
              <w:t>Norma vigente</w:t>
            </w:r>
          </w:p>
        </w:tc>
        <w:tc>
          <w:tcPr>
            <w:tcW w:w="5066" w:type="dxa"/>
            <w:tcBorders>
              <w:top w:val="single" w:sz="4" w:space="0" w:color="auto"/>
              <w:bottom w:val="single" w:sz="4" w:space="0" w:color="auto"/>
              <w:right w:val="single" w:sz="4" w:space="0" w:color="auto"/>
            </w:tcBorders>
          </w:tcPr>
          <w:p w:rsidR="0034010A" w:rsidRPr="006D3B2E" w:rsidRDefault="0034010A" w:rsidP="00C7610F">
            <w:pPr>
              <w:spacing w:before="40" w:after="40"/>
              <w:ind w:left="72"/>
              <w:jc w:val="left"/>
              <w:rPr>
                <w:rFonts w:cs="Arial"/>
                <w:b/>
                <w:sz w:val="22"/>
                <w:szCs w:val="22"/>
              </w:rPr>
            </w:pPr>
            <w:r w:rsidRPr="006D3B2E">
              <w:rPr>
                <w:rFonts w:cs="Arial"/>
                <w:b/>
                <w:sz w:val="22"/>
                <w:szCs w:val="22"/>
              </w:rPr>
              <w:t>Proposta di modifica</w:t>
            </w:r>
          </w:p>
        </w:tc>
      </w:tr>
      <w:tr w:rsidR="0034010A" w:rsidRPr="00965AFB" w:rsidTr="00C76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4" w:space="0" w:color="auto"/>
            </w:tcBorders>
          </w:tcPr>
          <w:p w:rsidR="0034010A" w:rsidRPr="006D3B2E" w:rsidRDefault="0034010A" w:rsidP="00561368">
            <w:pPr>
              <w:pStyle w:val="NormaleWeb"/>
              <w:spacing w:before="120" w:beforeAutospacing="0" w:after="120" w:afterAutospacing="0"/>
              <w:ind w:right="187"/>
              <w:jc w:val="both"/>
              <w:rPr>
                <w:rFonts w:ascii="Arial" w:hAnsi="Arial" w:cs="Arial"/>
                <w:b/>
                <w:bCs/>
                <w:sz w:val="22"/>
                <w:szCs w:val="22"/>
              </w:rPr>
            </w:pPr>
            <w:r w:rsidRPr="006D3B2E">
              <w:rPr>
                <w:rFonts w:ascii="Arial" w:hAnsi="Arial" w:cs="Arial"/>
                <w:b/>
                <w:bCs/>
                <w:sz w:val="22"/>
                <w:szCs w:val="22"/>
              </w:rPr>
              <w:t>Art. 12 cpv. 1</w:t>
            </w:r>
          </w:p>
          <w:p w:rsidR="0034010A" w:rsidRPr="006D3B2E" w:rsidRDefault="0034010A" w:rsidP="00C7610F">
            <w:pPr>
              <w:pStyle w:val="NormaleWeb"/>
              <w:spacing w:before="0" w:beforeAutospacing="0" w:after="0" w:afterAutospacing="0"/>
              <w:ind w:right="187"/>
              <w:jc w:val="both"/>
              <w:rPr>
                <w:rFonts w:ascii="Arial" w:hAnsi="Arial" w:cs="Arial"/>
                <w:sz w:val="22"/>
                <w:szCs w:val="22"/>
              </w:rPr>
            </w:pPr>
            <w:r w:rsidRPr="006D3B2E">
              <w:rPr>
                <w:rFonts w:ascii="Arial" w:hAnsi="Arial" w:cs="Arial"/>
                <w:sz w:val="22"/>
                <w:szCs w:val="22"/>
              </w:rPr>
              <w:t xml:space="preserve">La cittadinanza cantonale può essere concessa allo straniero: </w:t>
            </w:r>
          </w:p>
          <w:p w:rsidR="0034010A" w:rsidRPr="006D3B2E" w:rsidRDefault="0034010A" w:rsidP="00824FE4">
            <w:pPr>
              <w:pStyle w:val="NormaleWeb"/>
              <w:numPr>
                <w:ilvl w:val="0"/>
                <w:numId w:val="33"/>
              </w:numPr>
              <w:spacing w:before="60" w:beforeAutospacing="0" w:after="60" w:afterAutospacing="0"/>
              <w:ind w:left="316" w:right="187" w:hanging="316"/>
              <w:jc w:val="both"/>
              <w:rPr>
                <w:rFonts w:ascii="Arial" w:hAnsi="Arial" w:cs="Arial"/>
                <w:sz w:val="22"/>
                <w:szCs w:val="22"/>
              </w:rPr>
            </w:pPr>
            <w:r w:rsidRPr="006D3B2E">
              <w:rPr>
                <w:rFonts w:ascii="Arial" w:hAnsi="Arial" w:cs="Arial"/>
                <w:sz w:val="22"/>
                <w:szCs w:val="22"/>
              </w:rPr>
              <w:t xml:space="preserve">se ha risieduto nel Cantone durante cinque anni; </w:t>
            </w:r>
          </w:p>
          <w:p w:rsidR="0034010A" w:rsidRDefault="0034010A" w:rsidP="00824FE4">
            <w:pPr>
              <w:pStyle w:val="NormaleWeb"/>
              <w:numPr>
                <w:ilvl w:val="0"/>
                <w:numId w:val="33"/>
              </w:numPr>
              <w:spacing w:before="60" w:beforeAutospacing="0" w:after="60" w:afterAutospacing="0"/>
              <w:ind w:left="316" w:right="187" w:hanging="316"/>
              <w:jc w:val="both"/>
              <w:rPr>
                <w:rFonts w:ascii="Arial" w:hAnsi="Arial" w:cs="Arial"/>
                <w:sz w:val="22"/>
                <w:szCs w:val="22"/>
              </w:rPr>
            </w:pPr>
            <w:r w:rsidRPr="006D3B2E">
              <w:rPr>
                <w:rFonts w:ascii="Arial" w:hAnsi="Arial" w:cs="Arial"/>
                <w:sz w:val="22"/>
                <w:szCs w:val="22"/>
              </w:rPr>
              <w:t xml:space="preserve">se adempie i requisiti per la concessione dell’autorizzazione federale alla naturalizzazione; </w:t>
            </w:r>
          </w:p>
          <w:p w:rsidR="0034010A" w:rsidRPr="006D3B2E" w:rsidRDefault="0034010A" w:rsidP="00824FE4">
            <w:pPr>
              <w:pStyle w:val="NormaleWeb"/>
              <w:numPr>
                <w:ilvl w:val="0"/>
                <w:numId w:val="33"/>
              </w:numPr>
              <w:spacing w:before="60" w:beforeAutospacing="0" w:after="60" w:afterAutospacing="0"/>
              <w:ind w:left="316" w:right="187" w:hanging="316"/>
              <w:jc w:val="both"/>
              <w:rPr>
                <w:rFonts w:ascii="Arial" w:hAnsi="Arial" w:cs="Arial"/>
                <w:sz w:val="22"/>
                <w:szCs w:val="22"/>
              </w:rPr>
            </w:pPr>
            <w:r w:rsidRPr="006D3B2E">
              <w:rPr>
                <w:rFonts w:ascii="Arial" w:hAnsi="Arial" w:cs="Arial"/>
                <w:sz w:val="22"/>
                <w:szCs w:val="22"/>
              </w:rPr>
              <w:t>se rispetta i valori della Costituzione cantonale.</w:t>
            </w:r>
          </w:p>
        </w:tc>
        <w:tc>
          <w:tcPr>
            <w:tcW w:w="5066" w:type="dxa"/>
            <w:tcBorders>
              <w:top w:val="single" w:sz="4" w:space="0" w:color="auto"/>
            </w:tcBorders>
          </w:tcPr>
          <w:p w:rsidR="0034010A" w:rsidRPr="007F4D96" w:rsidRDefault="0034010A" w:rsidP="00561368">
            <w:pPr>
              <w:tabs>
                <w:tab w:val="left" w:pos="1701"/>
              </w:tabs>
              <w:spacing w:before="120" w:after="120"/>
              <w:ind w:left="720" w:right="187" w:hanging="646"/>
              <w:rPr>
                <w:rFonts w:cs="Arial"/>
                <w:b/>
                <w:sz w:val="22"/>
                <w:szCs w:val="22"/>
                <w:lang w:val="de-DE"/>
              </w:rPr>
            </w:pPr>
            <w:r w:rsidRPr="007F4D96">
              <w:rPr>
                <w:rFonts w:cs="Arial"/>
                <w:b/>
                <w:sz w:val="22"/>
                <w:szCs w:val="22"/>
                <w:lang w:val="de-DE"/>
              </w:rPr>
              <w:t xml:space="preserve">Art. 12 </w:t>
            </w:r>
            <w:proofErr w:type="spellStart"/>
            <w:r w:rsidRPr="007F4D96">
              <w:rPr>
                <w:rFonts w:cs="Arial"/>
                <w:b/>
                <w:sz w:val="22"/>
                <w:szCs w:val="22"/>
                <w:lang w:val="de-DE"/>
              </w:rPr>
              <w:t>cpv</w:t>
            </w:r>
            <w:proofErr w:type="spellEnd"/>
            <w:r w:rsidRPr="007F4D96">
              <w:rPr>
                <w:rFonts w:cs="Arial"/>
                <w:b/>
                <w:sz w:val="22"/>
                <w:szCs w:val="22"/>
                <w:lang w:val="de-DE"/>
              </w:rPr>
              <w:t xml:space="preserve">. 1 </w:t>
            </w:r>
            <w:proofErr w:type="spellStart"/>
            <w:r w:rsidRPr="007F4D96">
              <w:rPr>
                <w:rFonts w:cs="Arial"/>
                <w:b/>
                <w:sz w:val="22"/>
                <w:szCs w:val="22"/>
                <w:lang w:val="de-DE"/>
              </w:rPr>
              <w:t>lett</w:t>
            </w:r>
            <w:proofErr w:type="spellEnd"/>
            <w:r w:rsidRPr="007F4D96">
              <w:rPr>
                <w:rFonts w:cs="Arial"/>
                <w:b/>
                <w:sz w:val="22"/>
                <w:szCs w:val="22"/>
                <w:lang w:val="de-DE"/>
              </w:rPr>
              <w:t>. d) (</w:t>
            </w:r>
            <w:proofErr w:type="spellStart"/>
            <w:r w:rsidRPr="007F4D96">
              <w:rPr>
                <w:rFonts w:cs="Arial"/>
                <w:b/>
                <w:sz w:val="22"/>
                <w:szCs w:val="22"/>
                <w:lang w:val="de-DE"/>
              </w:rPr>
              <w:t>nuova</w:t>
            </w:r>
            <w:proofErr w:type="spellEnd"/>
            <w:r w:rsidRPr="007F4D96">
              <w:rPr>
                <w:rFonts w:cs="Arial"/>
                <w:b/>
                <w:sz w:val="22"/>
                <w:szCs w:val="22"/>
                <w:lang w:val="de-DE"/>
              </w:rPr>
              <w:t>)</w:t>
            </w:r>
          </w:p>
          <w:p w:rsidR="0034010A" w:rsidRPr="006D3B2E" w:rsidRDefault="0034010A" w:rsidP="00C7610F">
            <w:pPr>
              <w:pStyle w:val="NormaleWeb"/>
              <w:spacing w:before="0" w:beforeAutospacing="0" w:after="0" w:afterAutospacing="0"/>
              <w:ind w:right="187"/>
              <w:jc w:val="both"/>
              <w:rPr>
                <w:rFonts w:ascii="Arial" w:hAnsi="Arial" w:cs="Arial"/>
                <w:sz w:val="22"/>
                <w:szCs w:val="22"/>
              </w:rPr>
            </w:pPr>
            <w:r w:rsidRPr="006D3B2E">
              <w:rPr>
                <w:rFonts w:ascii="Arial" w:hAnsi="Arial" w:cs="Arial"/>
                <w:sz w:val="22"/>
                <w:szCs w:val="22"/>
              </w:rPr>
              <w:t xml:space="preserve">La cittadinanza cantonale può essere concessa allo straniero: </w:t>
            </w:r>
          </w:p>
          <w:p w:rsidR="0034010A" w:rsidRPr="006D3B2E" w:rsidRDefault="0034010A" w:rsidP="00824FE4">
            <w:pPr>
              <w:pStyle w:val="NormaleWeb"/>
              <w:numPr>
                <w:ilvl w:val="0"/>
                <w:numId w:val="35"/>
              </w:numPr>
              <w:spacing w:before="60" w:beforeAutospacing="0" w:after="60" w:afterAutospacing="0"/>
              <w:ind w:left="313" w:right="187" w:hanging="313"/>
              <w:jc w:val="both"/>
              <w:rPr>
                <w:rFonts w:ascii="Arial" w:hAnsi="Arial" w:cs="Arial"/>
                <w:sz w:val="22"/>
                <w:szCs w:val="22"/>
              </w:rPr>
            </w:pPr>
            <w:r w:rsidRPr="006D3B2E">
              <w:rPr>
                <w:rFonts w:ascii="Arial" w:hAnsi="Arial" w:cs="Arial"/>
                <w:sz w:val="22"/>
                <w:szCs w:val="22"/>
              </w:rPr>
              <w:t xml:space="preserve">se ha risieduto nel Cantone durante cinque anni; </w:t>
            </w:r>
          </w:p>
          <w:p w:rsidR="0034010A" w:rsidRPr="006D3B2E" w:rsidRDefault="0034010A" w:rsidP="00824FE4">
            <w:pPr>
              <w:pStyle w:val="NormaleWeb"/>
              <w:numPr>
                <w:ilvl w:val="0"/>
                <w:numId w:val="35"/>
              </w:numPr>
              <w:spacing w:before="60" w:beforeAutospacing="0" w:after="60" w:afterAutospacing="0"/>
              <w:ind w:left="313" w:right="187" w:hanging="313"/>
              <w:jc w:val="both"/>
              <w:rPr>
                <w:rFonts w:ascii="Arial" w:hAnsi="Arial" w:cs="Arial"/>
                <w:sz w:val="22"/>
                <w:szCs w:val="22"/>
              </w:rPr>
            </w:pPr>
            <w:r w:rsidRPr="006D3B2E">
              <w:rPr>
                <w:rFonts w:ascii="Arial" w:hAnsi="Arial" w:cs="Arial"/>
                <w:sz w:val="22"/>
                <w:szCs w:val="22"/>
              </w:rPr>
              <w:t xml:space="preserve">se adempie i requisiti per la concessione dell’autorizzazione federale alla naturalizzazione; </w:t>
            </w:r>
          </w:p>
          <w:p w:rsidR="0034010A" w:rsidRPr="006D3B2E" w:rsidRDefault="0034010A" w:rsidP="00824FE4">
            <w:pPr>
              <w:pStyle w:val="NormaleWeb"/>
              <w:numPr>
                <w:ilvl w:val="0"/>
                <w:numId w:val="35"/>
              </w:numPr>
              <w:spacing w:before="60" w:beforeAutospacing="0" w:after="60" w:afterAutospacing="0"/>
              <w:ind w:left="313" w:right="187" w:hanging="313"/>
              <w:jc w:val="both"/>
              <w:rPr>
                <w:rFonts w:ascii="Arial" w:hAnsi="Arial" w:cs="Arial"/>
                <w:sz w:val="22"/>
                <w:szCs w:val="22"/>
              </w:rPr>
            </w:pPr>
            <w:r w:rsidRPr="006D3B2E">
              <w:rPr>
                <w:rFonts w:ascii="Arial" w:hAnsi="Arial" w:cs="Arial"/>
                <w:sz w:val="22"/>
                <w:szCs w:val="22"/>
              </w:rPr>
              <w:t>se rispetta i valori della Costituzione cantonale;</w:t>
            </w:r>
          </w:p>
          <w:p w:rsidR="0034010A" w:rsidRPr="006D3B2E" w:rsidRDefault="0034010A" w:rsidP="00824FE4">
            <w:pPr>
              <w:pStyle w:val="NormaleWeb"/>
              <w:numPr>
                <w:ilvl w:val="0"/>
                <w:numId w:val="35"/>
              </w:numPr>
              <w:spacing w:before="60" w:beforeAutospacing="0" w:after="60" w:afterAutospacing="0"/>
              <w:ind w:left="313" w:right="187" w:hanging="313"/>
              <w:jc w:val="both"/>
              <w:rPr>
                <w:rFonts w:ascii="Arial" w:hAnsi="Arial" w:cs="Arial"/>
                <w:sz w:val="22"/>
                <w:szCs w:val="22"/>
              </w:rPr>
            </w:pPr>
            <w:r w:rsidRPr="006D3B2E">
              <w:rPr>
                <w:rFonts w:ascii="Arial" w:hAnsi="Arial" w:cs="Arial"/>
                <w:sz w:val="22"/>
                <w:szCs w:val="22"/>
              </w:rPr>
              <w:t>se è indipendente da aiuti sociali da almeno dieci anni, a meno che tali aiuti siano interamente restituiti.</w:t>
            </w:r>
          </w:p>
          <w:p w:rsidR="0034010A" w:rsidRPr="006D3B2E" w:rsidRDefault="0034010A" w:rsidP="00C7610F">
            <w:pPr>
              <w:pStyle w:val="NormaleWeb"/>
              <w:spacing w:before="0" w:beforeAutospacing="0" w:after="0" w:afterAutospacing="0"/>
              <w:ind w:right="187"/>
              <w:jc w:val="both"/>
              <w:rPr>
                <w:rFonts w:ascii="Arial" w:hAnsi="Arial" w:cs="Arial"/>
                <w:sz w:val="22"/>
                <w:szCs w:val="22"/>
              </w:rPr>
            </w:pPr>
          </w:p>
        </w:tc>
      </w:tr>
    </w:tbl>
    <w:p w:rsidR="0034010A" w:rsidRDefault="0034010A" w:rsidP="0034010A">
      <w:pPr>
        <w:jc w:val="left"/>
        <w:rPr>
          <w:rFonts w:cs="Arial"/>
          <w:b/>
          <w:szCs w:val="24"/>
        </w:rPr>
      </w:pPr>
    </w:p>
    <w:p w:rsidR="0034010A" w:rsidRPr="00127BB5" w:rsidRDefault="0034010A" w:rsidP="00561368">
      <w:pPr>
        <w:spacing w:after="120"/>
        <w:jc w:val="left"/>
        <w:rPr>
          <w:rFonts w:cs="Arial"/>
          <w:b/>
          <w:szCs w:val="24"/>
        </w:rPr>
      </w:pPr>
      <w:r w:rsidRPr="00127BB5">
        <w:rPr>
          <w:rFonts w:cs="Arial"/>
          <w:b/>
          <w:szCs w:val="24"/>
        </w:rPr>
        <w:t>Commento</w:t>
      </w:r>
    </w:p>
    <w:p w:rsidR="0034010A" w:rsidRPr="00127BB5" w:rsidRDefault="0034010A" w:rsidP="0034010A">
      <w:pPr>
        <w:ind w:right="-1"/>
        <w:rPr>
          <w:rFonts w:cs="Arial"/>
          <w:szCs w:val="24"/>
        </w:rPr>
      </w:pPr>
      <w:r w:rsidRPr="00127BB5">
        <w:rPr>
          <w:rFonts w:cs="Arial"/>
          <w:szCs w:val="24"/>
        </w:rPr>
        <w:t>Tale disposizione concretizza la volontà del Parlamento di introdurre a livello cantonale misure più restrittive rispetto a quelle previste dall’Ordinanza federale sulla cittadinanza, in particolare per quanto riguarda il termine di indipendenza dal percepimento di prestazioni dell’aiuto sociale.</w:t>
      </w:r>
    </w:p>
    <w:p w:rsidR="0034010A" w:rsidRPr="00127BB5" w:rsidRDefault="0034010A" w:rsidP="0034010A">
      <w:pPr>
        <w:tabs>
          <w:tab w:val="left" w:pos="1701"/>
        </w:tabs>
        <w:spacing w:before="120"/>
        <w:ind w:right="-57"/>
        <w:rPr>
          <w:rFonts w:cs="Arial"/>
          <w:noProof/>
          <w:szCs w:val="24"/>
        </w:rPr>
      </w:pPr>
    </w:p>
    <w:p w:rsidR="0034010A" w:rsidRPr="00127BB5" w:rsidRDefault="00824FE4" w:rsidP="0034010A">
      <w:pPr>
        <w:pStyle w:val="Titolo2"/>
        <w:rPr>
          <w:rFonts w:cs="Arial"/>
          <w:szCs w:val="24"/>
        </w:rPr>
      </w:pPr>
      <w:r>
        <w:rPr>
          <w:rFonts w:cs="Arial"/>
          <w:szCs w:val="24"/>
        </w:rPr>
        <w:t>2.3</w:t>
      </w:r>
      <w:r>
        <w:rPr>
          <w:rFonts w:cs="Arial"/>
          <w:szCs w:val="24"/>
        </w:rPr>
        <w:tab/>
      </w:r>
      <w:r w:rsidR="0034010A" w:rsidRPr="00127BB5">
        <w:rPr>
          <w:rFonts w:cs="Arial"/>
          <w:szCs w:val="24"/>
        </w:rPr>
        <w:t xml:space="preserve">Proposta di modifica all’art. 22 cpv. 4 </w:t>
      </w:r>
      <w:proofErr w:type="spellStart"/>
      <w:r w:rsidR="0034010A" w:rsidRPr="00127BB5">
        <w:rPr>
          <w:rFonts w:cs="Arial"/>
          <w:szCs w:val="24"/>
        </w:rPr>
        <w:t>LCCit</w:t>
      </w:r>
      <w:proofErr w:type="spellEnd"/>
      <w:r w:rsidR="0034010A" w:rsidRPr="00127BB5">
        <w:rPr>
          <w:rFonts w:cs="Arial"/>
          <w:szCs w:val="24"/>
        </w:rPr>
        <w:t xml:space="preserve"> e commento</w:t>
      </w:r>
    </w:p>
    <w:p w:rsidR="0034010A" w:rsidRPr="00127BB5" w:rsidRDefault="0034010A" w:rsidP="0034010A">
      <w:pPr>
        <w:jc w:val="left"/>
        <w:rPr>
          <w:rFonts w:cs="Arial"/>
          <w:szCs w:val="24"/>
        </w:rPr>
      </w:pPr>
    </w:p>
    <w:tbl>
      <w:tblPr>
        <w:tblW w:w="0" w:type="auto"/>
        <w:tblLook w:val="01E0" w:firstRow="1" w:lastRow="1" w:firstColumn="1" w:lastColumn="1" w:noHBand="0" w:noVBand="0"/>
      </w:tblPr>
      <w:tblGrid>
        <w:gridCol w:w="4678"/>
        <w:gridCol w:w="4950"/>
      </w:tblGrid>
      <w:tr w:rsidR="0034010A" w:rsidRPr="00C53493" w:rsidTr="00C7610F">
        <w:tc>
          <w:tcPr>
            <w:tcW w:w="4788" w:type="dxa"/>
            <w:tcBorders>
              <w:top w:val="single" w:sz="4" w:space="0" w:color="auto"/>
              <w:left w:val="single" w:sz="4" w:space="0" w:color="auto"/>
              <w:bottom w:val="single" w:sz="4" w:space="0" w:color="auto"/>
            </w:tcBorders>
          </w:tcPr>
          <w:p w:rsidR="0034010A" w:rsidRPr="006D3B2E" w:rsidRDefault="0034010A" w:rsidP="00C7610F">
            <w:pPr>
              <w:spacing w:before="40" w:after="40"/>
              <w:ind w:right="187"/>
              <w:jc w:val="left"/>
              <w:rPr>
                <w:rFonts w:cs="Arial"/>
                <w:b/>
                <w:bCs/>
                <w:sz w:val="22"/>
                <w:szCs w:val="22"/>
              </w:rPr>
            </w:pPr>
            <w:r w:rsidRPr="006D3B2E">
              <w:rPr>
                <w:rFonts w:cs="Arial"/>
                <w:b/>
                <w:bCs/>
                <w:sz w:val="22"/>
                <w:szCs w:val="22"/>
              </w:rPr>
              <w:t>Norma vigente</w:t>
            </w:r>
          </w:p>
        </w:tc>
        <w:tc>
          <w:tcPr>
            <w:tcW w:w="5066" w:type="dxa"/>
            <w:tcBorders>
              <w:top w:val="single" w:sz="4" w:space="0" w:color="auto"/>
              <w:bottom w:val="single" w:sz="4" w:space="0" w:color="auto"/>
              <w:right w:val="single" w:sz="4" w:space="0" w:color="auto"/>
            </w:tcBorders>
          </w:tcPr>
          <w:p w:rsidR="0034010A" w:rsidRPr="006D3B2E" w:rsidRDefault="0034010A" w:rsidP="00C7610F">
            <w:pPr>
              <w:spacing w:before="40" w:after="40"/>
              <w:ind w:left="72"/>
              <w:jc w:val="left"/>
              <w:rPr>
                <w:rFonts w:cs="Arial"/>
                <w:b/>
                <w:sz w:val="22"/>
                <w:szCs w:val="22"/>
              </w:rPr>
            </w:pPr>
            <w:r w:rsidRPr="006D3B2E">
              <w:rPr>
                <w:rFonts w:cs="Arial"/>
                <w:b/>
                <w:sz w:val="22"/>
                <w:szCs w:val="22"/>
              </w:rPr>
              <w:t>Proposta di modifica</w:t>
            </w:r>
          </w:p>
        </w:tc>
      </w:tr>
      <w:tr w:rsidR="0034010A" w:rsidRPr="00965AFB" w:rsidTr="00C76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4" w:space="0" w:color="auto"/>
            </w:tcBorders>
          </w:tcPr>
          <w:p w:rsidR="0034010A" w:rsidRPr="006D3B2E" w:rsidRDefault="0034010A" w:rsidP="00561368">
            <w:pPr>
              <w:pStyle w:val="NormaleWeb"/>
              <w:spacing w:before="120" w:beforeAutospacing="0" w:after="120" w:afterAutospacing="0"/>
              <w:ind w:right="187"/>
              <w:jc w:val="both"/>
              <w:rPr>
                <w:rFonts w:ascii="Arial" w:hAnsi="Arial" w:cs="Arial"/>
                <w:sz w:val="22"/>
                <w:szCs w:val="22"/>
              </w:rPr>
            </w:pPr>
            <w:r w:rsidRPr="006D3B2E">
              <w:rPr>
                <w:rFonts w:ascii="Arial" w:hAnsi="Arial" w:cs="Arial"/>
                <w:b/>
                <w:bCs/>
                <w:sz w:val="22"/>
                <w:szCs w:val="22"/>
              </w:rPr>
              <w:t>Art. 22</w:t>
            </w:r>
            <w:bookmarkStart w:id="6" w:name="_ftnref22"/>
            <w:bookmarkEnd w:id="6"/>
            <w:r w:rsidRPr="006D3B2E">
              <w:rPr>
                <w:rFonts w:ascii="Arial" w:hAnsi="Arial" w:cs="Arial"/>
                <w:sz w:val="22"/>
                <w:szCs w:val="22"/>
              </w:rPr>
              <w:fldChar w:fldCharType="begin"/>
            </w:r>
            <w:r w:rsidRPr="006D3B2E">
              <w:rPr>
                <w:rFonts w:ascii="Arial" w:hAnsi="Arial" w:cs="Arial"/>
                <w:sz w:val="22"/>
                <w:szCs w:val="22"/>
              </w:rPr>
              <w:instrText xml:space="preserve"> HYPERLINK "https://www3.ti.ch/CAN/RLeggi/public/raccolta-leggi/legge/numero/1.2.1.1" \l "_ftn22" </w:instrText>
            </w:r>
            <w:r w:rsidRPr="006D3B2E">
              <w:rPr>
                <w:rFonts w:ascii="Arial" w:hAnsi="Arial" w:cs="Arial"/>
                <w:sz w:val="22"/>
                <w:szCs w:val="22"/>
              </w:rPr>
              <w:fldChar w:fldCharType="end"/>
            </w:r>
            <w:r w:rsidRPr="006D3B2E">
              <w:rPr>
                <w:rFonts w:ascii="Arial" w:hAnsi="Arial" w:cs="Arial"/>
                <w:sz w:val="22"/>
                <w:szCs w:val="22"/>
              </w:rPr>
              <w:t xml:space="preserve"> </w:t>
            </w:r>
            <w:r w:rsidRPr="006D3B2E">
              <w:rPr>
                <w:rFonts w:ascii="Arial" w:hAnsi="Arial" w:cs="Arial"/>
                <w:b/>
                <w:bCs/>
                <w:sz w:val="22"/>
                <w:szCs w:val="22"/>
              </w:rPr>
              <w:t>cpv. 4</w:t>
            </w:r>
          </w:p>
          <w:p w:rsidR="0034010A" w:rsidRPr="006D3B2E" w:rsidRDefault="0034010A" w:rsidP="00C7610F">
            <w:pPr>
              <w:pStyle w:val="NormaleWeb"/>
              <w:spacing w:before="0" w:beforeAutospacing="0" w:after="0" w:afterAutospacing="0"/>
              <w:ind w:right="187"/>
              <w:jc w:val="both"/>
              <w:rPr>
                <w:rFonts w:ascii="Arial" w:hAnsi="Arial" w:cs="Arial"/>
                <w:sz w:val="22"/>
                <w:szCs w:val="22"/>
              </w:rPr>
            </w:pPr>
            <w:r w:rsidRPr="006D3B2E">
              <w:rPr>
                <w:rFonts w:ascii="Arial" w:hAnsi="Arial" w:cs="Arial"/>
                <w:sz w:val="22"/>
                <w:szCs w:val="22"/>
              </w:rPr>
              <w:t>Il comune di attinenza, che è quello in cui il richiedente ha risieduto ininterrottamente durante gli ultimi due anni precedenti la domanda, deve essere sentito in via consultiva; esso svolge l’accertamento previsto dall’art. 9 cpv. 1 e 4.</w:t>
            </w:r>
          </w:p>
          <w:p w:rsidR="0034010A" w:rsidRPr="006D3B2E" w:rsidRDefault="0034010A" w:rsidP="00C7610F">
            <w:pPr>
              <w:pStyle w:val="NormaleWeb"/>
              <w:spacing w:before="0" w:beforeAutospacing="0" w:after="0" w:afterAutospacing="0"/>
              <w:ind w:right="187"/>
              <w:jc w:val="both"/>
              <w:rPr>
                <w:rFonts w:ascii="Arial" w:hAnsi="Arial" w:cs="Arial"/>
                <w:sz w:val="22"/>
                <w:szCs w:val="22"/>
              </w:rPr>
            </w:pPr>
          </w:p>
        </w:tc>
        <w:tc>
          <w:tcPr>
            <w:tcW w:w="5066" w:type="dxa"/>
            <w:tcBorders>
              <w:top w:val="single" w:sz="4" w:space="0" w:color="auto"/>
            </w:tcBorders>
          </w:tcPr>
          <w:p w:rsidR="0034010A" w:rsidRPr="00561368" w:rsidRDefault="0034010A" w:rsidP="00561368">
            <w:pPr>
              <w:tabs>
                <w:tab w:val="left" w:pos="1701"/>
              </w:tabs>
              <w:spacing w:before="120" w:after="120"/>
              <w:ind w:left="720" w:right="187" w:hanging="646"/>
              <w:rPr>
                <w:rFonts w:cs="Arial"/>
                <w:b/>
                <w:sz w:val="22"/>
                <w:szCs w:val="22"/>
                <w:lang w:val="it-CH"/>
              </w:rPr>
            </w:pPr>
            <w:r w:rsidRPr="006D3B2E">
              <w:rPr>
                <w:rFonts w:cs="Arial"/>
                <w:b/>
                <w:sz w:val="22"/>
                <w:szCs w:val="22"/>
                <w:lang w:val="it-CH"/>
              </w:rPr>
              <w:t>Art. 22 cpv. 4 (modifica)</w:t>
            </w:r>
          </w:p>
          <w:p w:rsidR="0034010A" w:rsidRPr="006D3B2E" w:rsidRDefault="0034010A" w:rsidP="00C7610F">
            <w:pPr>
              <w:pStyle w:val="NormaleWeb"/>
              <w:spacing w:before="0" w:beforeAutospacing="0" w:after="0" w:afterAutospacing="0"/>
              <w:ind w:right="187"/>
              <w:jc w:val="both"/>
              <w:rPr>
                <w:rFonts w:ascii="Arial" w:hAnsi="Arial" w:cs="Arial"/>
                <w:sz w:val="22"/>
                <w:szCs w:val="22"/>
              </w:rPr>
            </w:pPr>
            <w:r w:rsidRPr="006D3B2E">
              <w:rPr>
                <w:rFonts w:ascii="Arial" w:hAnsi="Arial" w:cs="Arial"/>
                <w:sz w:val="22"/>
                <w:szCs w:val="22"/>
              </w:rPr>
              <w:t xml:space="preserve">Il comune di attinenza, che è quello in cui il richiedente ha risieduto ininterrottamente durante gli ultimi due anni precedenti la domanda, deve essere sentito in via consultiva; esso svolge l’accertamento previsto dall’art. 9. </w:t>
            </w:r>
          </w:p>
          <w:p w:rsidR="0034010A" w:rsidRPr="006D3B2E" w:rsidRDefault="0034010A" w:rsidP="00C7610F">
            <w:pPr>
              <w:pStyle w:val="NormaleWeb"/>
              <w:spacing w:before="0" w:beforeAutospacing="0" w:after="0" w:afterAutospacing="0"/>
              <w:ind w:right="187"/>
              <w:jc w:val="both"/>
              <w:rPr>
                <w:rFonts w:ascii="Arial" w:hAnsi="Arial" w:cs="Arial"/>
                <w:sz w:val="22"/>
                <w:szCs w:val="22"/>
              </w:rPr>
            </w:pPr>
          </w:p>
        </w:tc>
      </w:tr>
    </w:tbl>
    <w:p w:rsidR="00561368" w:rsidRDefault="00561368" w:rsidP="0034010A">
      <w:pPr>
        <w:jc w:val="left"/>
        <w:rPr>
          <w:rFonts w:cs="Arial"/>
          <w:b/>
          <w:szCs w:val="24"/>
        </w:rPr>
      </w:pPr>
    </w:p>
    <w:p w:rsidR="00561368" w:rsidRDefault="00561368">
      <w:pPr>
        <w:jc w:val="left"/>
        <w:rPr>
          <w:rFonts w:cs="Arial"/>
          <w:b/>
          <w:szCs w:val="24"/>
        </w:rPr>
      </w:pPr>
      <w:r>
        <w:rPr>
          <w:rFonts w:cs="Arial"/>
          <w:b/>
          <w:szCs w:val="24"/>
        </w:rPr>
        <w:br w:type="page"/>
      </w:r>
    </w:p>
    <w:p w:rsidR="0034010A" w:rsidRPr="00127BB5" w:rsidRDefault="0034010A" w:rsidP="00561368">
      <w:pPr>
        <w:spacing w:after="120"/>
        <w:jc w:val="left"/>
        <w:rPr>
          <w:rFonts w:cs="Arial"/>
          <w:b/>
          <w:szCs w:val="24"/>
        </w:rPr>
      </w:pPr>
      <w:r w:rsidRPr="00127BB5">
        <w:rPr>
          <w:rFonts w:cs="Arial"/>
          <w:b/>
          <w:szCs w:val="24"/>
        </w:rPr>
        <w:lastRenderedPageBreak/>
        <w:t>Commento</w:t>
      </w:r>
    </w:p>
    <w:p w:rsidR="0034010A" w:rsidRPr="00127BB5" w:rsidRDefault="0034010A" w:rsidP="0034010A">
      <w:pPr>
        <w:ind w:right="-1"/>
        <w:rPr>
          <w:rFonts w:cs="Arial"/>
          <w:szCs w:val="24"/>
        </w:rPr>
      </w:pPr>
      <w:r w:rsidRPr="00127BB5">
        <w:rPr>
          <w:rFonts w:cs="Arial"/>
          <w:szCs w:val="24"/>
        </w:rPr>
        <w:t>Il riferimento è esteso all’articolo 9 in generale. Il precedente riferimento al cpv. 4 era inoltre dovuto ad un errore proveniente da una proposta di modifica legislativa non concretizzata dal Parlamento.</w:t>
      </w:r>
    </w:p>
    <w:p w:rsidR="0034010A" w:rsidRPr="00127BB5" w:rsidRDefault="0034010A" w:rsidP="0034010A">
      <w:pPr>
        <w:tabs>
          <w:tab w:val="left" w:pos="1701"/>
        </w:tabs>
        <w:spacing w:before="120"/>
        <w:ind w:right="-57"/>
        <w:rPr>
          <w:rFonts w:cs="Arial"/>
          <w:noProof/>
          <w:szCs w:val="24"/>
        </w:rPr>
      </w:pPr>
    </w:p>
    <w:p w:rsidR="0034010A" w:rsidRPr="00127BB5" w:rsidRDefault="00824FE4" w:rsidP="00824FE4">
      <w:pPr>
        <w:pStyle w:val="Titolo2"/>
        <w:rPr>
          <w:rFonts w:cs="Arial"/>
          <w:szCs w:val="24"/>
        </w:rPr>
      </w:pPr>
      <w:r>
        <w:rPr>
          <w:rFonts w:cs="Arial"/>
          <w:szCs w:val="24"/>
        </w:rPr>
        <w:t>2.4</w:t>
      </w:r>
      <w:r>
        <w:rPr>
          <w:rFonts w:cs="Arial"/>
          <w:szCs w:val="24"/>
        </w:rPr>
        <w:tab/>
      </w:r>
      <w:r w:rsidR="0034010A" w:rsidRPr="00127BB5">
        <w:rPr>
          <w:rFonts w:cs="Arial"/>
          <w:szCs w:val="24"/>
        </w:rPr>
        <w:t xml:space="preserve">Proposta di modifica all’art. 24 cpv. 5 </w:t>
      </w:r>
      <w:proofErr w:type="spellStart"/>
      <w:r w:rsidR="0034010A" w:rsidRPr="00127BB5">
        <w:rPr>
          <w:rFonts w:cs="Arial"/>
          <w:szCs w:val="24"/>
        </w:rPr>
        <w:t>LCCit</w:t>
      </w:r>
      <w:proofErr w:type="spellEnd"/>
      <w:r w:rsidR="0034010A" w:rsidRPr="00127BB5">
        <w:rPr>
          <w:rFonts w:cs="Arial"/>
          <w:szCs w:val="24"/>
        </w:rPr>
        <w:t xml:space="preserve"> e commento nuova norma</w:t>
      </w:r>
    </w:p>
    <w:p w:rsidR="0034010A" w:rsidRPr="00127BB5" w:rsidRDefault="0034010A" w:rsidP="0034010A">
      <w:pPr>
        <w:jc w:val="left"/>
        <w:rPr>
          <w:rFonts w:cs="Arial"/>
          <w:szCs w:val="24"/>
        </w:rPr>
      </w:pPr>
    </w:p>
    <w:tbl>
      <w:tblPr>
        <w:tblW w:w="0" w:type="auto"/>
        <w:tblLook w:val="01E0" w:firstRow="1" w:lastRow="1" w:firstColumn="1" w:lastColumn="1" w:noHBand="0" w:noVBand="0"/>
      </w:tblPr>
      <w:tblGrid>
        <w:gridCol w:w="4666"/>
        <w:gridCol w:w="4962"/>
      </w:tblGrid>
      <w:tr w:rsidR="0034010A" w:rsidRPr="00C53493" w:rsidTr="00C7610F">
        <w:tc>
          <w:tcPr>
            <w:tcW w:w="4788" w:type="dxa"/>
            <w:tcBorders>
              <w:top w:val="single" w:sz="4" w:space="0" w:color="auto"/>
              <w:left w:val="single" w:sz="4" w:space="0" w:color="auto"/>
              <w:bottom w:val="single" w:sz="4" w:space="0" w:color="auto"/>
            </w:tcBorders>
          </w:tcPr>
          <w:p w:rsidR="0034010A" w:rsidRPr="006D3B2E" w:rsidRDefault="0034010A" w:rsidP="00C7610F">
            <w:pPr>
              <w:spacing w:before="40" w:after="40"/>
              <w:ind w:right="187"/>
              <w:jc w:val="left"/>
              <w:rPr>
                <w:rFonts w:cs="Arial"/>
                <w:b/>
                <w:bCs/>
                <w:sz w:val="22"/>
                <w:szCs w:val="22"/>
              </w:rPr>
            </w:pPr>
            <w:r w:rsidRPr="006D3B2E">
              <w:rPr>
                <w:rFonts w:cs="Arial"/>
                <w:b/>
                <w:bCs/>
                <w:sz w:val="22"/>
                <w:szCs w:val="22"/>
              </w:rPr>
              <w:t>Norma vigente</w:t>
            </w:r>
          </w:p>
        </w:tc>
        <w:tc>
          <w:tcPr>
            <w:tcW w:w="5066" w:type="dxa"/>
            <w:tcBorders>
              <w:top w:val="single" w:sz="4" w:space="0" w:color="auto"/>
              <w:bottom w:val="single" w:sz="4" w:space="0" w:color="auto"/>
              <w:right w:val="single" w:sz="4" w:space="0" w:color="auto"/>
            </w:tcBorders>
          </w:tcPr>
          <w:p w:rsidR="0034010A" w:rsidRPr="006D3B2E" w:rsidRDefault="0034010A" w:rsidP="00C7610F">
            <w:pPr>
              <w:spacing w:before="40" w:after="40"/>
              <w:ind w:left="72"/>
              <w:jc w:val="left"/>
              <w:rPr>
                <w:rFonts w:cs="Arial"/>
                <w:b/>
                <w:sz w:val="22"/>
                <w:szCs w:val="22"/>
              </w:rPr>
            </w:pPr>
            <w:r w:rsidRPr="006D3B2E">
              <w:rPr>
                <w:rFonts w:cs="Arial"/>
                <w:b/>
                <w:sz w:val="22"/>
                <w:szCs w:val="22"/>
              </w:rPr>
              <w:t>Proposta di modifica</w:t>
            </w:r>
          </w:p>
        </w:tc>
      </w:tr>
      <w:tr w:rsidR="0034010A" w:rsidRPr="00965AFB" w:rsidTr="00C76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4" w:space="0" w:color="auto"/>
            </w:tcBorders>
          </w:tcPr>
          <w:p w:rsidR="0034010A" w:rsidRPr="006D3B2E" w:rsidRDefault="0034010A" w:rsidP="00561368">
            <w:pPr>
              <w:pStyle w:val="NormaleWeb"/>
              <w:spacing w:before="120" w:beforeAutospacing="0" w:after="120" w:afterAutospacing="0"/>
              <w:ind w:right="187"/>
              <w:jc w:val="both"/>
              <w:rPr>
                <w:rFonts w:ascii="Arial" w:hAnsi="Arial" w:cs="Arial"/>
                <w:sz w:val="22"/>
                <w:szCs w:val="22"/>
              </w:rPr>
            </w:pPr>
            <w:r w:rsidRPr="006D3B2E">
              <w:rPr>
                <w:rFonts w:ascii="Arial" w:hAnsi="Arial" w:cs="Arial"/>
                <w:b/>
                <w:bCs/>
                <w:sz w:val="22"/>
                <w:szCs w:val="22"/>
              </w:rPr>
              <w:t>Art. 24</w:t>
            </w:r>
            <w:hyperlink r:id="rId8" w:anchor="_ftn22" w:history="1"/>
            <w:r w:rsidRPr="006D3B2E">
              <w:rPr>
                <w:rFonts w:ascii="Arial" w:hAnsi="Arial" w:cs="Arial"/>
                <w:sz w:val="22"/>
                <w:szCs w:val="22"/>
              </w:rPr>
              <w:t xml:space="preserve"> </w:t>
            </w:r>
            <w:r w:rsidRPr="006D3B2E">
              <w:rPr>
                <w:rFonts w:ascii="Arial" w:hAnsi="Arial" w:cs="Arial"/>
                <w:b/>
                <w:bCs/>
                <w:sz w:val="22"/>
                <w:szCs w:val="22"/>
              </w:rPr>
              <w:t>cpv. 5</w:t>
            </w:r>
          </w:p>
          <w:p w:rsidR="0034010A" w:rsidRPr="006D3B2E" w:rsidRDefault="0034010A" w:rsidP="00C7610F">
            <w:pPr>
              <w:pStyle w:val="NormaleWeb"/>
              <w:spacing w:before="0" w:beforeAutospacing="0" w:after="0" w:afterAutospacing="0"/>
              <w:ind w:right="187"/>
              <w:jc w:val="both"/>
              <w:rPr>
                <w:rFonts w:ascii="Arial" w:hAnsi="Arial" w:cs="Arial"/>
                <w:sz w:val="22"/>
                <w:szCs w:val="22"/>
              </w:rPr>
            </w:pPr>
            <w:r w:rsidRPr="006D3B2E">
              <w:rPr>
                <w:rFonts w:ascii="Arial" w:hAnsi="Arial" w:cs="Arial"/>
                <w:sz w:val="22"/>
                <w:szCs w:val="22"/>
              </w:rPr>
              <w:t xml:space="preserve">Per il rimanente si applicano le condizioni di idoneità di cui agli art. 12 cpv. 1 </w:t>
            </w:r>
            <w:proofErr w:type="spellStart"/>
            <w:r w:rsidRPr="006D3B2E">
              <w:rPr>
                <w:rFonts w:ascii="Arial" w:hAnsi="Arial" w:cs="Arial"/>
                <w:sz w:val="22"/>
                <w:szCs w:val="22"/>
              </w:rPr>
              <w:t>lett</w:t>
            </w:r>
            <w:proofErr w:type="spellEnd"/>
            <w:r w:rsidRPr="006D3B2E">
              <w:rPr>
                <w:rFonts w:ascii="Arial" w:hAnsi="Arial" w:cs="Arial"/>
                <w:sz w:val="22"/>
                <w:szCs w:val="22"/>
              </w:rPr>
              <w:t>. b), c) e 14.</w:t>
            </w:r>
          </w:p>
          <w:p w:rsidR="0034010A" w:rsidRPr="006D3B2E" w:rsidRDefault="0034010A" w:rsidP="00C7610F">
            <w:pPr>
              <w:pStyle w:val="NormaleWeb"/>
              <w:spacing w:before="0" w:beforeAutospacing="0" w:after="0" w:afterAutospacing="0"/>
              <w:ind w:right="187"/>
              <w:jc w:val="both"/>
              <w:rPr>
                <w:rFonts w:ascii="Arial" w:hAnsi="Arial" w:cs="Arial"/>
                <w:sz w:val="22"/>
                <w:szCs w:val="22"/>
              </w:rPr>
            </w:pPr>
          </w:p>
        </w:tc>
        <w:tc>
          <w:tcPr>
            <w:tcW w:w="5066" w:type="dxa"/>
            <w:tcBorders>
              <w:top w:val="single" w:sz="4" w:space="0" w:color="auto"/>
            </w:tcBorders>
          </w:tcPr>
          <w:p w:rsidR="0034010A" w:rsidRPr="006D3B2E" w:rsidRDefault="0034010A" w:rsidP="00884332">
            <w:pPr>
              <w:tabs>
                <w:tab w:val="left" w:pos="74"/>
                <w:tab w:val="left" w:pos="1701"/>
              </w:tabs>
              <w:spacing w:before="120" w:after="120"/>
              <w:ind w:left="720" w:right="187" w:hanging="646"/>
              <w:rPr>
                <w:rFonts w:cs="Arial"/>
                <w:b/>
                <w:sz w:val="22"/>
                <w:szCs w:val="22"/>
                <w:lang w:val="it-CH"/>
              </w:rPr>
            </w:pPr>
            <w:r w:rsidRPr="006D3B2E">
              <w:rPr>
                <w:rFonts w:cs="Arial"/>
                <w:b/>
                <w:sz w:val="22"/>
                <w:szCs w:val="22"/>
                <w:lang w:val="it-CH"/>
              </w:rPr>
              <w:t>Art. 24 cpv. 5 (modifica)</w:t>
            </w:r>
          </w:p>
          <w:p w:rsidR="0034010A" w:rsidRPr="006D3B2E" w:rsidRDefault="0034010A" w:rsidP="00C7610F">
            <w:pPr>
              <w:pStyle w:val="NormaleWeb"/>
              <w:spacing w:before="0" w:beforeAutospacing="0" w:after="0" w:afterAutospacing="0"/>
              <w:ind w:right="187"/>
              <w:jc w:val="both"/>
              <w:rPr>
                <w:rFonts w:ascii="Arial" w:hAnsi="Arial" w:cs="Arial"/>
                <w:sz w:val="22"/>
                <w:szCs w:val="22"/>
              </w:rPr>
            </w:pPr>
            <w:r w:rsidRPr="006D3B2E">
              <w:rPr>
                <w:rFonts w:ascii="Arial" w:hAnsi="Arial" w:cs="Arial"/>
                <w:sz w:val="22"/>
                <w:szCs w:val="22"/>
              </w:rPr>
              <w:t xml:space="preserve">Per il rimanente si applicano le condizioni di idoneità di cui agli artt. 12 cpv. 1 </w:t>
            </w:r>
            <w:proofErr w:type="spellStart"/>
            <w:r w:rsidRPr="006D3B2E">
              <w:rPr>
                <w:rFonts w:ascii="Arial" w:hAnsi="Arial" w:cs="Arial"/>
                <w:sz w:val="22"/>
                <w:szCs w:val="22"/>
              </w:rPr>
              <w:t>lett</w:t>
            </w:r>
            <w:proofErr w:type="spellEnd"/>
            <w:r w:rsidRPr="006D3B2E">
              <w:rPr>
                <w:rFonts w:ascii="Arial" w:hAnsi="Arial" w:cs="Arial"/>
                <w:sz w:val="22"/>
                <w:szCs w:val="22"/>
              </w:rPr>
              <w:t>. b), c), d) e 14.</w:t>
            </w:r>
          </w:p>
          <w:p w:rsidR="0034010A" w:rsidRPr="006D3B2E" w:rsidRDefault="0034010A" w:rsidP="00C7610F">
            <w:pPr>
              <w:pStyle w:val="NormaleWeb"/>
              <w:spacing w:before="0" w:beforeAutospacing="0" w:after="0" w:afterAutospacing="0"/>
              <w:ind w:right="187"/>
              <w:jc w:val="both"/>
              <w:rPr>
                <w:rFonts w:ascii="Arial" w:hAnsi="Arial" w:cs="Arial"/>
                <w:sz w:val="22"/>
                <w:szCs w:val="22"/>
              </w:rPr>
            </w:pPr>
          </w:p>
        </w:tc>
      </w:tr>
    </w:tbl>
    <w:p w:rsidR="0034010A" w:rsidRPr="00127BB5" w:rsidRDefault="0034010A" w:rsidP="0034010A">
      <w:pPr>
        <w:jc w:val="left"/>
        <w:rPr>
          <w:rFonts w:cs="Arial"/>
          <w:b/>
          <w:szCs w:val="24"/>
        </w:rPr>
      </w:pPr>
    </w:p>
    <w:p w:rsidR="0034010A" w:rsidRPr="00127BB5" w:rsidRDefault="0034010A" w:rsidP="00561368">
      <w:pPr>
        <w:spacing w:after="120"/>
        <w:jc w:val="left"/>
        <w:rPr>
          <w:rFonts w:cs="Arial"/>
          <w:b/>
          <w:szCs w:val="24"/>
        </w:rPr>
      </w:pPr>
      <w:r w:rsidRPr="00127BB5">
        <w:rPr>
          <w:rFonts w:cs="Arial"/>
          <w:b/>
          <w:szCs w:val="24"/>
        </w:rPr>
        <w:t>Commento</w:t>
      </w:r>
    </w:p>
    <w:p w:rsidR="0034010A" w:rsidRPr="00127BB5" w:rsidRDefault="0034010A" w:rsidP="0034010A">
      <w:pPr>
        <w:ind w:right="-1"/>
        <w:rPr>
          <w:rFonts w:cs="Arial"/>
          <w:szCs w:val="24"/>
        </w:rPr>
      </w:pPr>
      <w:r w:rsidRPr="00127BB5">
        <w:rPr>
          <w:rFonts w:cs="Arial"/>
          <w:szCs w:val="24"/>
        </w:rPr>
        <w:t xml:space="preserve">Il riferimento è esteso alla nuova </w:t>
      </w:r>
      <w:proofErr w:type="spellStart"/>
      <w:r w:rsidRPr="00127BB5">
        <w:rPr>
          <w:rFonts w:cs="Arial"/>
          <w:szCs w:val="24"/>
        </w:rPr>
        <w:t>lett</w:t>
      </w:r>
      <w:proofErr w:type="spellEnd"/>
      <w:r w:rsidRPr="00127BB5">
        <w:rPr>
          <w:rFonts w:cs="Arial"/>
          <w:szCs w:val="24"/>
        </w:rPr>
        <w:t xml:space="preserve">. d) dell’art. 12 cpv. 1 </w:t>
      </w:r>
      <w:proofErr w:type="spellStart"/>
      <w:r w:rsidRPr="00127BB5">
        <w:rPr>
          <w:rFonts w:cs="Arial"/>
          <w:szCs w:val="24"/>
        </w:rPr>
        <w:t>LCCit</w:t>
      </w:r>
      <w:proofErr w:type="spellEnd"/>
      <w:r w:rsidRPr="00127BB5">
        <w:rPr>
          <w:rFonts w:cs="Arial"/>
          <w:szCs w:val="24"/>
        </w:rPr>
        <w:t xml:space="preserve"> con la quale è stato introdotto il requisito di indipendenza da aiuti sociali per gli ultimi dieci anni, dando seguito all’iniziativa parlamentare 21 gennaio 2019 presentata nella forma generica da Nicholas Marioli (ripresa da Omar Balli e Sem Genini) e approvata dal Gran Consiglio lo scorso 18 febbraio.</w:t>
      </w:r>
    </w:p>
    <w:p w:rsidR="0034010A" w:rsidRPr="00127BB5" w:rsidRDefault="0034010A" w:rsidP="0034010A">
      <w:pPr>
        <w:tabs>
          <w:tab w:val="left" w:pos="1701"/>
        </w:tabs>
        <w:spacing w:before="120"/>
        <w:ind w:right="-57"/>
        <w:rPr>
          <w:rFonts w:cs="Arial"/>
          <w:noProof/>
          <w:szCs w:val="24"/>
        </w:rPr>
      </w:pPr>
    </w:p>
    <w:p w:rsidR="0034010A" w:rsidRPr="00127BB5" w:rsidRDefault="00824FE4" w:rsidP="00824FE4">
      <w:pPr>
        <w:pStyle w:val="Titolo2"/>
        <w:rPr>
          <w:rFonts w:cs="Arial"/>
          <w:szCs w:val="24"/>
        </w:rPr>
      </w:pPr>
      <w:r>
        <w:rPr>
          <w:rFonts w:cs="Arial"/>
          <w:szCs w:val="24"/>
        </w:rPr>
        <w:t>2.5</w:t>
      </w:r>
      <w:r>
        <w:rPr>
          <w:rFonts w:cs="Arial"/>
          <w:szCs w:val="24"/>
        </w:rPr>
        <w:tab/>
      </w:r>
      <w:r w:rsidR="0034010A" w:rsidRPr="00127BB5">
        <w:rPr>
          <w:rFonts w:cs="Arial"/>
          <w:szCs w:val="24"/>
        </w:rPr>
        <w:t xml:space="preserve">Proposta di modifica all’art. 44 cpv. 1 e 2 </w:t>
      </w:r>
      <w:proofErr w:type="spellStart"/>
      <w:r w:rsidR="0034010A" w:rsidRPr="00127BB5">
        <w:rPr>
          <w:rFonts w:cs="Arial"/>
          <w:szCs w:val="24"/>
        </w:rPr>
        <w:t>LCCit</w:t>
      </w:r>
      <w:proofErr w:type="spellEnd"/>
      <w:r w:rsidR="0034010A" w:rsidRPr="00127BB5">
        <w:rPr>
          <w:rFonts w:cs="Arial"/>
          <w:szCs w:val="24"/>
        </w:rPr>
        <w:t xml:space="preserve"> e commento</w:t>
      </w:r>
    </w:p>
    <w:p w:rsidR="0034010A" w:rsidRPr="00127BB5" w:rsidRDefault="0034010A" w:rsidP="0034010A">
      <w:pPr>
        <w:rPr>
          <w:rFonts w:cs="Arial"/>
          <w:szCs w:val="24"/>
        </w:rPr>
      </w:pPr>
    </w:p>
    <w:tbl>
      <w:tblPr>
        <w:tblW w:w="0" w:type="auto"/>
        <w:tblLook w:val="01E0" w:firstRow="1" w:lastRow="1" w:firstColumn="1" w:lastColumn="1" w:noHBand="0" w:noVBand="0"/>
      </w:tblPr>
      <w:tblGrid>
        <w:gridCol w:w="4671"/>
        <w:gridCol w:w="4957"/>
      </w:tblGrid>
      <w:tr w:rsidR="0034010A" w:rsidRPr="00C53493" w:rsidTr="00C7610F">
        <w:tc>
          <w:tcPr>
            <w:tcW w:w="4788" w:type="dxa"/>
            <w:tcBorders>
              <w:top w:val="single" w:sz="4" w:space="0" w:color="auto"/>
              <w:left w:val="single" w:sz="4" w:space="0" w:color="auto"/>
              <w:bottom w:val="single" w:sz="4" w:space="0" w:color="auto"/>
            </w:tcBorders>
          </w:tcPr>
          <w:p w:rsidR="0034010A" w:rsidRPr="006D3B2E" w:rsidRDefault="0034010A" w:rsidP="00C7610F">
            <w:pPr>
              <w:spacing w:before="40" w:after="40"/>
              <w:ind w:right="187"/>
              <w:jc w:val="left"/>
              <w:rPr>
                <w:rFonts w:cs="Arial"/>
                <w:b/>
                <w:bCs/>
                <w:sz w:val="22"/>
                <w:szCs w:val="22"/>
              </w:rPr>
            </w:pPr>
            <w:r w:rsidRPr="006D3B2E">
              <w:rPr>
                <w:rFonts w:cs="Arial"/>
                <w:b/>
                <w:bCs/>
                <w:sz w:val="22"/>
                <w:szCs w:val="22"/>
              </w:rPr>
              <w:t>Norma vigente</w:t>
            </w:r>
          </w:p>
        </w:tc>
        <w:tc>
          <w:tcPr>
            <w:tcW w:w="5066" w:type="dxa"/>
            <w:tcBorders>
              <w:top w:val="single" w:sz="4" w:space="0" w:color="auto"/>
              <w:bottom w:val="single" w:sz="4" w:space="0" w:color="auto"/>
              <w:right w:val="single" w:sz="4" w:space="0" w:color="auto"/>
            </w:tcBorders>
          </w:tcPr>
          <w:p w:rsidR="0034010A" w:rsidRPr="006D3B2E" w:rsidRDefault="0034010A" w:rsidP="00C7610F">
            <w:pPr>
              <w:spacing w:before="40" w:after="40"/>
              <w:ind w:left="72"/>
              <w:jc w:val="left"/>
              <w:rPr>
                <w:rFonts w:cs="Arial"/>
                <w:b/>
                <w:sz w:val="22"/>
                <w:szCs w:val="22"/>
              </w:rPr>
            </w:pPr>
            <w:r w:rsidRPr="006D3B2E">
              <w:rPr>
                <w:rFonts w:cs="Arial"/>
                <w:b/>
                <w:sz w:val="22"/>
                <w:szCs w:val="22"/>
              </w:rPr>
              <w:t>Proposta di modifica</w:t>
            </w:r>
          </w:p>
        </w:tc>
      </w:tr>
      <w:tr w:rsidR="0034010A" w:rsidRPr="00965AFB" w:rsidTr="00C76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4" w:space="0" w:color="auto"/>
            </w:tcBorders>
          </w:tcPr>
          <w:p w:rsidR="0034010A" w:rsidRPr="006D3B2E" w:rsidRDefault="0034010A" w:rsidP="00561368">
            <w:pPr>
              <w:pStyle w:val="NormaleWeb"/>
              <w:spacing w:before="120" w:beforeAutospacing="0" w:after="120" w:afterAutospacing="0"/>
              <w:ind w:right="187"/>
              <w:jc w:val="both"/>
              <w:rPr>
                <w:rFonts w:ascii="Arial" w:hAnsi="Arial" w:cs="Arial"/>
                <w:sz w:val="22"/>
                <w:szCs w:val="22"/>
              </w:rPr>
            </w:pPr>
            <w:r w:rsidRPr="006D3B2E">
              <w:rPr>
                <w:rFonts w:ascii="Arial" w:hAnsi="Arial" w:cs="Arial"/>
                <w:b/>
                <w:bCs/>
                <w:sz w:val="22"/>
                <w:szCs w:val="22"/>
              </w:rPr>
              <w:t>Art. 44</w:t>
            </w:r>
            <w:hyperlink r:id="rId9" w:anchor="_ftn22" w:history="1"/>
          </w:p>
          <w:p w:rsidR="0034010A" w:rsidRPr="006D3B2E" w:rsidRDefault="0034010A" w:rsidP="00C7610F">
            <w:pPr>
              <w:pStyle w:val="NormaleWeb"/>
              <w:spacing w:before="0" w:beforeAutospacing="0" w:after="0" w:afterAutospacing="0"/>
              <w:ind w:right="187"/>
              <w:jc w:val="both"/>
              <w:rPr>
                <w:rFonts w:ascii="Arial" w:hAnsi="Arial" w:cs="Arial"/>
                <w:sz w:val="22"/>
                <w:szCs w:val="22"/>
              </w:rPr>
            </w:pPr>
            <w:r w:rsidRPr="006D3B2E">
              <w:rPr>
                <w:rFonts w:ascii="Arial" w:hAnsi="Arial" w:cs="Arial"/>
                <w:sz w:val="22"/>
                <w:szCs w:val="22"/>
              </w:rPr>
              <w:t>Le norme della legge si applicano a tutte le domande presentate dopo la sua entrata in vigore. Le domande presentate in antecedenza sono disciplinate dalle norme della legge anteriore, salvo che la presente sia più favorevole; per la procedura fa stato in ogni caso la legge anteriore.</w:t>
            </w:r>
          </w:p>
          <w:p w:rsidR="0034010A" w:rsidRPr="006D3B2E" w:rsidRDefault="0034010A" w:rsidP="00C7610F">
            <w:pPr>
              <w:pStyle w:val="NormaleWeb"/>
              <w:spacing w:before="0" w:beforeAutospacing="0" w:after="0" w:afterAutospacing="0"/>
              <w:ind w:right="187"/>
              <w:jc w:val="both"/>
              <w:rPr>
                <w:rFonts w:ascii="Arial" w:hAnsi="Arial" w:cs="Arial"/>
                <w:sz w:val="22"/>
                <w:szCs w:val="22"/>
              </w:rPr>
            </w:pPr>
          </w:p>
        </w:tc>
        <w:tc>
          <w:tcPr>
            <w:tcW w:w="5066" w:type="dxa"/>
            <w:tcBorders>
              <w:top w:val="single" w:sz="4" w:space="0" w:color="auto"/>
            </w:tcBorders>
          </w:tcPr>
          <w:p w:rsidR="0034010A" w:rsidRPr="006D3B2E" w:rsidRDefault="0034010A" w:rsidP="00561368">
            <w:pPr>
              <w:tabs>
                <w:tab w:val="left" w:pos="1701"/>
              </w:tabs>
              <w:spacing w:before="120" w:after="120"/>
              <w:ind w:left="720" w:right="187" w:hanging="646"/>
              <w:rPr>
                <w:rFonts w:cs="Arial"/>
                <w:b/>
                <w:sz w:val="22"/>
                <w:szCs w:val="22"/>
                <w:lang w:val="it-CH"/>
              </w:rPr>
            </w:pPr>
            <w:r w:rsidRPr="006D3B2E">
              <w:rPr>
                <w:rFonts w:cs="Arial"/>
                <w:b/>
                <w:sz w:val="22"/>
                <w:szCs w:val="22"/>
                <w:lang w:val="it-CH"/>
              </w:rPr>
              <w:t>Art. 44 cpv. 1, 2 (modifica)</w:t>
            </w:r>
          </w:p>
          <w:p w:rsidR="0034010A" w:rsidRPr="006D3B2E" w:rsidRDefault="0034010A" w:rsidP="00561368">
            <w:pPr>
              <w:pStyle w:val="NormaleWeb"/>
              <w:spacing w:before="0" w:beforeAutospacing="0" w:after="120" w:afterAutospacing="0"/>
              <w:ind w:right="187"/>
              <w:jc w:val="both"/>
              <w:rPr>
                <w:rFonts w:ascii="Arial" w:hAnsi="Arial" w:cs="Arial"/>
                <w:sz w:val="22"/>
                <w:szCs w:val="22"/>
              </w:rPr>
            </w:pPr>
            <w:r w:rsidRPr="006D3B2E">
              <w:rPr>
                <w:rFonts w:ascii="Arial" w:hAnsi="Arial" w:cs="Arial"/>
                <w:sz w:val="22"/>
                <w:szCs w:val="22"/>
                <w:vertAlign w:val="superscript"/>
              </w:rPr>
              <w:t>1</w:t>
            </w:r>
            <w:r w:rsidRPr="006D3B2E">
              <w:rPr>
                <w:rFonts w:ascii="Arial" w:hAnsi="Arial" w:cs="Arial"/>
                <w:sz w:val="22"/>
                <w:szCs w:val="22"/>
              </w:rPr>
              <w:t>Le norme della legge si applicano a tutte le domande presentate dopo la sua entrata in vigore. Le domande presentate in antecedenza sono disciplinate dalle norme della legge anteriore, salvo che la presente sia più favorevole; per la procedura fa stato in ogni caso la legge anteriore.</w:t>
            </w:r>
          </w:p>
          <w:p w:rsidR="0034010A" w:rsidRDefault="0034010A" w:rsidP="00C7610F">
            <w:pPr>
              <w:pStyle w:val="NormaleWeb"/>
              <w:spacing w:before="0" w:beforeAutospacing="0" w:after="0" w:afterAutospacing="0"/>
              <w:ind w:right="187"/>
              <w:jc w:val="both"/>
              <w:rPr>
                <w:rFonts w:ascii="Arial" w:hAnsi="Arial" w:cs="Arial"/>
                <w:sz w:val="22"/>
                <w:szCs w:val="22"/>
              </w:rPr>
            </w:pPr>
            <w:r w:rsidRPr="006D3B2E">
              <w:rPr>
                <w:rFonts w:ascii="Arial" w:hAnsi="Arial" w:cs="Arial"/>
                <w:sz w:val="22"/>
                <w:szCs w:val="22"/>
                <w:vertAlign w:val="superscript"/>
              </w:rPr>
              <w:t>2</w:t>
            </w:r>
            <w:r w:rsidRPr="006D3B2E">
              <w:rPr>
                <w:rFonts w:ascii="Arial" w:hAnsi="Arial" w:cs="Arial"/>
                <w:sz w:val="22"/>
                <w:szCs w:val="22"/>
              </w:rPr>
              <w:t>Le disposizioni della modifica del 18 settembre 2017 e quelle della modifica del</w:t>
            </w:r>
            <w:r w:rsidR="00824FE4">
              <w:rPr>
                <w:rFonts w:ascii="Arial" w:hAnsi="Arial" w:cs="Arial"/>
                <w:sz w:val="22"/>
                <w:szCs w:val="22"/>
              </w:rPr>
              <w:t xml:space="preserve"> </w:t>
            </w:r>
            <w:r w:rsidR="00824FE4" w:rsidRPr="00824FE4">
              <w:rPr>
                <w:rFonts w:ascii="Arial" w:hAnsi="Arial" w:cs="Arial"/>
                <w:sz w:val="22"/>
                <w:szCs w:val="22"/>
                <w:shd w:val="clear" w:color="auto" w:fill="FFFF00"/>
              </w:rPr>
              <w:t>…..</w:t>
            </w:r>
            <w:r w:rsidR="00824FE4">
              <w:rPr>
                <w:rFonts w:ascii="Arial" w:hAnsi="Arial" w:cs="Arial"/>
                <w:sz w:val="22"/>
                <w:szCs w:val="22"/>
              </w:rPr>
              <w:t xml:space="preserve"> </w:t>
            </w:r>
            <w:r w:rsidRPr="006D3B2E">
              <w:rPr>
                <w:rFonts w:ascii="Arial" w:hAnsi="Arial" w:cs="Arial"/>
                <w:sz w:val="22"/>
                <w:szCs w:val="22"/>
              </w:rPr>
              <w:t>si applicano alle domande presentate dopo la rispettiva</w:t>
            </w:r>
            <w:r>
              <w:rPr>
                <w:rFonts w:ascii="Arial" w:hAnsi="Arial" w:cs="Arial"/>
                <w:sz w:val="22"/>
                <w:szCs w:val="22"/>
              </w:rPr>
              <w:t xml:space="preserve"> entrata in vigore</w:t>
            </w:r>
            <w:r w:rsidRPr="006D3B2E">
              <w:rPr>
                <w:rFonts w:ascii="Arial" w:hAnsi="Arial" w:cs="Arial"/>
                <w:sz w:val="22"/>
                <w:szCs w:val="22"/>
              </w:rPr>
              <w:t xml:space="preserve"> </w:t>
            </w:r>
            <w:r w:rsidRPr="002673FE">
              <w:rPr>
                <w:rFonts w:ascii="Arial" w:hAnsi="Arial" w:cs="Arial"/>
                <w:sz w:val="22"/>
                <w:szCs w:val="22"/>
              </w:rPr>
              <w:t>e a quelle presentate precedentemente se il nuovo diritto è più favorevole.</w:t>
            </w:r>
          </w:p>
          <w:p w:rsidR="0034010A" w:rsidRPr="006D3B2E" w:rsidRDefault="0034010A" w:rsidP="00C7610F">
            <w:pPr>
              <w:pStyle w:val="NormaleWeb"/>
              <w:spacing w:before="0" w:beforeAutospacing="0" w:after="0" w:afterAutospacing="0"/>
              <w:ind w:right="187"/>
              <w:jc w:val="both"/>
              <w:rPr>
                <w:rFonts w:ascii="Arial" w:hAnsi="Arial" w:cs="Arial"/>
                <w:sz w:val="22"/>
                <w:szCs w:val="22"/>
              </w:rPr>
            </w:pPr>
          </w:p>
        </w:tc>
      </w:tr>
    </w:tbl>
    <w:p w:rsidR="0034010A" w:rsidRPr="002673FE" w:rsidRDefault="0034010A" w:rsidP="0034010A">
      <w:pPr>
        <w:jc w:val="left"/>
        <w:rPr>
          <w:rFonts w:cs="Arial"/>
          <w:szCs w:val="24"/>
        </w:rPr>
      </w:pPr>
    </w:p>
    <w:p w:rsidR="0034010A" w:rsidRPr="002673FE" w:rsidRDefault="0034010A" w:rsidP="0034010A">
      <w:pPr>
        <w:jc w:val="left"/>
        <w:rPr>
          <w:rFonts w:cs="Arial"/>
          <w:szCs w:val="24"/>
        </w:rPr>
      </w:pPr>
    </w:p>
    <w:p w:rsidR="0034010A" w:rsidRPr="00127BB5" w:rsidRDefault="0034010A" w:rsidP="00561368">
      <w:pPr>
        <w:spacing w:after="120"/>
        <w:jc w:val="left"/>
        <w:rPr>
          <w:rFonts w:cs="Arial"/>
          <w:b/>
          <w:szCs w:val="24"/>
        </w:rPr>
      </w:pPr>
      <w:r w:rsidRPr="00127BB5">
        <w:rPr>
          <w:rFonts w:cs="Arial"/>
          <w:b/>
          <w:szCs w:val="24"/>
        </w:rPr>
        <w:t>Commento</w:t>
      </w:r>
    </w:p>
    <w:p w:rsidR="0034010A" w:rsidRPr="00127BB5" w:rsidRDefault="0034010A" w:rsidP="0034010A">
      <w:pPr>
        <w:ind w:right="-1"/>
        <w:rPr>
          <w:rFonts w:cs="Arial"/>
          <w:szCs w:val="24"/>
        </w:rPr>
      </w:pPr>
      <w:r w:rsidRPr="00E36B32">
        <w:rPr>
          <w:rFonts w:cs="Arial"/>
          <w:szCs w:val="24"/>
        </w:rPr>
        <w:t>Con l’aggiunta del cpv. 2 si sono volute disciplinare in maniera chiara le questioni legate al diritto transitorio stabilendo il principio che le domande presentate antecedentemente alle revisioni succedutesi sono rette dal diritto vigente a quel momento, ad eccezione delle disposizioni più favorevoli.</w:t>
      </w:r>
      <w:r w:rsidRPr="00127BB5">
        <w:rPr>
          <w:rFonts w:cs="Arial"/>
          <w:szCs w:val="24"/>
        </w:rPr>
        <w:t xml:space="preserve"> La norma è adeguata e migliorata nel suo contenuto anche per le modifiche del 18 settembre 2017 entrate in vigore il 1. gennaio 2018.</w:t>
      </w:r>
    </w:p>
    <w:p w:rsidR="0034010A" w:rsidRDefault="0034010A" w:rsidP="0034010A">
      <w:pPr>
        <w:rPr>
          <w:rFonts w:cs="Arial"/>
          <w:szCs w:val="24"/>
          <w:highlight w:val="yellow"/>
        </w:rPr>
      </w:pPr>
    </w:p>
    <w:p w:rsidR="0034010A" w:rsidRPr="0034010A" w:rsidRDefault="0034010A" w:rsidP="0034010A">
      <w:pPr>
        <w:pStyle w:val="Titolo1"/>
      </w:pPr>
      <w:bookmarkStart w:id="7" w:name="_Toc344889085"/>
      <w:bookmarkStart w:id="8" w:name="_Toc404267908"/>
      <w:r>
        <w:lastRenderedPageBreak/>
        <w:t>3</w:t>
      </w:r>
      <w:r w:rsidRPr="0034010A">
        <w:t>.</w:t>
      </w:r>
      <w:r w:rsidRPr="0034010A">
        <w:tab/>
        <w:t>Relazioni con le linee direttive e il piano finanziario</w:t>
      </w:r>
      <w:bookmarkEnd w:id="7"/>
      <w:bookmarkEnd w:id="8"/>
    </w:p>
    <w:p w:rsidR="0034010A" w:rsidRPr="00127BB5" w:rsidRDefault="0034010A" w:rsidP="0034010A">
      <w:pPr>
        <w:ind w:right="-1"/>
        <w:rPr>
          <w:rFonts w:cs="Arial"/>
          <w:szCs w:val="24"/>
        </w:rPr>
      </w:pPr>
      <w:r w:rsidRPr="00127BB5">
        <w:rPr>
          <w:rFonts w:cs="Arial"/>
          <w:szCs w:val="24"/>
        </w:rPr>
        <w:t>Le presenti modifiche legislative non comportano alcun costo supplementare.</w:t>
      </w:r>
    </w:p>
    <w:p w:rsidR="0034010A" w:rsidRDefault="0034010A" w:rsidP="0034010A">
      <w:pPr>
        <w:ind w:right="-1"/>
        <w:rPr>
          <w:rFonts w:cs="Arial"/>
          <w:szCs w:val="24"/>
        </w:rPr>
      </w:pPr>
    </w:p>
    <w:p w:rsidR="0034010A" w:rsidRPr="00127BB5" w:rsidRDefault="0034010A" w:rsidP="0034010A">
      <w:pPr>
        <w:ind w:right="-1"/>
        <w:rPr>
          <w:rFonts w:cs="Arial"/>
          <w:szCs w:val="24"/>
        </w:rPr>
      </w:pPr>
    </w:p>
    <w:p w:rsidR="0034010A" w:rsidRPr="00127BB5" w:rsidRDefault="0034010A" w:rsidP="0034010A">
      <w:pPr>
        <w:ind w:right="-1"/>
        <w:rPr>
          <w:rFonts w:cs="Arial"/>
          <w:szCs w:val="24"/>
        </w:rPr>
      </w:pPr>
    </w:p>
    <w:p w:rsidR="0034010A" w:rsidRPr="00127BB5" w:rsidRDefault="0034010A" w:rsidP="0034010A">
      <w:pPr>
        <w:pStyle w:val="Titolo1"/>
        <w:rPr>
          <w:rFonts w:cs="Arial"/>
          <w:lang w:val="it-CH"/>
        </w:rPr>
      </w:pPr>
      <w:bookmarkStart w:id="9" w:name="_Toc344889088"/>
      <w:bookmarkStart w:id="10" w:name="_Toc404267909"/>
      <w:r>
        <w:rPr>
          <w:rFonts w:cs="Arial"/>
          <w:lang w:val="it-CH"/>
        </w:rPr>
        <w:t>4</w:t>
      </w:r>
      <w:r w:rsidRPr="00127BB5">
        <w:rPr>
          <w:rFonts w:cs="Arial"/>
          <w:lang w:val="it-CH"/>
        </w:rPr>
        <w:t>.</w:t>
      </w:r>
      <w:r w:rsidRPr="00127BB5">
        <w:rPr>
          <w:rFonts w:cs="Arial"/>
          <w:lang w:val="it-CH"/>
        </w:rPr>
        <w:tab/>
        <w:t>Atti parlamentari</w:t>
      </w:r>
      <w:bookmarkEnd w:id="9"/>
      <w:bookmarkEnd w:id="10"/>
    </w:p>
    <w:p w:rsidR="0034010A" w:rsidRPr="00127BB5" w:rsidRDefault="0034010A" w:rsidP="0034010A">
      <w:pPr>
        <w:ind w:right="-1"/>
        <w:rPr>
          <w:rFonts w:cs="Arial"/>
          <w:szCs w:val="24"/>
        </w:rPr>
      </w:pPr>
      <w:r w:rsidRPr="00127BB5">
        <w:rPr>
          <w:rFonts w:cs="Arial"/>
          <w:szCs w:val="24"/>
        </w:rPr>
        <w:t>Con questo messaggio è da considerare evasa l’iniziativa parlamentare 21 gennaio 2019 presentata nella forma generica da Nicholas Marioli (ripresa da Omar Balli e Sem Genini per il Gruppo della Lega dei Ticinesi) per la modifica della Legge sulla cittadinanza ticinese e s</w:t>
      </w:r>
      <w:r w:rsidR="00824FE4">
        <w:rPr>
          <w:rFonts w:cs="Arial"/>
          <w:szCs w:val="24"/>
        </w:rPr>
        <w:t>ull’attinenza comunale (</w:t>
      </w:r>
      <w:proofErr w:type="spellStart"/>
      <w:r w:rsidR="00824FE4">
        <w:rPr>
          <w:rFonts w:cs="Arial"/>
          <w:szCs w:val="24"/>
        </w:rPr>
        <w:t>LCCit</w:t>
      </w:r>
      <w:proofErr w:type="spellEnd"/>
      <w:r w:rsidR="00824FE4">
        <w:rPr>
          <w:rFonts w:cs="Arial"/>
          <w:szCs w:val="24"/>
        </w:rPr>
        <w:t>) -</w:t>
      </w:r>
      <w:r w:rsidRPr="00127BB5">
        <w:rPr>
          <w:rFonts w:cs="Arial"/>
          <w:szCs w:val="24"/>
        </w:rPr>
        <w:t xml:space="preserve"> Inserimento del criterio di rimborso delle prestazioni assistenziali percepite negli ultimi dieci anni.</w:t>
      </w:r>
    </w:p>
    <w:p w:rsidR="0034010A" w:rsidRPr="00127BB5" w:rsidRDefault="0034010A" w:rsidP="0034010A">
      <w:pPr>
        <w:ind w:right="-1"/>
        <w:rPr>
          <w:rFonts w:cs="Arial"/>
          <w:szCs w:val="24"/>
        </w:rPr>
      </w:pPr>
    </w:p>
    <w:p w:rsidR="0034010A" w:rsidRPr="00127BB5" w:rsidRDefault="0034010A" w:rsidP="0034010A">
      <w:pPr>
        <w:ind w:right="-1"/>
        <w:rPr>
          <w:rFonts w:cs="Arial"/>
          <w:szCs w:val="24"/>
        </w:rPr>
      </w:pPr>
    </w:p>
    <w:p w:rsidR="0034010A" w:rsidRPr="00127BB5" w:rsidRDefault="0034010A" w:rsidP="0034010A">
      <w:pPr>
        <w:rPr>
          <w:rFonts w:cs="Arial"/>
          <w:szCs w:val="24"/>
        </w:rPr>
      </w:pPr>
      <w:r w:rsidRPr="00127BB5">
        <w:rPr>
          <w:rFonts w:cs="Arial"/>
          <w:szCs w:val="24"/>
        </w:rPr>
        <w:t xml:space="preserve">Con queste considerazioni chiediamo al Gran Consiglio di approvare l'allegato disegno di modifica della </w:t>
      </w:r>
      <w:proofErr w:type="spellStart"/>
      <w:r w:rsidRPr="00127BB5">
        <w:rPr>
          <w:rFonts w:cs="Arial"/>
          <w:szCs w:val="24"/>
        </w:rPr>
        <w:t>LCCit</w:t>
      </w:r>
      <w:proofErr w:type="spellEnd"/>
      <w:r w:rsidRPr="00127BB5">
        <w:rPr>
          <w:rFonts w:cs="Arial"/>
          <w:szCs w:val="24"/>
        </w:rPr>
        <w:t>.</w:t>
      </w:r>
    </w:p>
    <w:p w:rsidR="0034010A" w:rsidRPr="00127BB5" w:rsidRDefault="0034010A" w:rsidP="0034010A">
      <w:pPr>
        <w:tabs>
          <w:tab w:val="left" w:pos="284"/>
          <w:tab w:val="left" w:pos="426"/>
          <w:tab w:val="left" w:pos="4962"/>
        </w:tabs>
        <w:rPr>
          <w:rFonts w:cs="Arial"/>
          <w:szCs w:val="24"/>
          <w:lang w:val="it-CH"/>
        </w:rPr>
      </w:pPr>
    </w:p>
    <w:p w:rsidR="0034010A" w:rsidRPr="00127BB5" w:rsidRDefault="0034010A" w:rsidP="0034010A">
      <w:pPr>
        <w:tabs>
          <w:tab w:val="left" w:pos="284"/>
          <w:tab w:val="left" w:pos="426"/>
          <w:tab w:val="left" w:pos="4962"/>
        </w:tabs>
        <w:rPr>
          <w:rFonts w:cs="Arial"/>
          <w:szCs w:val="24"/>
        </w:rPr>
      </w:pPr>
    </w:p>
    <w:p w:rsidR="0034010A" w:rsidRPr="00127BB5" w:rsidRDefault="0034010A" w:rsidP="0034010A">
      <w:pPr>
        <w:rPr>
          <w:rFonts w:cs="Arial"/>
          <w:szCs w:val="24"/>
        </w:rPr>
      </w:pPr>
      <w:r w:rsidRPr="00127BB5">
        <w:rPr>
          <w:rFonts w:cs="Arial"/>
          <w:szCs w:val="24"/>
        </w:rPr>
        <w:t>Vogliate gradire, signor Presidente, signore e signori deputati, l'espressione della nostra massima stima.</w:t>
      </w:r>
    </w:p>
    <w:p w:rsidR="0034010A" w:rsidRDefault="0034010A" w:rsidP="004E176C">
      <w:pPr>
        <w:spacing w:line="23" w:lineRule="atLeast"/>
        <w:rPr>
          <w:rFonts w:cs="Arial"/>
        </w:rPr>
      </w:pPr>
    </w:p>
    <w:p w:rsidR="0034010A" w:rsidRDefault="0034010A" w:rsidP="004E176C">
      <w:pPr>
        <w:spacing w:line="23" w:lineRule="atLeast"/>
        <w:rPr>
          <w:rFonts w:cs="Arial"/>
        </w:rPr>
      </w:pPr>
    </w:p>
    <w:p w:rsidR="0034010A" w:rsidRDefault="0034010A" w:rsidP="004E176C">
      <w:pPr>
        <w:spacing w:line="23" w:lineRule="atLeast"/>
        <w:rPr>
          <w:rFonts w:cs="Arial"/>
        </w:rPr>
      </w:pPr>
    </w:p>
    <w:p w:rsidR="004E176C" w:rsidRPr="00B4412F" w:rsidRDefault="004E176C" w:rsidP="004E176C">
      <w:pPr>
        <w:spacing w:after="120" w:line="0" w:lineRule="atLeast"/>
        <w:rPr>
          <w:rFonts w:cs="Arial"/>
        </w:rPr>
      </w:pPr>
      <w:r w:rsidRPr="00B4412F">
        <w:rPr>
          <w:rFonts w:cs="Arial"/>
        </w:rPr>
        <w:t>Per il Consiglio di Stato:</w:t>
      </w:r>
    </w:p>
    <w:p w:rsidR="004E176C" w:rsidRPr="00B4412F" w:rsidRDefault="004E176C" w:rsidP="004E176C">
      <w:pPr>
        <w:spacing w:line="23" w:lineRule="atLeast"/>
        <w:rPr>
          <w:rFonts w:cs="Arial"/>
        </w:rPr>
      </w:pPr>
      <w:r w:rsidRPr="00B4412F">
        <w:rPr>
          <w:rFonts w:cs="Arial"/>
        </w:rPr>
        <w:t>Il Presidente, Norman Gobbi</w:t>
      </w:r>
    </w:p>
    <w:p w:rsidR="004E176C" w:rsidRPr="00B4412F" w:rsidRDefault="004E176C" w:rsidP="004E176C">
      <w:pPr>
        <w:spacing w:line="23" w:lineRule="atLeast"/>
        <w:rPr>
          <w:rFonts w:cs="Arial"/>
        </w:rPr>
      </w:pPr>
      <w:r w:rsidRPr="00B4412F">
        <w:rPr>
          <w:rFonts w:cs="Arial"/>
        </w:rPr>
        <w:t>Il Cancelliere, Arnoldo Coduri</w:t>
      </w:r>
    </w:p>
    <w:p w:rsidR="0034010A" w:rsidRPr="00127BB5" w:rsidRDefault="0034010A" w:rsidP="0034010A">
      <w:pPr>
        <w:ind w:right="-1"/>
        <w:outlineLvl w:val="0"/>
        <w:rPr>
          <w:rFonts w:cs="Arial"/>
          <w:szCs w:val="24"/>
          <w:lang w:eastAsia="en-US"/>
        </w:rPr>
      </w:pPr>
      <w:r>
        <w:rPr>
          <w:rFonts w:cs="Arial"/>
          <w:b/>
          <w:lang w:val="it-CH"/>
        </w:rPr>
        <w:br w:type="page"/>
      </w:r>
      <w:r w:rsidRPr="00127BB5">
        <w:rPr>
          <w:rFonts w:cs="Arial"/>
          <w:szCs w:val="24"/>
          <w:lang w:eastAsia="en-US"/>
        </w:rPr>
        <w:lastRenderedPageBreak/>
        <w:t>Disegno di</w:t>
      </w:r>
    </w:p>
    <w:p w:rsidR="0034010A" w:rsidRPr="00127BB5" w:rsidRDefault="0034010A" w:rsidP="0034010A">
      <w:pPr>
        <w:rPr>
          <w:rFonts w:cs="Arial"/>
          <w:szCs w:val="24"/>
          <w:lang w:eastAsia="en-US"/>
        </w:rPr>
      </w:pPr>
    </w:p>
    <w:p w:rsidR="0034010A" w:rsidRPr="00127BB5" w:rsidRDefault="0034010A" w:rsidP="0034010A">
      <w:pPr>
        <w:rPr>
          <w:rFonts w:cs="Arial"/>
          <w:b/>
          <w:szCs w:val="24"/>
          <w:lang w:eastAsia="en-US"/>
        </w:rPr>
      </w:pPr>
      <w:r>
        <w:rPr>
          <w:rFonts w:cs="Arial"/>
          <w:b/>
          <w:szCs w:val="24"/>
          <w:lang w:eastAsia="en-US"/>
        </w:rPr>
        <w:t>LEGGE</w:t>
      </w:r>
    </w:p>
    <w:p w:rsidR="0034010A" w:rsidRPr="00127BB5" w:rsidRDefault="0034010A" w:rsidP="0034010A">
      <w:pPr>
        <w:rPr>
          <w:rFonts w:cs="Arial"/>
          <w:b/>
          <w:szCs w:val="24"/>
          <w:lang w:eastAsia="en-US"/>
        </w:rPr>
      </w:pPr>
      <w:r w:rsidRPr="00127BB5">
        <w:rPr>
          <w:rFonts w:cs="Arial"/>
          <w:b/>
          <w:szCs w:val="24"/>
          <w:lang w:eastAsia="en-US"/>
        </w:rPr>
        <w:t>sulla cittadinanza ticinese e sull’attinenza comunale dell’8 novembre 1994 (</w:t>
      </w:r>
      <w:proofErr w:type="spellStart"/>
      <w:r w:rsidRPr="00127BB5">
        <w:rPr>
          <w:rFonts w:cs="Arial"/>
          <w:b/>
          <w:szCs w:val="24"/>
          <w:lang w:eastAsia="en-US"/>
        </w:rPr>
        <w:t>LCCit</w:t>
      </w:r>
      <w:proofErr w:type="spellEnd"/>
      <w:r w:rsidRPr="00127BB5">
        <w:rPr>
          <w:rFonts w:cs="Arial"/>
          <w:b/>
          <w:szCs w:val="24"/>
          <w:lang w:eastAsia="en-US"/>
        </w:rPr>
        <w:t>)</w:t>
      </w:r>
      <w:r w:rsidR="00824FE4">
        <w:rPr>
          <w:rFonts w:cs="Arial"/>
          <w:b/>
          <w:szCs w:val="24"/>
          <w:lang w:eastAsia="en-US"/>
        </w:rPr>
        <w:t>; modifica</w:t>
      </w:r>
      <w:r w:rsidRPr="00127BB5">
        <w:rPr>
          <w:rFonts w:cs="Arial"/>
          <w:b/>
          <w:szCs w:val="24"/>
          <w:lang w:eastAsia="en-US"/>
        </w:rPr>
        <w:t xml:space="preserve"> </w:t>
      </w:r>
    </w:p>
    <w:p w:rsidR="0034010A" w:rsidRPr="002E44EA" w:rsidRDefault="0034010A" w:rsidP="0034010A">
      <w:pPr>
        <w:rPr>
          <w:rFonts w:cs="Arial"/>
          <w:szCs w:val="24"/>
          <w:lang w:eastAsia="en-US"/>
        </w:rPr>
      </w:pPr>
    </w:p>
    <w:p w:rsidR="0034010A" w:rsidRPr="002E44EA" w:rsidRDefault="0034010A" w:rsidP="0034010A">
      <w:pPr>
        <w:rPr>
          <w:rFonts w:cs="Arial"/>
          <w:szCs w:val="24"/>
          <w:lang w:eastAsia="en-US"/>
        </w:rPr>
      </w:pPr>
    </w:p>
    <w:p w:rsidR="0034010A" w:rsidRPr="00127BB5" w:rsidRDefault="0034010A" w:rsidP="0034010A">
      <w:pPr>
        <w:rPr>
          <w:rFonts w:cs="Arial"/>
          <w:szCs w:val="24"/>
        </w:rPr>
      </w:pPr>
      <w:r w:rsidRPr="00127BB5">
        <w:rPr>
          <w:rFonts w:cs="Arial"/>
          <w:szCs w:val="24"/>
        </w:rPr>
        <w:t>IL GRAN CONSIGLIO</w:t>
      </w:r>
    </w:p>
    <w:p w:rsidR="0034010A" w:rsidRPr="00127BB5" w:rsidRDefault="0034010A" w:rsidP="0034010A">
      <w:pPr>
        <w:rPr>
          <w:rFonts w:cs="Arial"/>
          <w:szCs w:val="24"/>
        </w:rPr>
      </w:pPr>
      <w:r w:rsidRPr="00127BB5">
        <w:rPr>
          <w:rFonts w:cs="Arial"/>
          <w:szCs w:val="24"/>
        </w:rPr>
        <w:t>DELLA REPUBBLICA E CANTONE TICINO</w:t>
      </w:r>
    </w:p>
    <w:p w:rsidR="0034010A" w:rsidRPr="002258AA" w:rsidRDefault="0034010A" w:rsidP="0034010A">
      <w:pPr>
        <w:rPr>
          <w:rFonts w:cs="Arial"/>
          <w:sz w:val="20"/>
          <w:lang w:eastAsia="en-US"/>
        </w:rPr>
      </w:pPr>
    </w:p>
    <w:p w:rsidR="0034010A" w:rsidRPr="00127BB5" w:rsidRDefault="0034010A" w:rsidP="0034010A">
      <w:pPr>
        <w:rPr>
          <w:rFonts w:cs="Arial"/>
          <w:szCs w:val="24"/>
        </w:rPr>
      </w:pPr>
      <w:r w:rsidRPr="00127BB5">
        <w:rPr>
          <w:rFonts w:cs="Arial"/>
          <w:szCs w:val="24"/>
        </w:rPr>
        <w:t>visto il messaggio</w:t>
      </w:r>
      <w:r>
        <w:rPr>
          <w:rFonts w:cs="Arial"/>
          <w:szCs w:val="24"/>
        </w:rPr>
        <w:t xml:space="preserve"> 28 ottobre</w:t>
      </w:r>
      <w:r w:rsidRPr="00127BB5">
        <w:rPr>
          <w:rFonts w:cs="Arial"/>
          <w:szCs w:val="24"/>
        </w:rPr>
        <w:t xml:space="preserve"> </w:t>
      </w:r>
      <w:r w:rsidR="00824FE4">
        <w:rPr>
          <w:rFonts w:cs="Arial"/>
          <w:szCs w:val="24"/>
        </w:rPr>
        <w:t xml:space="preserve">2020 </w:t>
      </w:r>
      <w:r w:rsidRPr="00127BB5">
        <w:rPr>
          <w:rFonts w:cs="Arial"/>
          <w:szCs w:val="24"/>
        </w:rPr>
        <w:t xml:space="preserve">n. </w:t>
      </w:r>
      <w:r>
        <w:rPr>
          <w:rFonts w:cs="Arial"/>
          <w:szCs w:val="24"/>
        </w:rPr>
        <w:t xml:space="preserve">7917 </w:t>
      </w:r>
      <w:r w:rsidRPr="00127BB5">
        <w:rPr>
          <w:rFonts w:cs="Arial"/>
          <w:szCs w:val="24"/>
        </w:rPr>
        <w:t>del Consiglio di Stato,</w:t>
      </w:r>
    </w:p>
    <w:p w:rsidR="0034010A" w:rsidRPr="002E44EA" w:rsidRDefault="0034010A" w:rsidP="0034010A">
      <w:pPr>
        <w:rPr>
          <w:rFonts w:cs="Arial"/>
          <w:szCs w:val="24"/>
          <w:lang w:eastAsia="en-US"/>
        </w:rPr>
      </w:pPr>
    </w:p>
    <w:p w:rsidR="00A22E62" w:rsidRPr="002E44EA" w:rsidRDefault="00A22E62" w:rsidP="0034010A">
      <w:pPr>
        <w:rPr>
          <w:rFonts w:cs="Arial"/>
          <w:szCs w:val="24"/>
          <w:lang w:eastAsia="en-US"/>
        </w:rPr>
      </w:pPr>
    </w:p>
    <w:p w:rsidR="0034010A" w:rsidRPr="0034010A" w:rsidRDefault="0034010A" w:rsidP="0034010A">
      <w:pPr>
        <w:rPr>
          <w:rFonts w:cs="Arial"/>
          <w:b/>
          <w:szCs w:val="24"/>
        </w:rPr>
      </w:pPr>
      <w:r w:rsidRPr="0034010A">
        <w:rPr>
          <w:rFonts w:cs="Arial"/>
          <w:b/>
          <w:szCs w:val="24"/>
        </w:rPr>
        <w:t>d</w:t>
      </w:r>
      <w:r>
        <w:rPr>
          <w:rFonts w:cs="Arial"/>
          <w:b/>
          <w:szCs w:val="24"/>
        </w:rPr>
        <w:t xml:space="preserve"> </w:t>
      </w:r>
      <w:r w:rsidRPr="0034010A">
        <w:rPr>
          <w:rFonts w:cs="Arial"/>
          <w:b/>
          <w:szCs w:val="24"/>
        </w:rPr>
        <w:t>e</w:t>
      </w:r>
      <w:r>
        <w:rPr>
          <w:rFonts w:cs="Arial"/>
          <w:b/>
          <w:szCs w:val="24"/>
        </w:rPr>
        <w:t xml:space="preserve"> </w:t>
      </w:r>
      <w:r w:rsidRPr="0034010A">
        <w:rPr>
          <w:rFonts w:cs="Arial"/>
          <w:b/>
          <w:szCs w:val="24"/>
        </w:rPr>
        <w:t>c</w:t>
      </w:r>
      <w:r>
        <w:rPr>
          <w:rFonts w:cs="Arial"/>
          <w:b/>
          <w:szCs w:val="24"/>
        </w:rPr>
        <w:t xml:space="preserve"> </w:t>
      </w:r>
      <w:r w:rsidRPr="0034010A">
        <w:rPr>
          <w:rFonts w:cs="Arial"/>
          <w:b/>
          <w:szCs w:val="24"/>
        </w:rPr>
        <w:t>r</w:t>
      </w:r>
      <w:r>
        <w:rPr>
          <w:rFonts w:cs="Arial"/>
          <w:b/>
          <w:szCs w:val="24"/>
        </w:rPr>
        <w:t xml:space="preserve"> </w:t>
      </w:r>
      <w:r w:rsidRPr="0034010A">
        <w:rPr>
          <w:rFonts w:cs="Arial"/>
          <w:b/>
          <w:szCs w:val="24"/>
        </w:rPr>
        <w:t>e</w:t>
      </w:r>
      <w:r>
        <w:rPr>
          <w:rFonts w:cs="Arial"/>
          <w:b/>
          <w:szCs w:val="24"/>
        </w:rPr>
        <w:t xml:space="preserve"> </w:t>
      </w:r>
      <w:r w:rsidRPr="0034010A">
        <w:rPr>
          <w:rFonts w:cs="Arial"/>
          <w:b/>
          <w:szCs w:val="24"/>
        </w:rPr>
        <w:t>t</w:t>
      </w:r>
      <w:r>
        <w:rPr>
          <w:rFonts w:cs="Arial"/>
          <w:b/>
          <w:szCs w:val="24"/>
        </w:rPr>
        <w:t xml:space="preserve"> </w:t>
      </w:r>
      <w:proofErr w:type="gramStart"/>
      <w:r w:rsidRPr="0034010A">
        <w:rPr>
          <w:rFonts w:cs="Arial"/>
          <w:b/>
          <w:szCs w:val="24"/>
        </w:rPr>
        <w:t>a</w:t>
      </w:r>
      <w:r>
        <w:rPr>
          <w:rFonts w:cs="Arial"/>
          <w:b/>
          <w:szCs w:val="24"/>
        </w:rPr>
        <w:t xml:space="preserve"> </w:t>
      </w:r>
      <w:r w:rsidRPr="0034010A">
        <w:rPr>
          <w:rFonts w:cs="Arial"/>
          <w:b/>
          <w:szCs w:val="24"/>
        </w:rPr>
        <w:t>:</w:t>
      </w:r>
      <w:proofErr w:type="gramEnd"/>
    </w:p>
    <w:p w:rsidR="002258AA" w:rsidRDefault="002258AA" w:rsidP="0034010A">
      <w:pPr>
        <w:rPr>
          <w:rFonts w:cs="Arial"/>
          <w:szCs w:val="24"/>
          <w:lang w:eastAsia="en-US"/>
        </w:rPr>
      </w:pPr>
    </w:p>
    <w:p w:rsidR="002E44EA" w:rsidRDefault="002E44EA" w:rsidP="0034010A">
      <w:pPr>
        <w:rPr>
          <w:rFonts w:cs="Arial"/>
          <w:szCs w:val="24"/>
          <w:lang w:eastAsia="en-US"/>
        </w:rPr>
      </w:pPr>
    </w:p>
    <w:p w:rsidR="0034010A" w:rsidRPr="00127BB5" w:rsidRDefault="0034010A" w:rsidP="00A22E62">
      <w:pPr>
        <w:spacing w:after="120"/>
        <w:rPr>
          <w:rFonts w:cs="Arial"/>
          <w:b/>
          <w:szCs w:val="24"/>
          <w:lang w:eastAsia="en-US"/>
        </w:rPr>
      </w:pPr>
      <w:r w:rsidRPr="00127BB5">
        <w:rPr>
          <w:rFonts w:cs="Arial"/>
          <w:b/>
          <w:szCs w:val="24"/>
          <w:lang w:eastAsia="en-US"/>
        </w:rPr>
        <w:t>I</w:t>
      </w:r>
    </w:p>
    <w:p w:rsidR="0034010A" w:rsidRPr="00127BB5" w:rsidRDefault="0034010A" w:rsidP="0034010A">
      <w:pPr>
        <w:rPr>
          <w:rFonts w:cs="Arial"/>
          <w:szCs w:val="24"/>
          <w:lang w:eastAsia="en-US"/>
        </w:rPr>
      </w:pPr>
      <w:r w:rsidRPr="00127BB5">
        <w:rPr>
          <w:rFonts w:cs="Arial"/>
          <w:szCs w:val="24"/>
          <w:lang w:eastAsia="en-US"/>
        </w:rPr>
        <w:t>La legge sulla cittadinanza ticinese e sull’attinenza comunale dell’8 novembre 1994 (</w:t>
      </w:r>
      <w:proofErr w:type="spellStart"/>
      <w:r w:rsidRPr="00127BB5">
        <w:rPr>
          <w:rFonts w:cs="Arial"/>
          <w:szCs w:val="24"/>
          <w:lang w:eastAsia="en-US"/>
        </w:rPr>
        <w:t>LCCit</w:t>
      </w:r>
      <w:proofErr w:type="spellEnd"/>
      <w:r w:rsidRPr="00127BB5">
        <w:rPr>
          <w:rFonts w:cs="Arial"/>
          <w:szCs w:val="24"/>
          <w:lang w:eastAsia="en-US"/>
        </w:rPr>
        <w:t>) è così modificata:</w:t>
      </w:r>
    </w:p>
    <w:p w:rsidR="0034010A" w:rsidRPr="00127BB5" w:rsidRDefault="0034010A" w:rsidP="0034010A">
      <w:pPr>
        <w:rPr>
          <w:rFonts w:cs="Arial"/>
          <w:szCs w:val="24"/>
          <w:lang w:eastAsia="en-US"/>
        </w:rPr>
      </w:pPr>
    </w:p>
    <w:tbl>
      <w:tblPr>
        <w:tblW w:w="0" w:type="auto"/>
        <w:tblLayout w:type="fixed"/>
        <w:tblCellMar>
          <w:left w:w="70" w:type="dxa"/>
          <w:right w:w="70" w:type="dxa"/>
        </w:tblCellMar>
        <w:tblLook w:val="04A0" w:firstRow="1" w:lastRow="0" w:firstColumn="1" w:lastColumn="0" w:noHBand="0" w:noVBand="1"/>
      </w:tblPr>
      <w:tblGrid>
        <w:gridCol w:w="2338"/>
        <w:gridCol w:w="7371"/>
      </w:tblGrid>
      <w:tr w:rsidR="0034010A" w:rsidRPr="00127BB5" w:rsidTr="00C7610F">
        <w:trPr>
          <w:cantSplit/>
        </w:trPr>
        <w:tc>
          <w:tcPr>
            <w:tcW w:w="2338" w:type="dxa"/>
          </w:tcPr>
          <w:p w:rsidR="0034010A" w:rsidRPr="00127BB5" w:rsidRDefault="0034010A" w:rsidP="00C7610F">
            <w:pPr>
              <w:jc w:val="left"/>
              <w:rPr>
                <w:rFonts w:cs="Arial"/>
                <w:b/>
                <w:szCs w:val="24"/>
                <w:lang w:eastAsia="en-US"/>
              </w:rPr>
            </w:pPr>
          </w:p>
        </w:tc>
        <w:tc>
          <w:tcPr>
            <w:tcW w:w="7371" w:type="dxa"/>
          </w:tcPr>
          <w:p w:rsidR="0034010A" w:rsidRPr="00824FE4" w:rsidRDefault="0034010A" w:rsidP="0034010A">
            <w:pPr>
              <w:tabs>
                <w:tab w:val="left" w:pos="4800"/>
              </w:tabs>
              <w:spacing w:after="120"/>
              <w:rPr>
                <w:rFonts w:cs="Arial"/>
                <w:b/>
                <w:bCs/>
                <w:sz w:val="22"/>
                <w:szCs w:val="22"/>
                <w:lang w:eastAsia="en-US"/>
              </w:rPr>
            </w:pPr>
            <w:r w:rsidRPr="00824FE4">
              <w:rPr>
                <w:rFonts w:cs="Arial"/>
                <w:b/>
                <w:bCs/>
                <w:sz w:val="22"/>
                <w:szCs w:val="22"/>
                <w:lang w:eastAsia="en-US"/>
              </w:rPr>
              <w:t xml:space="preserve">Art. 7 cpv. 2 </w:t>
            </w:r>
            <w:proofErr w:type="spellStart"/>
            <w:r w:rsidRPr="00824FE4">
              <w:rPr>
                <w:rFonts w:cs="Arial"/>
                <w:b/>
                <w:bCs/>
                <w:sz w:val="22"/>
                <w:szCs w:val="22"/>
                <w:lang w:eastAsia="en-US"/>
              </w:rPr>
              <w:t>lett</w:t>
            </w:r>
            <w:proofErr w:type="spellEnd"/>
            <w:r w:rsidRPr="00824FE4">
              <w:rPr>
                <w:rFonts w:cs="Arial"/>
                <w:b/>
                <w:bCs/>
                <w:sz w:val="22"/>
                <w:szCs w:val="22"/>
                <w:lang w:eastAsia="en-US"/>
              </w:rPr>
              <w:t>. c), d) ed e) (nuova)</w:t>
            </w:r>
          </w:p>
          <w:p w:rsidR="0034010A" w:rsidRPr="00824FE4" w:rsidRDefault="0034010A" w:rsidP="00824FE4">
            <w:pPr>
              <w:pStyle w:val="NormaleWeb"/>
              <w:numPr>
                <w:ilvl w:val="0"/>
                <w:numId w:val="38"/>
              </w:numPr>
              <w:tabs>
                <w:tab w:val="left" w:pos="285"/>
              </w:tabs>
              <w:spacing w:before="60" w:beforeAutospacing="0" w:after="60" w:afterAutospacing="0"/>
              <w:ind w:left="284" w:right="187" w:hanging="284"/>
              <w:jc w:val="both"/>
              <w:rPr>
                <w:rFonts w:ascii="Arial" w:hAnsi="Arial" w:cs="Arial"/>
                <w:color w:val="000000"/>
                <w:sz w:val="22"/>
                <w:szCs w:val="22"/>
              </w:rPr>
            </w:pPr>
            <w:r w:rsidRPr="00824FE4">
              <w:rPr>
                <w:rFonts w:ascii="Arial" w:hAnsi="Arial" w:cs="Arial"/>
                <w:color w:val="000000"/>
                <w:sz w:val="22"/>
                <w:szCs w:val="22"/>
              </w:rPr>
              <w:t>dalla capacità di esprimersi nella vita quotidiana, oralmente e per scritto, nella lingua italiana;</w:t>
            </w:r>
          </w:p>
          <w:p w:rsidR="0034010A" w:rsidRPr="00824FE4" w:rsidRDefault="0034010A" w:rsidP="00824FE4">
            <w:pPr>
              <w:pStyle w:val="NormaleWeb"/>
              <w:numPr>
                <w:ilvl w:val="0"/>
                <w:numId w:val="38"/>
              </w:numPr>
              <w:spacing w:before="60" w:beforeAutospacing="0" w:after="60" w:afterAutospacing="0"/>
              <w:ind w:left="284" w:right="187" w:hanging="284"/>
              <w:jc w:val="both"/>
              <w:rPr>
                <w:rFonts w:ascii="Arial" w:hAnsi="Arial" w:cs="Arial"/>
                <w:color w:val="000000"/>
                <w:sz w:val="22"/>
                <w:szCs w:val="22"/>
              </w:rPr>
            </w:pPr>
            <w:r w:rsidRPr="00824FE4">
              <w:rPr>
                <w:rFonts w:ascii="Arial" w:hAnsi="Arial" w:cs="Arial"/>
                <w:color w:val="000000"/>
                <w:sz w:val="22"/>
                <w:szCs w:val="22"/>
              </w:rPr>
              <w:t>dalla partecipazione alla vita economica o dall’acquisizione di una formazione</w:t>
            </w:r>
            <w:r w:rsidRPr="00824FE4">
              <w:rPr>
                <w:rFonts w:ascii="Arial" w:hAnsi="Arial" w:cs="Arial"/>
                <w:sz w:val="22"/>
                <w:szCs w:val="22"/>
              </w:rPr>
              <w:t>; e</w:t>
            </w:r>
          </w:p>
          <w:p w:rsidR="0034010A" w:rsidRPr="00824FE4" w:rsidRDefault="0034010A" w:rsidP="00824FE4">
            <w:pPr>
              <w:pStyle w:val="NormaleWeb"/>
              <w:numPr>
                <w:ilvl w:val="0"/>
                <w:numId w:val="38"/>
              </w:numPr>
              <w:spacing w:before="60" w:beforeAutospacing="0" w:after="60" w:afterAutospacing="0"/>
              <w:ind w:left="284" w:right="187" w:hanging="284"/>
              <w:jc w:val="both"/>
              <w:rPr>
                <w:rFonts w:ascii="Arial" w:hAnsi="Arial" w:cs="Arial"/>
                <w:sz w:val="22"/>
                <w:szCs w:val="22"/>
              </w:rPr>
            </w:pPr>
            <w:r w:rsidRPr="00824FE4">
              <w:rPr>
                <w:rFonts w:ascii="Arial" w:hAnsi="Arial" w:cs="Arial"/>
                <w:sz w:val="22"/>
                <w:szCs w:val="22"/>
              </w:rPr>
              <w:t>dall’indipendenza da aiuti sociali negli ultimi dieci anni, a meno che tali aiuti siano interamente restituiti.</w:t>
            </w:r>
          </w:p>
          <w:p w:rsidR="002258AA" w:rsidRDefault="002258AA" w:rsidP="0034010A">
            <w:pPr>
              <w:rPr>
                <w:rFonts w:cs="Arial"/>
                <w:szCs w:val="24"/>
                <w:lang w:eastAsia="en-US"/>
              </w:rPr>
            </w:pPr>
          </w:p>
          <w:p w:rsidR="0034010A" w:rsidRPr="00824FE4" w:rsidRDefault="0034010A" w:rsidP="00C7610F">
            <w:pPr>
              <w:tabs>
                <w:tab w:val="left" w:pos="426"/>
              </w:tabs>
              <w:rPr>
                <w:rFonts w:cs="Arial"/>
                <w:bCs/>
                <w:sz w:val="22"/>
                <w:szCs w:val="22"/>
                <w:lang w:eastAsia="en-US"/>
              </w:rPr>
            </w:pPr>
          </w:p>
        </w:tc>
      </w:tr>
      <w:tr w:rsidR="0034010A" w:rsidRPr="00127BB5" w:rsidTr="00C7610F">
        <w:trPr>
          <w:cantSplit/>
        </w:trPr>
        <w:tc>
          <w:tcPr>
            <w:tcW w:w="2338" w:type="dxa"/>
          </w:tcPr>
          <w:p w:rsidR="0034010A" w:rsidRPr="00127BB5" w:rsidRDefault="0034010A" w:rsidP="00C7610F">
            <w:pPr>
              <w:jc w:val="left"/>
              <w:rPr>
                <w:rFonts w:cs="Arial"/>
                <w:b/>
                <w:szCs w:val="24"/>
                <w:lang w:eastAsia="en-US"/>
              </w:rPr>
            </w:pPr>
          </w:p>
        </w:tc>
        <w:tc>
          <w:tcPr>
            <w:tcW w:w="7371" w:type="dxa"/>
          </w:tcPr>
          <w:p w:rsidR="0034010A" w:rsidRPr="00DC65C2" w:rsidRDefault="0034010A" w:rsidP="0034010A">
            <w:pPr>
              <w:tabs>
                <w:tab w:val="left" w:pos="1701"/>
              </w:tabs>
              <w:spacing w:after="120"/>
              <w:ind w:right="187"/>
              <w:rPr>
                <w:rFonts w:cs="Arial"/>
                <w:b/>
                <w:color w:val="000000"/>
                <w:sz w:val="22"/>
                <w:szCs w:val="22"/>
                <w:lang w:val="de-DE"/>
              </w:rPr>
            </w:pPr>
            <w:r w:rsidRPr="00DC65C2">
              <w:rPr>
                <w:rFonts w:cs="Arial"/>
                <w:b/>
                <w:color w:val="000000"/>
                <w:sz w:val="22"/>
                <w:szCs w:val="22"/>
                <w:lang w:val="de-DE"/>
              </w:rPr>
              <w:t xml:space="preserve">Art. 12 </w:t>
            </w:r>
            <w:proofErr w:type="spellStart"/>
            <w:r w:rsidRPr="00DC65C2">
              <w:rPr>
                <w:rFonts w:cs="Arial"/>
                <w:b/>
                <w:color w:val="000000"/>
                <w:sz w:val="22"/>
                <w:szCs w:val="22"/>
                <w:lang w:val="de-DE"/>
              </w:rPr>
              <w:t>cpv</w:t>
            </w:r>
            <w:proofErr w:type="spellEnd"/>
            <w:r w:rsidRPr="00DC65C2">
              <w:rPr>
                <w:rFonts w:cs="Arial"/>
                <w:b/>
                <w:color w:val="000000"/>
                <w:sz w:val="22"/>
                <w:szCs w:val="22"/>
                <w:lang w:val="de-DE"/>
              </w:rPr>
              <w:t xml:space="preserve">. 1 </w:t>
            </w:r>
            <w:proofErr w:type="spellStart"/>
            <w:r w:rsidRPr="00DC65C2">
              <w:rPr>
                <w:rFonts w:cs="Arial"/>
                <w:b/>
                <w:color w:val="000000"/>
                <w:sz w:val="22"/>
                <w:szCs w:val="22"/>
                <w:lang w:val="de-DE"/>
              </w:rPr>
              <w:t>lett</w:t>
            </w:r>
            <w:proofErr w:type="spellEnd"/>
            <w:r w:rsidRPr="00DC65C2">
              <w:rPr>
                <w:rFonts w:cs="Arial"/>
                <w:b/>
                <w:color w:val="000000"/>
                <w:sz w:val="22"/>
                <w:szCs w:val="22"/>
                <w:lang w:val="de-DE"/>
              </w:rPr>
              <w:t>. d) (</w:t>
            </w:r>
            <w:proofErr w:type="spellStart"/>
            <w:r w:rsidRPr="00DC65C2">
              <w:rPr>
                <w:rFonts w:cs="Arial"/>
                <w:b/>
                <w:color w:val="000000"/>
                <w:sz w:val="22"/>
                <w:szCs w:val="22"/>
                <w:lang w:val="de-DE"/>
              </w:rPr>
              <w:t>nuova</w:t>
            </w:r>
            <w:proofErr w:type="spellEnd"/>
            <w:r w:rsidRPr="00DC65C2">
              <w:rPr>
                <w:rFonts w:cs="Arial"/>
                <w:b/>
                <w:color w:val="000000"/>
                <w:sz w:val="22"/>
                <w:szCs w:val="22"/>
                <w:lang w:val="de-DE"/>
              </w:rPr>
              <w:t>)</w:t>
            </w:r>
          </w:p>
          <w:p w:rsidR="00DC65C2" w:rsidRPr="00DC65C2" w:rsidRDefault="0034010A" w:rsidP="00DC65C2">
            <w:pPr>
              <w:pStyle w:val="Paragrafoelenco"/>
              <w:numPr>
                <w:ilvl w:val="0"/>
                <w:numId w:val="40"/>
              </w:numPr>
              <w:tabs>
                <w:tab w:val="left" w:pos="284"/>
              </w:tabs>
              <w:ind w:hanging="720"/>
              <w:rPr>
                <w:rFonts w:cs="Arial"/>
                <w:bCs/>
                <w:sz w:val="22"/>
                <w:szCs w:val="22"/>
                <w:lang w:eastAsia="en-US"/>
              </w:rPr>
            </w:pPr>
            <w:r w:rsidRPr="00DC65C2">
              <w:rPr>
                <w:rFonts w:cs="Arial"/>
                <w:sz w:val="22"/>
                <w:szCs w:val="22"/>
              </w:rPr>
              <w:t>se è indipendente da aiuti sociali da alm</w:t>
            </w:r>
            <w:r w:rsidR="00DC65C2">
              <w:rPr>
                <w:rFonts w:cs="Arial"/>
                <w:sz w:val="22"/>
                <w:szCs w:val="22"/>
              </w:rPr>
              <w:t>eno dieci anni, a meno che tali</w:t>
            </w:r>
          </w:p>
          <w:p w:rsidR="0034010A" w:rsidRPr="00DC65C2" w:rsidRDefault="0034010A" w:rsidP="00DC65C2">
            <w:pPr>
              <w:pStyle w:val="Paragrafoelenco"/>
              <w:tabs>
                <w:tab w:val="left" w:pos="284"/>
              </w:tabs>
              <w:ind w:left="284"/>
              <w:rPr>
                <w:rFonts w:cs="Arial"/>
                <w:bCs/>
                <w:sz w:val="22"/>
                <w:szCs w:val="22"/>
                <w:lang w:eastAsia="en-US"/>
              </w:rPr>
            </w:pPr>
            <w:r w:rsidRPr="00DC65C2">
              <w:rPr>
                <w:rFonts w:cs="Arial"/>
                <w:sz w:val="22"/>
                <w:szCs w:val="22"/>
              </w:rPr>
              <w:t>aiuti siano interamente restituiti.</w:t>
            </w:r>
          </w:p>
          <w:p w:rsidR="0034010A" w:rsidRPr="00DC65C2" w:rsidRDefault="0034010A" w:rsidP="00C7610F">
            <w:pPr>
              <w:rPr>
                <w:rFonts w:cs="Arial"/>
                <w:sz w:val="22"/>
                <w:szCs w:val="22"/>
                <w:lang w:eastAsia="en-US"/>
              </w:rPr>
            </w:pPr>
          </w:p>
          <w:p w:rsidR="0034010A" w:rsidRPr="00DC65C2" w:rsidRDefault="0034010A" w:rsidP="00C7610F">
            <w:pPr>
              <w:rPr>
                <w:rFonts w:cs="Arial"/>
                <w:sz w:val="22"/>
                <w:szCs w:val="22"/>
                <w:lang w:eastAsia="en-US"/>
              </w:rPr>
            </w:pPr>
          </w:p>
        </w:tc>
      </w:tr>
      <w:tr w:rsidR="0034010A" w:rsidRPr="00127BB5" w:rsidTr="00C7610F">
        <w:trPr>
          <w:cantSplit/>
          <w:trHeight w:val="68"/>
        </w:trPr>
        <w:tc>
          <w:tcPr>
            <w:tcW w:w="2338" w:type="dxa"/>
          </w:tcPr>
          <w:p w:rsidR="0034010A" w:rsidRPr="00127BB5" w:rsidRDefault="0034010A" w:rsidP="00C7610F">
            <w:pPr>
              <w:jc w:val="left"/>
              <w:rPr>
                <w:rFonts w:cs="Arial"/>
                <w:b/>
                <w:szCs w:val="24"/>
                <w:lang w:eastAsia="en-US"/>
              </w:rPr>
            </w:pPr>
          </w:p>
        </w:tc>
        <w:tc>
          <w:tcPr>
            <w:tcW w:w="7371" w:type="dxa"/>
          </w:tcPr>
          <w:p w:rsidR="0034010A" w:rsidRPr="00824FE4" w:rsidRDefault="0034010A" w:rsidP="0034010A">
            <w:pPr>
              <w:tabs>
                <w:tab w:val="left" w:pos="1701"/>
              </w:tabs>
              <w:spacing w:after="120"/>
              <w:ind w:right="187"/>
              <w:rPr>
                <w:rFonts w:cs="Arial"/>
                <w:b/>
                <w:color w:val="000000"/>
                <w:sz w:val="22"/>
                <w:szCs w:val="22"/>
                <w:lang w:val="it-CH"/>
              </w:rPr>
            </w:pPr>
            <w:r w:rsidRPr="00824FE4">
              <w:rPr>
                <w:rFonts w:cs="Arial"/>
                <w:b/>
                <w:color w:val="000000"/>
                <w:sz w:val="22"/>
                <w:szCs w:val="22"/>
                <w:lang w:val="it-CH"/>
              </w:rPr>
              <w:t>Art. 22 cpv. 4</w:t>
            </w:r>
          </w:p>
          <w:p w:rsidR="0034010A" w:rsidRPr="00824FE4" w:rsidRDefault="0034010A" w:rsidP="00C7610F">
            <w:pPr>
              <w:pStyle w:val="NormaleWeb"/>
              <w:spacing w:before="0" w:beforeAutospacing="0" w:after="0" w:afterAutospacing="0"/>
              <w:ind w:right="187"/>
              <w:jc w:val="both"/>
              <w:rPr>
                <w:rFonts w:ascii="Arial" w:hAnsi="Arial" w:cs="Arial"/>
                <w:color w:val="000000"/>
                <w:sz w:val="22"/>
                <w:szCs w:val="22"/>
              </w:rPr>
            </w:pPr>
            <w:r w:rsidRPr="00824FE4">
              <w:rPr>
                <w:rFonts w:ascii="Arial" w:hAnsi="Arial" w:cs="Arial"/>
                <w:sz w:val="22"/>
                <w:szCs w:val="22"/>
                <w:vertAlign w:val="superscript"/>
              </w:rPr>
              <w:t>4</w:t>
            </w:r>
            <w:r w:rsidRPr="00824FE4">
              <w:rPr>
                <w:rFonts w:ascii="Arial" w:hAnsi="Arial" w:cs="Arial"/>
                <w:color w:val="000000"/>
                <w:sz w:val="22"/>
                <w:szCs w:val="22"/>
              </w:rPr>
              <w:t>Il comune di attinenza, che è quello in cui il richiedente ha risieduto ininterrottamente durante gli ultimi due anni precedenti la domanda, deve esser sentito in via consultiva; esso svolge l’accertamento previsto dall’art. 9.</w:t>
            </w:r>
          </w:p>
          <w:p w:rsidR="0034010A" w:rsidRPr="00824FE4" w:rsidRDefault="0034010A" w:rsidP="00C7610F">
            <w:pPr>
              <w:autoSpaceDE w:val="0"/>
              <w:autoSpaceDN w:val="0"/>
              <w:adjustRightInd w:val="0"/>
              <w:rPr>
                <w:rFonts w:cs="Arial"/>
                <w:color w:val="000000"/>
                <w:sz w:val="22"/>
                <w:szCs w:val="22"/>
              </w:rPr>
            </w:pPr>
          </w:p>
          <w:p w:rsidR="0034010A" w:rsidRPr="00824FE4" w:rsidRDefault="0034010A" w:rsidP="00C7610F">
            <w:pPr>
              <w:autoSpaceDE w:val="0"/>
              <w:autoSpaceDN w:val="0"/>
              <w:adjustRightInd w:val="0"/>
              <w:rPr>
                <w:rFonts w:cs="Arial"/>
                <w:color w:val="000000"/>
                <w:sz w:val="22"/>
                <w:szCs w:val="22"/>
              </w:rPr>
            </w:pPr>
          </w:p>
        </w:tc>
      </w:tr>
      <w:tr w:rsidR="0034010A" w:rsidRPr="00127BB5" w:rsidTr="00C7610F">
        <w:trPr>
          <w:cantSplit/>
        </w:trPr>
        <w:tc>
          <w:tcPr>
            <w:tcW w:w="2338" w:type="dxa"/>
          </w:tcPr>
          <w:p w:rsidR="0034010A" w:rsidRPr="00127BB5" w:rsidRDefault="0034010A" w:rsidP="00C7610F">
            <w:pPr>
              <w:jc w:val="left"/>
              <w:rPr>
                <w:rFonts w:cs="Arial"/>
                <w:b/>
                <w:szCs w:val="24"/>
                <w:lang w:eastAsia="en-US"/>
              </w:rPr>
            </w:pPr>
          </w:p>
          <w:p w:rsidR="0034010A" w:rsidRPr="00127BB5" w:rsidRDefault="0034010A" w:rsidP="00C7610F">
            <w:pPr>
              <w:jc w:val="left"/>
              <w:rPr>
                <w:rFonts w:cs="Arial"/>
                <w:b/>
                <w:szCs w:val="24"/>
                <w:lang w:eastAsia="en-US"/>
              </w:rPr>
            </w:pPr>
          </w:p>
          <w:p w:rsidR="0034010A" w:rsidRPr="00127BB5" w:rsidRDefault="0034010A" w:rsidP="00C7610F">
            <w:pPr>
              <w:jc w:val="left"/>
              <w:rPr>
                <w:rFonts w:cs="Arial"/>
                <w:b/>
                <w:szCs w:val="24"/>
                <w:lang w:eastAsia="en-US"/>
              </w:rPr>
            </w:pPr>
          </w:p>
        </w:tc>
        <w:tc>
          <w:tcPr>
            <w:tcW w:w="7371" w:type="dxa"/>
          </w:tcPr>
          <w:p w:rsidR="0034010A" w:rsidRPr="00824FE4" w:rsidRDefault="0034010A" w:rsidP="0034010A">
            <w:pPr>
              <w:tabs>
                <w:tab w:val="left" w:pos="1701"/>
              </w:tabs>
              <w:spacing w:after="120"/>
              <w:ind w:right="187"/>
              <w:rPr>
                <w:rFonts w:cs="Arial"/>
                <w:b/>
                <w:color w:val="000000"/>
                <w:sz w:val="22"/>
                <w:szCs w:val="22"/>
                <w:lang w:val="it-CH"/>
              </w:rPr>
            </w:pPr>
            <w:r w:rsidRPr="00824FE4">
              <w:rPr>
                <w:rFonts w:cs="Arial"/>
                <w:b/>
                <w:color w:val="000000"/>
                <w:sz w:val="22"/>
                <w:szCs w:val="22"/>
                <w:lang w:val="it-CH"/>
              </w:rPr>
              <w:t>Art. 24 cpv. 5</w:t>
            </w:r>
          </w:p>
          <w:p w:rsidR="0034010A" w:rsidRPr="00824FE4" w:rsidRDefault="0034010A" w:rsidP="00C7610F">
            <w:pPr>
              <w:pStyle w:val="NormaleWeb"/>
              <w:spacing w:before="0" w:beforeAutospacing="0" w:after="0" w:afterAutospacing="0"/>
              <w:ind w:right="187"/>
              <w:jc w:val="both"/>
              <w:rPr>
                <w:rFonts w:ascii="Arial" w:hAnsi="Arial" w:cs="Arial"/>
                <w:color w:val="000000"/>
                <w:sz w:val="22"/>
                <w:szCs w:val="22"/>
              </w:rPr>
            </w:pPr>
            <w:r w:rsidRPr="00824FE4">
              <w:rPr>
                <w:rFonts w:ascii="Arial" w:hAnsi="Arial" w:cs="Arial"/>
                <w:sz w:val="22"/>
                <w:szCs w:val="22"/>
                <w:vertAlign w:val="superscript"/>
              </w:rPr>
              <w:t>5</w:t>
            </w:r>
            <w:r w:rsidRPr="00824FE4">
              <w:rPr>
                <w:rFonts w:ascii="Arial" w:hAnsi="Arial" w:cs="Arial"/>
                <w:color w:val="000000"/>
                <w:sz w:val="22"/>
                <w:szCs w:val="22"/>
              </w:rPr>
              <w:t xml:space="preserve">Per il rimanente si applicano le condizioni di idoneità di cui all’art. 12 cpv. 1 </w:t>
            </w:r>
            <w:proofErr w:type="spellStart"/>
            <w:r w:rsidRPr="00824FE4">
              <w:rPr>
                <w:rFonts w:ascii="Arial" w:hAnsi="Arial" w:cs="Arial"/>
                <w:color w:val="000000"/>
                <w:sz w:val="22"/>
                <w:szCs w:val="22"/>
              </w:rPr>
              <w:t>lett</w:t>
            </w:r>
            <w:proofErr w:type="spellEnd"/>
            <w:r w:rsidRPr="00824FE4">
              <w:rPr>
                <w:rFonts w:ascii="Arial" w:hAnsi="Arial" w:cs="Arial"/>
                <w:color w:val="000000"/>
                <w:sz w:val="22"/>
                <w:szCs w:val="22"/>
              </w:rPr>
              <w:t xml:space="preserve">. b), c), </w:t>
            </w:r>
            <w:r w:rsidRPr="00824FE4">
              <w:rPr>
                <w:rFonts w:ascii="Arial" w:hAnsi="Arial" w:cs="Arial"/>
                <w:sz w:val="22"/>
                <w:szCs w:val="22"/>
              </w:rPr>
              <w:t>d)</w:t>
            </w:r>
            <w:r w:rsidRPr="00824FE4">
              <w:rPr>
                <w:rFonts w:ascii="Arial" w:hAnsi="Arial" w:cs="Arial"/>
                <w:color w:val="000000"/>
                <w:sz w:val="22"/>
                <w:szCs w:val="22"/>
              </w:rPr>
              <w:t xml:space="preserve"> e all’art. 14.</w:t>
            </w:r>
          </w:p>
          <w:p w:rsidR="0034010A" w:rsidRPr="00824FE4" w:rsidRDefault="0034010A" w:rsidP="00C7610F">
            <w:pPr>
              <w:pStyle w:val="NormaleWeb"/>
              <w:spacing w:before="0" w:beforeAutospacing="0" w:after="0" w:afterAutospacing="0"/>
              <w:ind w:right="187"/>
              <w:jc w:val="both"/>
              <w:rPr>
                <w:rFonts w:ascii="Arial" w:hAnsi="Arial" w:cs="Arial"/>
                <w:sz w:val="22"/>
                <w:szCs w:val="22"/>
                <w:lang w:eastAsia="en-US"/>
              </w:rPr>
            </w:pPr>
          </w:p>
          <w:p w:rsidR="0034010A" w:rsidRPr="00824FE4" w:rsidRDefault="0034010A" w:rsidP="00C7610F">
            <w:pPr>
              <w:pStyle w:val="NormaleWeb"/>
              <w:spacing w:before="0" w:beforeAutospacing="0" w:after="0" w:afterAutospacing="0"/>
              <w:ind w:right="187"/>
              <w:jc w:val="both"/>
              <w:rPr>
                <w:rFonts w:ascii="Arial" w:hAnsi="Arial" w:cs="Arial"/>
                <w:sz w:val="22"/>
                <w:szCs w:val="22"/>
                <w:lang w:eastAsia="en-US"/>
              </w:rPr>
            </w:pPr>
          </w:p>
        </w:tc>
      </w:tr>
      <w:tr w:rsidR="0034010A" w:rsidRPr="00127BB5" w:rsidTr="00C7610F">
        <w:trPr>
          <w:cantSplit/>
        </w:trPr>
        <w:tc>
          <w:tcPr>
            <w:tcW w:w="2338" w:type="dxa"/>
          </w:tcPr>
          <w:p w:rsidR="0034010A" w:rsidRPr="0034010A" w:rsidRDefault="0034010A" w:rsidP="00C7610F">
            <w:pPr>
              <w:jc w:val="left"/>
              <w:rPr>
                <w:rFonts w:cs="Arial"/>
                <w:b/>
                <w:sz w:val="20"/>
                <w:lang w:eastAsia="en-US"/>
              </w:rPr>
            </w:pPr>
            <w:r w:rsidRPr="0034010A">
              <w:rPr>
                <w:rFonts w:cs="Arial"/>
                <w:b/>
                <w:sz w:val="20"/>
                <w:lang w:eastAsia="en-US"/>
              </w:rPr>
              <w:t>Norme transitorie</w:t>
            </w:r>
          </w:p>
        </w:tc>
        <w:tc>
          <w:tcPr>
            <w:tcW w:w="7371" w:type="dxa"/>
          </w:tcPr>
          <w:p w:rsidR="0034010A" w:rsidRPr="00824FE4" w:rsidRDefault="0034010A" w:rsidP="0034010A">
            <w:pPr>
              <w:tabs>
                <w:tab w:val="left" w:pos="426"/>
              </w:tabs>
              <w:spacing w:after="120"/>
              <w:rPr>
                <w:rFonts w:cs="Arial"/>
                <w:b/>
                <w:bCs/>
                <w:sz w:val="22"/>
                <w:szCs w:val="22"/>
                <w:lang w:val="it-CH" w:eastAsia="en-US"/>
              </w:rPr>
            </w:pPr>
            <w:r w:rsidRPr="00824FE4">
              <w:rPr>
                <w:rFonts w:cs="Arial"/>
                <w:b/>
                <w:bCs/>
                <w:sz w:val="22"/>
                <w:szCs w:val="22"/>
                <w:lang w:val="it-CH" w:eastAsia="en-US"/>
              </w:rPr>
              <w:t>Art. 44 cpv. 2 (nuovo)</w:t>
            </w:r>
          </w:p>
          <w:p w:rsidR="0034010A" w:rsidRPr="00824FE4" w:rsidRDefault="0034010A" w:rsidP="00C7610F">
            <w:pPr>
              <w:tabs>
                <w:tab w:val="left" w:pos="426"/>
              </w:tabs>
              <w:rPr>
                <w:rFonts w:cs="Arial"/>
                <w:sz w:val="22"/>
                <w:szCs w:val="22"/>
                <w:lang w:val="it-CH" w:eastAsia="en-US"/>
              </w:rPr>
            </w:pPr>
            <w:r w:rsidRPr="00824FE4">
              <w:rPr>
                <w:rFonts w:cs="Arial"/>
                <w:sz w:val="22"/>
                <w:szCs w:val="22"/>
                <w:vertAlign w:val="superscript"/>
              </w:rPr>
              <w:t>2</w:t>
            </w:r>
            <w:r w:rsidRPr="00824FE4">
              <w:rPr>
                <w:rFonts w:cs="Arial"/>
                <w:sz w:val="22"/>
                <w:szCs w:val="22"/>
                <w:lang w:val="it-CH" w:eastAsia="en-US"/>
              </w:rPr>
              <w:t xml:space="preserve">Le disposizioni della modifica del 18 settembre 2017 e quelle della modifica del </w:t>
            </w:r>
            <w:r w:rsidR="00DC65C2" w:rsidRPr="00DC65C2">
              <w:rPr>
                <w:rFonts w:cs="Arial"/>
                <w:sz w:val="22"/>
                <w:szCs w:val="22"/>
                <w:shd w:val="clear" w:color="auto" w:fill="FFFF00"/>
                <w:lang w:val="it-CH" w:eastAsia="en-US"/>
              </w:rPr>
              <w:t>….</w:t>
            </w:r>
            <w:r w:rsidR="00DC65C2">
              <w:rPr>
                <w:rFonts w:cs="Arial"/>
                <w:sz w:val="22"/>
                <w:szCs w:val="22"/>
                <w:lang w:val="it-CH" w:eastAsia="en-US"/>
              </w:rPr>
              <w:t xml:space="preserve"> </w:t>
            </w:r>
            <w:r w:rsidRPr="00824FE4">
              <w:rPr>
                <w:rFonts w:cs="Arial"/>
                <w:sz w:val="22"/>
                <w:szCs w:val="22"/>
                <w:lang w:val="it-CH" w:eastAsia="en-US"/>
              </w:rPr>
              <w:t>si applicano alle domande presentate dopo la rispettiva entrata in vigore e a quelle presentate precedentemente se il nuovo diritto è più favorevole.</w:t>
            </w:r>
          </w:p>
          <w:p w:rsidR="0034010A" w:rsidRPr="00824FE4" w:rsidRDefault="0034010A" w:rsidP="00C7610F">
            <w:pPr>
              <w:rPr>
                <w:rFonts w:cs="Arial"/>
                <w:sz w:val="22"/>
                <w:szCs w:val="22"/>
                <w:lang w:eastAsia="en-US"/>
              </w:rPr>
            </w:pPr>
          </w:p>
        </w:tc>
      </w:tr>
    </w:tbl>
    <w:p w:rsidR="0034010A" w:rsidRPr="00127BB5" w:rsidRDefault="0034010A" w:rsidP="0034010A">
      <w:pPr>
        <w:rPr>
          <w:rFonts w:cs="Arial"/>
          <w:szCs w:val="24"/>
          <w:lang w:eastAsia="en-US"/>
        </w:rPr>
      </w:pPr>
    </w:p>
    <w:p w:rsidR="0034010A" w:rsidRPr="00127BB5" w:rsidRDefault="0034010A" w:rsidP="00A22E62">
      <w:pPr>
        <w:spacing w:after="120"/>
        <w:rPr>
          <w:rFonts w:cs="Arial"/>
          <w:szCs w:val="24"/>
          <w:lang w:eastAsia="en-US"/>
        </w:rPr>
      </w:pPr>
      <w:r w:rsidRPr="00127BB5">
        <w:rPr>
          <w:rFonts w:cs="Arial"/>
          <w:b/>
          <w:szCs w:val="24"/>
          <w:lang w:eastAsia="en-US"/>
        </w:rPr>
        <w:t>II</w:t>
      </w:r>
    </w:p>
    <w:p w:rsidR="0034010A" w:rsidRPr="00127BB5" w:rsidRDefault="0034010A" w:rsidP="0034010A">
      <w:pPr>
        <w:spacing w:after="120"/>
        <w:rPr>
          <w:rFonts w:cs="Arial"/>
          <w:szCs w:val="24"/>
          <w:lang w:eastAsia="en-US"/>
        </w:rPr>
      </w:pPr>
      <w:r w:rsidRPr="00127BB5">
        <w:rPr>
          <w:rFonts w:cs="Arial"/>
          <w:szCs w:val="24"/>
          <w:vertAlign w:val="superscript"/>
          <w:lang w:eastAsia="en-US"/>
        </w:rPr>
        <w:t>1</w:t>
      </w:r>
      <w:r w:rsidRPr="00127BB5">
        <w:rPr>
          <w:rFonts w:cs="Arial"/>
          <w:szCs w:val="24"/>
          <w:lang w:eastAsia="en-US"/>
        </w:rPr>
        <w:t>Trascorsi i termini per l'esercizio del diritto di referendum, la presente modifica di legge è pubblicata nel Bollettino ufficiale delle leggi.</w:t>
      </w:r>
    </w:p>
    <w:p w:rsidR="0034010A" w:rsidRPr="00F77155" w:rsidRDefault="0034010A" w:rsidP="0034010A">
      <w:pPr>
        <w:rPr>
          <w:rFonts w:cs="Arial"/>
          <w:szCs w:val="24"/>
          <w:lang w:val="it-CH"/>
        </w:rPr>
      </w:pPr>
      <w:r w:rsidRPr="00127BB5">
        <w:rPr>
          <w:rFonts w:cs="Arial"/>
          <w:szCs w:val="24"/>
          <w:vertAlign w:val="superscript"/>
          <w:lang w:eastAsia="en-US"/>
        </w:rPr>
        <w:t>2</w:t>
      </w:r>
      <w:r w:rsidRPr="00127BB5">
        <w:rPr>
          <w:rFonts w:cs="Arial"/>
          <w:szCs w:val="24"/>
          <w:lang w:eastAsia="en-US"/>
        </w:rPr>
        <w:t>Il Consiglio di Stato ne stabilisce la data di entrata in vigore.</w:t>
      </w:r>
    </w:p>
    <w:p w:rsidR="00577B4B" w:rsidRPr="0062210D" w:rsidRDefault="00577B4B" w:rsidP="004E176C">
      <w:pPr>
        <w:rPr>
          <w:rFonts w:cs="Arial"/>
          <w:sz w:val="22"/>
          <w:szCs w:val="22"/>
          <w:highlight w:val="yellow"/>
          <w:u w:val="single"/>
        </w:rPr>
      </w:pPr>
    </w:p>
    <w:sectPr w:rsidR="00577B4B" w:rsidRPr="0062210D" w:rsidSect="00DF434B">
      <w:footerReference w:type="default" r:id="rId10"/>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10A" w:rsidRDefault="0034010A">
      <w:r>
        <w:separator/>
      </w:r>
    </w:p>
  </w:endnote>
  <w:endnote w:type="continuationSeparator" w:id="0">
    <w:p w:rsidR="0034010A" w:rsidRDefault="0034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871F10">
      <w:rPr>
        <w:rStyle w:val="Numeropagina"/>
        <w:noProof/>
        <w:sz w:val="20"/>
      </w:rPr>
      <w:t>7</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10A" w:rsidRDefault="0034010A">
      <w:r>
        <w:separator/>
      </w:r>
    </w:p>
  </w:footnote>
  <w:footnote w:type="continuationSeparator" w:id="0">
    <w:p w:rsidR="0034010A" w:rsidRDefault="0034010A">
      <w:r>
        <w:continuationSeparator/>
      </w:r>
    </w:p>
  </w:footnote>
  <w:footnote w:id="1">
    <w:p w:rsidR="0034010A" w:rsidRPr="00F3723C" w:rsidRDefault="0034010A" w:rsidP="0034010A">
      <w:pPr>
        <w:pStyle w:val="Testonotaapidipagina"/>
        <w:rPr>
          <w:sz w:val="18"/>
          <w:szCs w:val="18"/>
          <w:lang w:val="it-CH"/>
        </w:rPr>
      </w:pPr>
      <w:r w:rsidRPr="00F3723C">
        <w:rPr>
          <w:rStyle w:val="Rimandonotaapidipagina"/>
          <w:sz w:val="18"/>
          <w:szCs w:val="18"/>
        </w:rPr>
        <w:footnoteRef/>
      </w:r>
      <w:r w:rsidRPr="00F3723C">
        <w:rPr>
          <w:sz w:val="18"/>
          <w:szCs w:val="18"/>
        </w:rPr>
        <w:t>Legge sulla cittadinanza (</w:t>
      </w:r>
      <w:proofErr w:type="spellStart"/>
      <w:r w:rsidRPr="00F3723C">
        <w:rPr>
          <w:sz w:val="18"/>
          <w:szCs w:val="18"/>
        </w:rPr>
        <w:t>LCit</w:t>
      </w:r>
      <w:proofErr w:type="spellEnd"/>
      <w:r w:rsidRPr="00F3723C">
        <w:rPr>
          <w:sz w:val="18"/>
          <w:szCs w:val="18"/>
        </w:rPr>
        <w:t>; RS 141.0).</w:t>
      </w:r>
    </w:p>
  </w:footnote>
  <w:footnote w:id="2">
    <w:p w:rsidR="0034010A" w:rsidRPr="005A5CF8" w:rsidRDefault="0034010A" w:rsidP="0034010A">
      <w:pPr>
        <w:pStyle w:val="Testonotaapidipagina"/>
        <w:rPr>
          <w:lang w:val="it-CH"/>
        </w:rPr>
      </w:pPr>
      <w:r w:rsidRPr="00F3723C">
        <w:rPr>
          <w:rStyle w:val="Rimandonotaapidipagina"/>
          <w:sz w:val="18"/>
          <w:szCs w:val="18"/>
        </w:rPr>
        <w:footnoteRef/>
      </w:r>
      <w:r w:rsidRPr="00F3723C">
        <w:rPr>
          <w:sz w:val="18"/>
          <w:szCs w:val="18"/>
          <w:lang w:val="it-CH"/>
        </w:rPr>
        <w:t>Ordinanza sulla cittadinanza (</w:t>
      </w:r>
      <w:proofErr w:type="spellStart"/>
      <w:r w:rsidRPr="003C5744">
        <w:rPr>
          <w:sz w:val="18"/>
          <w:szCs w:val="18"/>
          <w:lang w:val="it-CH"/>
        </w:rPr>
        <w:t>OCit</w:t>
      </w:r>
      <w:proofErr w:type="spellEnd"/>
      <w:r>
        <w:rPr>
          <w:sz w:val="18"/>
          <w:szCs w:val="18"/>
          <w:lang w:val="it-CH"/>
        </w:rPr>
        <w:t>;</w:t>
      </w:r>
      <w:r w:rsidRPr="003C5744">
        <w:rPr>
          <w:sz w:val="18"/>
          <w:szCs w:val="18"/>
          <w:lang w:val="it-CH"/>
        </w:rPr>
        <w:t xml:space="preserve"> RS 141.01</w:t>
      </w:r>
      <w:r>
        <w:rPr>
          <w:sz w:val="18"/>
          <w:szCs w:val="18"/>
          <w:lang w:val="it-CH"/>
        </w:rPr>
        <w:t>).</w:t>
      </w:r>
    </w:p>
  </w:footnote>
  <w:footnote w:id="3">
    <w:p w:rsidR="0034010A" w:rsidRPr="006A23D5" w:rsidRDefault="0034010A" w:rsidP="0034010A">
      <w:pPr>
        <w:pStyle w:val="Testonotaapidipagina"/>
        <w:rPr>
          <w:rFonts w:cs="Arial"/>
          <w:color w:val="000000"/>
          <w:sz w:val="18"/>
          <w:szCs w:val="18"/>
          <w:shd w:val="clear" w:color="auto" w:fill="FFFFFF"/>
        </w:rPr>
      </w:pPr>
      <w:r>
        <w:rPr>
          <w:rStyle w:val="Rimandonotaapidipagina"/>
        </w:rPr>
        <w:footnoteRef/>
      </w:r>
      <w:r>
        <w:t xml:space="preserve"> </w:t>
      </w:r>
      <w:r w:rsidRPr="0076114A">
        <w:rPr>
          <w:rFonts w:cs="Arial"/>
          <w:color w:val="000000"/>
          <w:sz w:val="18"/>
          <w:szCs w:val="18"/>
          <w:shd w:val="clear" w:color="auto" w:fill="FFFFFF"/>
        </w:rPr>
        <w:t>Costituzione federale della Confederazione Svizzera</w:t>
      </w:r>
      <w:r>
        <w:rPr>
          <w:rFonts w:cs="Arial"/>
          <w:color w:val="000000"/>
          <w:sz w:val="18"/>
          <w:szCs w:val="18"/>
          <w:shd w:val="clear" w:color="auto" w:fill="FFFFFF"/>
        </w:rPr>
        <w:t>,</w:t>
      </w:r>
      <w:r w:rsidRPr="0076114A">
        <w:rPr>
          <w:rFonts w:cs="Arial"/>
          <w:color w:val="000000"/>
          <w:sz w:val="18"/>
          <w:szCs w:val="18"/>
          <w:shd w:val="clear" w:color="auto" w:fill="FFFFFF"/>
        </w:rPr>
        <w:t xml:space="preserve"> </w:t>
      </w:r>
      <w:r>
        <w:rPr>
          <w:rFonts w:cs="Arial"/>
          <w:color w:val="000000"/>
          <w:sz w:val="18"/>
          <w:szCs w:val="18"/>
          <w:shd w:val="clear" w:color="auto" w:fill="FFFFFF"/>
        </w:rPr>
        <w:t>(</w:t>
      </w:r>
      <w:proofErr w:type="spellStart"/>
      <w:r>
        <w:rPr>
          <w:rFonts w:cs="Arial"/>
          <w:color w:val="000000"/>
          <w:sz w:val="18"/>
          <w:szCs w:val="18"/>
          <w:shd w:val="clear" w:color="auto" w:fill="FFFFFF"/>
        </w:rPr>
        <w:t>Cost</w:t>
      </w:r>
      <w:proofErr w:type="spellEnd"/>
      <w:r>
        <w:rPr>
          <w:rFonts w:cs="Arial"/>
          <w:color w:val="000000"/>
          <w:sz w:val="18"/>
          <w:szCs w:val="18"/>
          <w:shd w:val="clear" w:color="auto" w:fill="FFFFFF"/>
        </w:rPr>
        <w:t xml:space="preserve">; </w:t>
      </w:r>
      <w:r w:rsidRPr="0076114A">
        <w:rPr>
          <w:rFonts w:cs="Arial"/>
          <w:color w:val="000000"/>
          <w:sz w:val="18"/>
          <w:szCs w:val="18"/>
          <w:shd w:val="clear" w:color="auto" w:fill="FFFFFF"/>
        </w:rPr>
        <w:t>RS</w:t>
      </w:r>
      <w:r>
        <w:rPr>
          <w:rFonts w:cs="Arial"/>
          <w:color w:val="000000"/>
          <w:sz w:val="18"/>
          <w:szCs w:val="18"/>
          <w:shd w:val="clear" w:color="auto" w:fill="FFFFFF"/>
        </w:rPr>
        <w:t xml:space="preserve"> 101</w:t>
      </w:r>
      <w:r w:rsidRPr="006A23D5">
        <w:rPr>
          <w:rFonts w:cs="Arial"/>
          <w:color w:val="000000"/>
          <w:sz w:val="18"/>
          <w:szCs w:val="18"/>
          <w:shd w:val="clear" w:color="auto" w:fill="FFFFFF"/>
        </w:rPr>
        <w:t>)</w:t>
      </w:r>
      <w:r>
        <w:rPr>
          <w:rFonts w:cs="Arial"/>
          <w:color w:val="000000"/>
          <w:sz w:val="18"/>
          <w:szCs w:val="18"/>
          <w:shd w:val="clear" w:color="auto" w:fill="FFFFFF"/>
        </w:rPr>
        <w:t>.</w:t>
      </w:r>
    </w:p>
  </w:footnote>
  <w:footnote w:id="4">
    <w:p w:rsidR="0034010A" w:rsidRPr="00A93628" w:rsidRDefault="0034010A" w:rsidP="0034010A">
      <w:pPr>
        <w:pStyle w:val="Default"/>
      </w:pPr>
      <w:r>
        <w:rPr>
          <w:rStyle w:val="Rimandonotaapidipagina"/>
        </w:rPr>
        <w:footnoteRef/>
      </w:r>
      <w:r>
        <w:t xml:space="preserve"> </w:t>
      </w:r>
      <w:r w:rsidRPr="00A93628">
        <w:rPr>
          <w:sz w:val="18"/>
          <w:szCs w:val="18"/>
        </w:rPr>
        <w:t xml:space="preserve">Rapporto esplicativo </w:t>
      </w:r>
      <w:proofErr w:type="spellStart"/>
      <w:r>
        <w:rPr>
          <w:sz w:val="18"/>
          <w:szCs w:val="18"/>
        </w:rPr>
        <w:t>A</w:t>
      </w:r>
      <w:r w:rsidRPr="00A93628">
        <w:rPr>
          <w:sz w:val="18"/>
          <w:szCs w:val="18"/>
        </w:rPr>
        <w:t>vamprogetto</w:t>
      </w:r>
      <w:proofErr w:type="spellEnd"/>
      <w:r w:rsidRPr="00A93628">
        <w:rPr>
          <w:sz w:val="18"/>
          <w:szCs w:val="18"/>
        </w:rPr>
        <w:t xml:space="preserve"> di </w:t>
      </w:r>
      <w:r>
        <w:rPr>
          <w:sz w:val="18"/>
          <w:szCs w:val="18"/>
        </w:rPr>
        <w:t>O</w:t>
      </w:r>
      <w:r w:rsidRPr="00A93628">
        <w:rPr>
          <w:sz w:val="18"/>
          <w:szCs w:val="18"/>
        </w:rPr>
        <w:t>rdinanza sulla cittadinanza svizzera</w:t>
      </w:r>
      <w:r>
        <w:rPr>
          <w:sz w:val="18"/>
          <w:szCs w:val="18"/>
        </w:rPr>
        <w:t>, a</w:t>
      </w:r>
      <w:r w:rsidRPr="00A93628">
        <w:rPr>
          <w:sz w:val="18"/>
          <w:szCs w:val="18"/>
        </w:rPr>
        <w:t>gosto 2015</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2DF2A89"/>
    <w:multiLevelType w:val="hybridMultilevel"/>
    <w:tmpl w:val="06A8A7C2"/>
    <w:lvl w:ilvl="0" w:tplc="EBB65FCA">
      <w:start w:val="4"/>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1F177C4B"/>
    <w:multiLevelType w:val="hybridMultilevel"/>
    <w:tmpl w:val="7DF6C678"/>
    <w:lvl w:ilvl="0" w:tplc="AC1E6B00">
      <w:start w:val="1"/>
      <w:numFmt w:val="lowerLetter"/>
      <w:lvlText w:val="%1)"/>
      <w:lvlJc w:val="left"/>
      <w:pPr>
        <w:ind w:left="375" w:hanging="1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846BF3"/>
    <w:multiLevelType w:val="hybridMultilevel"/>
    <w:tmpl w:val="30BC066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C230505"/>
    <w:multiLevelType w:val="hybridMultilevel"/>
    <w:tmpl w:val="C2445BEC"/>
    <w:lvl w:ilvl="0" w:tplc="3ED85DB0">
      <w:start w:val="1"/>
      <w:numFmt w:val="lowerLetter"/>
      <w:lvlText w:val="%1)"/>
      <w:lvlJc w:val="left"/>
      <w:pPr>
        <w:ind w:left="1036" w:hanging="676"/>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303F2A2A"/>
    <w:multiLevelType w:val="hybridMultilevel"/>
    <w:tmpl w:val="FEA237A0"/>
    <w:lvl w:ilvl="0" w:tplc="E270A23A">
      <w:start w:val="1"/>
      <w:numFmt w:val="lowerLetter"/>
      <w:lvlText w:val="%1)"/>
      <w:lvlJc w:val="left"/>
      <w:pPr>
        <w:ind w:left="420" w:hanging="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B306970"/>
    <w:multiLevelType w:val="hybridMultilevel"/>
    <w:tmpl w:val="91ACEA7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8" w15:restartNumberingAfterBreak="0">
    <w:nsid w:val="3F281D63"/>
    <w:multiLevelType w:val="hybridMultilevel"/>
    <w:tmpl w:val="4E4C5354"/>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42102C1B"/>
    <w:multiLevelType w:val="hybridMultilevel"/>
    <w:tmpl w:val="6804FCC2"/>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42226160"/>
    <w:multiLevelType w:val="hybridMultilevel"/>
    <w:tmpl w:val="F0D6FC70"/>
    <w:lvl w:ilvl="0" w:tplc="60E49D48">
      <w:start w:val="3"/>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53826AF6"/>
    <w:multiLevelType w:val="hybridMultilevel"/>
    <w:tmpl w:val="D94CB594"/>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6"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9"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710A5CD9"/>
    <w:multiLevelType w:val="hybridMultilevel"/>
    <w:tmpl w:val="47D07726"/>
    <w:lvl w:ilvl="0" w:tplc="DE841510">
      <w:start w:val="1"/>
      <w:numFmt w:val="lowerLetter"/>
      <w:lvlText w:val="%1)"/>
      <w:lvlJc w:val="left"/>
      <w:pPr>
        <w:ind w:left="360" w:firstLine="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377611D"/>
    <w:multiLevelType w:val="hybridMultilevel"/>
    <w:tmpl w:val="A98856B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5"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7"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8"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2"/>
  </w:num>
  <w:num w:numId="5">
    <w:abstractNumId w:val="12"/>
  </w:num>
  <w:num w:numId="6">
    <w:abstractNumId w:val="6"/>
  </w:num>
  <w:num w:numId="7">
    <w:abstractNumId w:val="26"/>
  </w:num>
  <w:num w:numId="8">
    <w:abstractNumId w:val="33"/>
  </w:num>
  <w:num w:numId="9">
    <w:abstractNumId w:val="25"/>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0"/>
  </w:num>
  <w:num w:numId="13">
    <w:abstractNumId w:val="17"/>
  </w:num>
  <w:num w:numId="14">
    <w:abstractNumId w:val="10"/>
  </w:num>
  <w:num w:numId="15">
    <w:abstractNumId w:val="36"/>
  </w:num>
  <w:num w:numId="16">
    <w:abstractNumId w:val="28"/>
  </w:num>
  <w:num w:numId="17">
    <w:abstractNumId w:val="3"/>
  </w:num>
  <w:num w:numId="18">
    <w:abstractNumId w:val="1"/>
  </w:num>
  <w:num w:numId="19">
    <w:abstractNumId w:val="0"/>
  </w:num>
  <w:num w:numId="20">
    <w:abstractNumId w:val="31"/>
  </w:num>
  <w:num w:numId="21">
    <w:abstractNumId w:val="9"/>
  </w:num>
  <w:num w:numId="22">
    <w:abstractNumId w:val="37"/>
  </w:num>
  <w:num w:numId="23">
    <w:abstractNumId w:val="23"/>
  </w:num>
  <w:num w:numId="24">
    <w:abstractNumId w:val="11"/>
  </w:num>
  <w:num w:numId="25">
    <w:abstractNumId w:val="29"/>
  </w:num>
  <w:num w:numId="26">
    <w:abstractNumId w:val="27"/>
  </w:num>
  <w:num w:numId="27">
    <w:abstractNumId w:val="2"/>
  </w:num>
  <w:num w:numId="28">
    <w:abstractNumId w:val="38"/>
  </w:num>
  <w:num w:numId="29">
    <w:abstractNumId w:val="19"/>
  </w:num>
  <w:num w:numId="30">
    <w:abstractNumId w:val="14"/>
  </w:num>
  <w:num w:numId="31">
    <w:abstractNumId w:val="16"/>
  </w:num>
  <w:num w:numId="32">
    <w:abstractNumId w:val="15"/>
  </w:num>
  <w:num w:numId="33">
    <w:abstractNumId w:val="18"/>
  </w:num>
  <w:num w:numId="34">
    <w:abstractNumId w:val="5"/>
  </w:num>
  <w:num w:numId="35">
    <w:abstractNumId w:val="24"/>
  </w:num>
  <w:num w:numId="36">
    <w:abstractNumId w:val="32"/>
  </w:num>
  <w:num w:numId="37">
    <w:abstractNumId w:val="34"/>
  </w:num>
  <w:num w:numId="38">
    <w:abstractNumId w:val="20"/>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0A"/>
    <w:rsid w:val="00056425"/>
    <w:rsid w:val="00062C16"/>
    <w:rsid w:val="00073FD4"/>
    <w:rsid w:val="00082EB0"/>
    <w:rsid w:val="0009445D"/>
    <w:rsid w:val="000D6EDD"/>
    <w:rsid w:val="00107C86"/>
    <w:rsid w:val="00114781"/>
    <w:rsid w:val="00152187"/>
    <w:rsid w:val="0017107D"/>
    <w:rsid w:val="0017133E"/>
    <w:rsid w:val="00180C3B"/>
    <w:rsid w:val="00180F3B"/>
    <w:rsid w:val="002258AA"/>
    <w:rsid w:val="00283216"/>
    <w:rsid w:val="00296F84"/>
    <w:rsid w:val="002B3873"/>
    <w:rsid w:val="002B698B"/>
    <w:rsid w:val="002C0D3F"/>
    <w:rsid w:val="002E44EA"/>
    <w:rsid w:val="002F4A1C"/>
    <w:rsid w:val="0030432D"/>
    <w:rsid w:val="0032692E"/>
    <w:rsid w:val="003362B4"/>
    <w:rsid w:val="0034010A"/>
    <w:rsid w:val="00341CED"/>
    <w:rsid w:val="003453D1"/>
    <w:rsid w:val="00346B6F"/>
    <w:rsid w:val="00346C2D"/>
    <w:rsid w:val="0036544B"/>
    <w:rsid w:val="00381A93"/>
    <w:rsid w:val="0039601B"/>
    <w:rsid w:val="003A53C6"/>
    <w:rsid w:val="003B4DEE"/>
    <w:rsid w:val="003C16EA"/>
    <w:rsid w:val="003F3768"/>
    <w:rsid w:val="00432073"/>
    <w:rsid w:val="00435BA3"/>
    <w:rsid w:val="00452A7E"/>
    <w:rsid w:val="00483B1C"/>
    <w:rsid w:val="004B6B6F"/>
    <w:rsid w:val="004C5003"/>
    <w:rsid w:val="004E176C"/>
    <w:rsid w:val="00522EC0"/>
    <w:rsid w:val="0053660F"/>
    <w:rsid w:val="00561368"/>
    <w:rsid w:val="00564B38"/>
    <w:rsid w:val="005720BE"/>
    <w:rsid w:val="00577B4B"/>
    <w:rsid w:val="005824C4"/>
    <w:rsid w:val="0059602E"/>
    <w:rsid w:val="005B03BF"/>
    <w:rsid w:val="005F0022"/>
    <w:rsid w:val="0062210D"/>
    <w:rsid w:val="006470C0"/>
    <w:rsid w:val="00674450"/>
    <w:rsid w:val="006B149D"/>
    <w:rsid w:val="006E1E7D"/>
    <w:rsid w:val="00723E71"/>
    <w:rsid w:val="0073572C"/>
    <w:rsid w:val="00747C39"/>
    <w:rsid w:val="007957FF"/>
    <w:rsid w:val="0079646F"/>
    <w:rsid w:val="0082115E"/>
    <w:rsid w:val="00824FE4"/>
    <w:rsid w:val="00871F10"/>
    <w:rsid w:val="00884332"/>
    <w:rsid w:val="0089464E"/>
    <w:rsid w:val="008B2EE9"/>
    <w:rsid w:val="008B4BE0"/>
    <w:rsid w:val="008F31DF"/>
    <w:rsid w:val="00900737"/>
    <w:rsid w:val="009129CD"/>
    <w:rsid w:val="00942AAE"/>
    <w:rsid w:val="0096184C"/>
    <w:rsid w:val="00963F36"/>
    <w:rsid w:val="009832AD"/>
    <w:rsid w:val="00983B5B"/>
    <w:rsid w:val="00995265"/>
    <w:rsid w:val="009F0022"/>
    <w:rsid w:val="009F7F96"/>
    <w:rsid w:val="00A05B99"/>
    <w:rsid w:val="00A133CF"/>
    <w:rsid w:val="00A22E62"/>
    <w:rsid w:val="00A8611B"/>
    <w:rsid w:val="00A9424E"/>
    <w:rsid w:val="00AA4118"/>
    <w:rsid w:val="00AA68D5"/>
    <w:rsid w:val="00AA779C"/>
    <w:rsid w:val="00AD146D"/>
    <w:rsid w:val="00AE4EA9"/>
    <w:rsid w:val="00AE6F3D"/>
    <w:rsid w:val="00AF5992"/>
    <w:rsid w:val="00B01474"/>
    <w:rsid w:val="00B364FB"/>
    <w:rsid w:val="00B378FB"/>
    <w:rsid w:val="00B56C78"/>
    <w:rsid w:val="00B61658"/>
    <w:rsid w:val="00B93BA2"/>
    <w:rsid w:val="00BA3A62"/>
    <w:rsid w:val="00BB3B75"/>
    <w:rsid w:val="00BF3FC3"/>
    <w:rsid w:val="00C106C2"/>
    <w:rsid w:val="00C35AC3"/>
    <w:rsid w:val="00C37B12"/>
    <w:rsid w:val="00C92A1A"/>
    <w:rsid w:val="00C946E4"/>
    <w:rsid w:val="00CE008E"/>
    <w:rsid w:val="00D54A9E"/>
    <w:rsid w:val="00D76075"/>
    <w:rsid w:val="00DC65C2"/>
    <w:rsid w:val="00DF434B"/>
    <w:rsid w:val="00E15EE0"/>
    <w:rsid w:val="00E2192F"/>
    <w:rsid w:val="00E52D41"/>
    <w:rsid w:val="00E762E7"/>
    <w:rsid w:val="00E927C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F9174F-6C92-4923-B63B-5D232C94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26"/>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Default">
    <w:name w:val="Default"/>
    <w:rsid w:val="0034010A"/>
    <w:pPr>
      <w:autoSpaceDE w:val="0"/>
      <w:autoSpaceDN w:val="0"/>
      <w:adjustRightInd w:val="0"/>
    </w:pPr>
    <w:rPr>
      <w:rFonts w:ascii="Arial" w:hAnsi="Arial" w:cs="Arial"/>
      <w:color w:val="000000"/>
      <w:sz w:val="24"/>
      <w:szCs w:val="24"/>
    </w:rPr>
  </w:style>
  <w:style w:type="character" w:styleId="Enfasigrassetto">
    <w:name w:val="Strong"/>
    <w:uiPriority w:val="22"/>
    <w:qFormat/>
    <w:rsid w:val="00340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2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ti.ch/CAN/RLeggi/public/raccolta-leggi/legge/numero/1.2.1.1" TargetMode="External"/><Relationship Id="rId3" Type="http://schemas.openxmlformats.org/officeDocument/2006/relationships/settings" Target="settings.xml"/><Relationship Id="rId7" Type="http://schemas.openxmlformats.org/officeDocument/2006/relationships/hyperlink" Target="https://www.admin.ch/opc/it/classified-compilation/19995395/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3.ti.ch/CAN/RLeggi/public/raccolta-leggi/legge/numero/1.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c.ti.ch\redir$\Desktop\T128124\Desktop\Messaggi%20CdS\M_mast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M_master.dotx</Template>
  <TotalTime>138</TotalTime>
  <Pages>8</Pages>
  <Words>2312</Words>
  <Characters>13633</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Venturi Luca</cp:lastModifiedBy>
  <cp:revision>8</cp:revision>
  <cp:lastPrinted>2020-09-28T08:35:00Z</cp:lastPrinted>
  <dcterms:created xsi:type="dcterms:W3CDTF">2020-10-29T08:32:00Z</dcterms:created>
  <dcterms:modified xsi:type="dcterms:W3CDTF">2020-10-29T14:16:00Z</dcterms:modified>
</cp:coreProperties>
</file>