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63" w:rsidRPr="00037B63" w:rsidRDefault="00037B63" w:rsidP="00037B63">
      <w:pPr>
        <w:spacing w:after="120"/>
        <w:jc w:val="both"/>
        <w:rPr>
          <w:rFonts w:cs="Arial"/>
          <w:b/>
          <w:szCs w:val="24"/>
        </w:rPr>
      </w:pPr>
      <w:r w:rsidRPr="00037B63">
        <w:rPr>
          <w:rFonts w:cs="Arial"/>
          <w:b/>
          <w:szCs w:val="24"/>
        </w:rPr>
        <w:t xml:space="preserve">INIZIATIVA PARLAMENTARE </w:t>
      </w: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br/>
      </w: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cs="Arial"/>
          <w:b/>
          <w:szCs w:val="24"/>
          <w:u w:val="single"/>
        </w:rPr>
      </w:pPr>
      <w:r w:rsidRPr="00037B63">
        <w:rPr>
          <w:rFonts w:cs="Arial"/>
          <w:b/>
          <w:szCs w:val="24"/>
          <w:u w:val="single"/>
        </w:rPr>
        <w:t>presentata nella forma elaborata da Sergio Savoia e cofirmatari "Per proteggere i ticinesi dall’importazione di rifiuti esteri"</w:t>
      </w:r>
    </w:p>
    <w:p w:rsidR="00037B63" w:rsidRDefault="00037B63" w:rsidP="00037B63">
      <w:pPr>
        <w:tabs>
          <w:tab w:val="left" w:pos="360"/>
          <w:tab w:val="left" w:pos="540"/>
        </w:tabs>
        <w:jc w:val="both"/>
        <w:rPr>
          <w:rFonts w:cs="Arial"/>
          <w:szCs w:val="24"/>
        </w:rPr>
      </w:pP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cs="Arial"/>
          <w:szCs w:val="24"/>
        </w:rPr>
      </w:pPr>
      <w:bookmarkStart w:id="0" w:name="_GoBack"/>
      <w:bookmarkEnd w:id="0"/>
    </w:p>
    <w:p w:rsidR="00037B63" w:rsidRPr="00037B63" w:rsidRDefault="00037B63" w:rsidP="00037B63">
      <w:pPr>
        <w:tabs>
          <w:tab w:val="left" w:pos="360"/>
          <w:tab w:val="left" w:pos="540"/>
        </w:tabs>
        <w:spacing w:after="120"/>
        <w:jc w:val="both"/>
        <w:rPr>
          <w:rFonts w:cs="Arial"/>
          <w:szCs w:val="24"/>
        </w:rPr>
      </w:pPr>
      <w:r w:rsidRPr="00037B63">
        <w:rPr>
          <w:rFonts w:cs="Arial"/>
          <w:szCs w:val="24"/>
        </w:rPr>
        <w:t>del 21 gennaio 2008</w:t>
      </w: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cs="Arial"/>
          <w:szCs w:val="24"/>
        </w:rPr>
      </w:pP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cs="Arial"/>
          <w:szCs w:val="24"/>
        </w:rPr>
      </w:pPr>
      <w:r w:rsidRPr="00037B63">
        <w:rPr>
          <w:rFonts w:cs="Arial"/>
          <w:szCs w:val="24"/>
        </w:rPr>
        <w:t>Il Municipio di Giubiasco prevedeva, nella licenza edilizia del 7 luglio 2005 per la costruzione del termovalorizzatore, tutta una serie di clausole (soprattutto ambientali) da rispettare. Una in particolare rispondeva a una preoccupazione molto diffusa non solo a Giubiasco: si temeva giustamente (vista la sovracapacità svizzera e l’evoluzione del "mercato" dei rifiuti) l’importazione a Giubiasco di rifiuti da fuori Cantone e, peggio ancora, dall’estero.</w:t>
      </w: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cs="Arial"/>
          <w:szCs w:val="24"/>
        </w:rPr>
      </w:pP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cs="Arial"/>
          <w:szCs w:val="24"/>
        </w:rPr>
      </w:pPr>
      <w:r w:rsidRPr="00037B63">
        <w:rPr>
          <w:rFonts w:cs="Arial"/>
          <w:szCs w:val="24"/>
        </w:rPr>
        <w:t>Con risoluzione 20 dicembre 2005 il Consiglio di Stato annullò alcune condizioni, tra cui quella relativa all'obbligo di smaltire unicamente rifiuti provenienti dal Ticino e dal Moesano (e in ogni caso non quelli provenienti dall'estero).</w:t>
      </w: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cs="Arial"/>
          <w:szCs w:val="24"/>
        </w:rPr>
      </w:pP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cs="Arial"/>
          <w:szCs w:val="24"/>
        </w:rPr>
      </w:pPr>
      <w:r w:rsidRPr="00037B63">
        <w:rPr>
          <w:rFonts w:cs="Arial"/>
          <w:szCs w:val="24"/>
        </w:rPr>
        <w:t xml:space="preserve">L'ACR sottoscrisse immediatamente dopo un accordo col Municipio secondo il quale essa si impegnava a rispettare anche le clausole contenute inizialmente nella licenza edilizia e stralciate dal Consiglio di Stato. </w:t>
      </w: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eastAsia="Arial Unicode MS" w:cs="Arial"/>
          <w:szCs w:val="24"/>
          <w:lang w:val="it-CH"/>
        </w:rPr>
      </w:pPr>
      <w:r w:rsidRPr="00037B63">
        <w:rPr>
          <w:rFonts w:eastAsia="Arial Unicode MS" w:cs="Arial"/>
          <w:szCs w:val="24"/>
          <w:lang w:val="it-CH"/>
        </w:rPr>
        <w:t xml:space="preserve">L'iniziativa in oggetto non fa altro che appoggiare la volontà del direttore del Dipartimento del territorio (e, dichiaratamente, anche dei vertici dell’ACR) che ha a più riprese ribadito, ancora la scorsa settimana, che a Giubiasco non s’importeranno mai rifiuti "da fuori Cantone". </w:t>
      </w: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eastAsia="Arial Unicode MS" w:cs="Arial"/>
          <w:szCs w:val="24"/>
          <w:lang w:val="it-CH"/>
        </w:rPr>
      </w:pPr>
      <w:r w:rsidRPr="00037B63">
        <w:rPr>
          <w:rFonts w:eastAsia="Arial Unicode MS" w:cs="Arial"/>
          <w:szCs w:val="24"/>
          <w:lang w:val="it-CH"/>
        </w:rPr>
        <w:t>Purtroppo l'accordo esistente tra ACR e Municipio di Giubiasco, pur testimone di una lodevole buona volontà da parte dell’Azienda e del Dipartimento, è una garanzia insufficiente. Non sfugge a nessuno che un accordo tra due partner può essere rescisso, ad esempio consensualmente. Ciò significa che, a discrezione del Consiglio di amministrazione dell'ACR e del Municipio di Giubiasco, l’impianto delle Baragge potrebbe trovarsi ad essere libero di importare rifiuti esteri senza che né il Gran Consiglio, né la popolazione ticinese possano dire nulla a proposito.</w:t>
      </w: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eastAsia="Arial Unicode MS" w:cs="Arial"/>
          <w:szCs w:val="24"/>
          <w:lang w:val="it-CH"/>
        </w:rPr>
      </w:pP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cs="Arial"/>
          <w:szCs w:val="24"/>
        </w:rPr>
      </w:pPr>
      <w:r w:rsidRPr="00037B63">
        <w:rPr>
          <w:rFonts w:cs="Arial"/>
          <w:szCs w:val="24"/>
        </w:rPr>
        <w:t xml:space="preserve">L’inceneritore di Giubiasco si trova d’altro </w:t>
      </w:r>
      <w:smartTag w:uri="urn:schemas-microsoft-com:office:smarttags" w:element="PersonName">
        <w:r w:rsidRPr="00037B63">
          <w:rPr>
            <w:rFonts w:cs="Arial"/>
            <w:szCs w:val="24"/>
          </w:rPr>
          <w:t>can</w:t>
        </w:r>
      </w:smartTag>
      <w:r w:rsidRPr="00037B63">
        <w:rPr>
          <w:rFonts w:cs="Arial"/>
          <w:szCs w:val="24"/>
        </w:rPr>
        <w:t>to stretto in una doppia forbice: da una parte la diminuzione della massa di rifiuti totale a seguito dell’aumento del riciclaggio e della raccolta differenziata; dall’altro una tariffa fissata per legge che, se non fuori mercato, è perlomeno "limitata". Quando occorrerà far quadrare i bilanci, delle due l'una: o l'ACR smaltisce solo i rifiuti ticinesi e alza la tariffa (modifica legale necessaria), oppure si procura i rifiuti man</w:t>
      </w:r>
      <w:smartTag w:uri="urn:schemas-microsoft-com:office:smarttags" w:element="PersonName">
        <w:r w:rsidRPr="00037B63">
          <w:rPr>
            <w:rFonts w:cs="Arial"/>
            <w:szCs w:val="24"/>
          </w:rPr>
          <w:t>can</w:t>
        </w:r>
      </w:smartTag>
      <w:r w:rsidRPr="00037B63">
        <w:rPr>
          <w:rFonts w:cs="Arial"/>
          <w:szCs w:val="24"/>
        </w:rPr>
        <w:t>ti fuori Cantone e all’estero. Già ora l’ACR si appresta a bruciare i fanghi del depuratore di Bioggio. E domani?</w:t>
      </w: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cs="Arial"/>
          <w:szCs w:val="24"/>
        </w:rPr>
      </w:pP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cs="Arial"/>
          <w:szCs w:val="24"/>
        </w:rPr>
      </w:pPr>
      <w:r w:rsidRPr="00037B63">
        <w:rPr>
          <w:rFonts w:cs="Arial"/>
          <w:szCs w:val="24"/>
        </w:rPr>
        <w:t xml:space="preserve">Per questo motivo i sottoscritti deputati chiedono, tramite la presente iniziativa parlamentare elaborata, la modifica dell’art. 2 cpv. 2 lett. a) della Legge istituente l’Azienda </w:t>
      </w:r>
      <w:smartTag w:uri="urn:schemas-microsoft-com:office:smarttags" w:element="PersonName">
        <w:r w:rsidRPr="00037B63">
          <w:rPr>
            <w:rFonts w:cs="Arial"/>
            <w:szCs w:val="24"/>
          </w:rPr>
          <w:t>can</w:t>
        </w:r>
      </w:smartTag>
      <w:r w:rsidRPr="00037B63">
        <w:rPr>
          <w:rFonts w:cs="Arial"/>
          <w:szCs w:val="24"/>
        </w:rPr>
        <w:t>tonale rifiuti (LACR, 24 marzo 2004). Si propone dunque la seguente modifica:</w:t>
      </w: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cs="Arial"/>
          <w:szCs w:val="24"/>
        </w:rPr>
      </w:pPr>
    </w:p>
    <w:p w:rsidR="00037B63" w:rsidRPr="00037B63" w:rsidRDefault="00037B63" w:rsidP="00037B63">
      <w:pPr>
        <w:tabs>
          <w:tab w:val="left" w:pos="360"/>
          <w:tab w:val="left" w:pos="540"/>
        </w:tabs>
        <w:spacing w:after="120"/>
        <w:jc w:val="both"/>
        <w:rPr>
          <w:rFonts w:cs="Arial"/>
          <w:b/>
          <w:szCs w:val="24"/>
        </w:rPr>
      </w:pPr>
      <w:r w:rsidRPr="00037B63">
        <w:rPr>
          <w:rFonts w:cs="Arial"/>
          <w:b/>
          <w:szCs w:val="24"/>
        </w:rPr>
        <w:lastRenderedPageBreak/>
        <w:t>Articolo 2 cpv. 2</w:t>
      </w:r>
    </w:p>
    <w:p w:rsidR="00037B63" w:rsidRPr="00037B63" w:rsidRDefault="00037B63" w:rsidP="00037B63">
      <w:pPr>
        <w:tabs>
          <w:tab w:val="left" w:pos="360"/>
          <w:tab w:val="left" w:pos="540"/>
        </w:tabs>
        <w:ind w:left="360" w:hanging="360"/>
        <w:jc w:val="both"/>
        <w:rPr>
          <w:rFonts w:cs="Arial"/>
          <w:szCs w:val="24"/>
          <w:u w:val="single"/>
          <w:lang w:val="it-CH"/>
        </w:rPr>
      </w:pPr>
      <w:r w:rsidRPr="00037B63">
        <w:rPr>
          <w:rFonts w:cs="Arial"/>
          <w:szCs w:val="24"/>
          <w:lang w:val="it-CH"/>
        </w:rPr>
        <w:t>a)</w:t>
      </w:r>
      <w:r w:rsidRPr="00037B63">
        <w:rPr>
          <w:rFonts w:cs="Arial"/>
          <w:szCs w:val="24"/>
          <w:lang w:val="it-CH"/>
        </w:rPr>
        <w:tab/>
        <w:t xml:space="preserve">smaltire i rifiuti urbani non riciclabili e quelli ad essi assimilabili dell’intero Cantone </w:t>
      </w:r>
      <w:r w:rsidRPr="00037B63">
        <w:rPr>
          <w:rFonts w:cs="Arial"/>
          <w:bCs/>
          <w:szCs w:val="24"/>
          <w:lang w:val="it-CH"/>
        </w:rPr>
        <w:t xml:space="preserve">ed eventualmente - mediante convenzione - </w:t>
      </w:r>
      <w:r w:rsidRPr="00037B63">
        <w:rPr>
          <w:rFonts w:cs="Arial"/>
          <w:bCs/>
          <w:szCs w:val="24"/>
          <w:u w:val="single"/>
          <w:lang w:val="it-CH"/>
        </w:rPr>
        <w:t>quelli provenienti dalla Svizzera.</w:t>
      </w:r>
      <w:r w:rsidRPr="00037B63">
        <w:rPr>
          <w:rFonts w:cs="Arial"/>
          <w:szCs w:val="24"/>
          <w:u w:val="single"/>
          <w:lang w:val="it-CH"/>
        </w:rPr>
        <w:t xml:space="preserve"> </w:t>
      </w: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cs="Arial"/>
          <w:szCs w:val="24"/>
          <w:u w:val="single"/>
          <w:lang w:val="it-CH"/>
        </w:rPr>
      </w:pP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cs="Arial"/>
          <w:szCs w:val="24"/>
          <w:u w:val="single"/>
          <w:lang w:val="it-CH"/>
        </w:rPr>
      </w:pP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cs="Arial"/>
          <w:szCs w:val="24"/>
        </w:rPr>
      </w:pPr>
      <w:r w:rsidRPr="00037B63">
        <w:rPr>
          <w:rFonts w:cs="Arial"/>
          <w:szCs w:val="24"/>
        </w:rPr>
        <w:t>Sergio Savoia</w:t>
      </w: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cs="Arial"/>
          <w:szCs w:val="24"/>
          <w:lang w:val="it-CH"/>
        </w:rPr>
      </w:pPr>
      <w:r w:rsidRPr="00037B63">
        <w:rPr>
          <w:rFonts w:cs="Arial"/>
          <w:szCs w:val="24"/>
          <w:lang w:val="it-CH"/>
        </w:rPr>
        <w:t xml:space="preserve">Bertoli - Giudici - Gysin - Jelmini - </w:t>
      </w:r>
    </w:p>
    <w:p w:rsidR="00037B63" w:rsidRPr="00037B63" w:rsidRDefault="00037B63" w:rsidP="00037B63">
      <w:pPr>
        <w:tabs>
          <w:tab w:val="left" w:pos="360"/>
          <w:tab w:val="left" w:pos="540"/>
        </w:tabs>
        <w:jc w:val="both"/>
        <w:rPr>
          <w:rFonts w:cs="Arial"/>
          <w:szCs w:val="24"/>
          <w:lang w:val="it-CH"/>
        </w:rPr>
      </w:pPr>
      <w:r w:rsidRPr="00037B63">
        <w:rPr>
          <w:rFonts w:cs="Arial"/>
          <w:szCs w:val="24"/>
          <w:lang w:val="it-CH"/>
        </w:rPr>
        <w:t>Maggi - Pedrazzini - Pinoja - Wicht</w:t>
      </w:r>
    </w:p>
    <w:p w:rsidR="0086138A" w:rsidRPr="00037B63" w:rsidRDefault="0086138A" w:rsidP="00037B63"/>
    <w:sectPr w:rsidR="0086138A" w:rsidRPr="00037B63" w:rsidSect="00037B63">
      <w:footerReference w:type="even" r:id="rId8"/>
      <w:pgSz w:w="11906" w:h="16838"/>
      <w:pgMar w:top="1134" w:right="1134" w:bottom="1985" w:left="156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B0" w:rsidRDefault="002A4FB0">
      <w:r>
        <w:separator/>
      </w:r>
    </w:p>
  </w:endnote>
  <w:endnote w:type="continuationSeparator" w:id="0">
    <w:p w:rsidR="002A4FB0" w:rsidRDefault="002A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037B63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037B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B0" w:rsidRDefault="002A4FB0">
      <w:r>
        <w:separator/>
      </w:r>
    </w:p>
  </w:footnote>
  <w:footnote w:type="continuationSeparator" w:id="0">
    <w:p w:rsidR="002A4FB0" w:rsidRDefault="002A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5702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000000B"/>
    <w:multiLevelType w:val="singleLevel"/>
    <w:tmpl w:val="0410000F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67145D7"/>
    <w:multiLevelType w:val="hybridMultilevel"/>
    <w:tmpl w:val="956A6DD2"/>
    <w:lvl w:ilvl="0" w:tplc="CEAC1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165B8"/>
    <w:multiLevelType w:val="hybridMultilevel"/>
    <w:tmpl w:val="F07201A8"/>
    <w:lvl w:ilvl="0" w:tplc="E0687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6657B"/>
    <w:multiLevelType w:val="hybridMultilevel"/>
    <w:tmpl w:val="EC309C1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831B2"/>
    <w:multiLevelType w:val="hybridMultilevel"/>
    <w:tmpl w:val="8F36AC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A4B2E"/>
    <w:multiLevelType w:val="hybridMultilevel"/>
    <w:tmpl w:val="177428E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41CF8"/>
    <w:multiLevelType w:val="hybridMultilevel"/>
    <w:tmpl w:val="6D7A6538"/>
    <w:lvl w:ilvl="0" w:tplc="58A2AF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4B3D6">
      <w:start w:val="1"/>
      <w:numFmt w:val="bullet"/>
      <w:lvlText w:val="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65EC2"/>
    <w:multiLevelType w:val="hybridMultilevel"/>
    <w:tmpl w:val="422276F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421CC"/>
    <w:multiLevelType w:val="hybridMultilevel"/>
    <w:tmpl w:val="9DFC397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1F52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61B212D"/>
    <w:multiLevelType w:val="hybridMultilevel"/>
    <w:tmpl w:val="1BB44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B6291"/>
    <w:multiLevelType w:val="hybridMultilevel"/>
    <w:tmpl w:val="F2483D82"/>
    <w:lvl w:ilvl="0" w:tplc="A5F2E2A8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BBC09CE"/>
    <w:multiLevelType w:val="hybridMultilevel"/>
    <w:tmpl w:val="9B9672C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14738"/>
    <w:multiLevelType w:val="hybridMultilevel"/>
    <w:tmpl w:val="9DD4633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F5670"/>
    <w:multiLevelType w:val="hybridMultilevel"/>
    <w:tmpl w:val="C65C29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64162F"/>
    <w:multiLevelType w:val="hybridMultilevel"/>
    <w:tmpl w:val="780CDEB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936B90"/>
    <w:multiLevelType w:val="singleLevel"/>
    <w:tmpl w:val="D7EE51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1" w15:restartNumberingAfterBreak="0">
    <w:nsid w:val="7BC502D4"/>
    <w:multiLevelType w:val="hybridMultilevel"/>
    <w:tmpl w:val="3EFCB50C"/>
    <w:lvl w:ilvl="0" w:tplc="44945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10"/>
  </w:num>
  <w:num w:numId="4">
    <w:abstractNumId w:val="7"/>
  </w:num>
  <w:num w:numId="5">
    <w:abstractNumId w:val="21"/>
  </w:num>
  <w:num w:numId="6">
    <w:abstractNumId w:val="15"/>
  </w:num>
  <w:num w:numId="7">
    <w:abstractNumId w:val="9"/>
  </w:num>
  <w:num w:numId="8">
    <w:abstractNumId w:val="12"/>
  </w:num>
  <w:num w:numId="9">
    <w:abstractNumId w:val="19"/>
  </w:num>
  <w:num w:numId="10">
    <w:abstractNumId w:val="11"/>
  </w:num>
  <w:num w:numId="11">
    <w:abstractNumId w:val="17"/>
  </w:num>
  <w:num w:numId="12">
    <w:abstractNumId w:val="16"/>
  </w:num>
  <w:num w:numId="13">
    <w:abstractNumId w:val="18"/>
  </w:num>
  <w:num w:numId="14">
    <w:abstractNumId w:val="8"/>
  </w:num>
  <w:num w:numId="15">
    <w:abstractNumId w:val="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23D26"/>
    <w:rsid w:val="0003403A"/>
    <w:rsid w:val="00037B63"/>
    <w:rsid w:val="001A7DEE"/>
    <w:rsid w:val="0023025B"/>
    <w:rsid w:val="002A4FB0"/>
    <w:rsid w:val="002C7001"/>
    <w:rsid w:val="002E48E5"/>
    <w:rsid w:val="003136CA"/>
    <w:rsid w:val="00320A4C"/>
    <w:rsid w:val="003460D4"/>
    <w:rsid w:val="003D02D2"/>
    <w:rsid w:val="00487A99"/>
    <w:rsid w:val="0058257A"/>
    <w:rsid w:val="00636749"/>
    <w:rsid w:val="00663B24"/>
    <w:rsid w:val="006946BE"/>
    <w:rsid w:val="006F5B90"/>
    <w:rsid w:val="007158B7"/>
    <w:rsid w:val="007651F5"/>
    <w:rsid w:val="0077356E"/>
    <w:rsid w:val="00781FE5"/>
    <w:rsid w:val="00851472"/>
    <w:rsid w:val="0086138A"/>
    <w:rsid w:val="008D3E71"/>
    <w:rsid w:val="008D6D20"/>
    <w:rsid w:val="00923C0A"/>
    <w:rsid w:val="00950CE5"/>
    <w:rsid w:val="009853E7"/>
    <w:rsid w:val="00996E9D"/>
    <w:rsid w:val="00A0618A"/>
    <w:rsid w:val="00A51299"/>
    <w:rsid w:val="00B75F73"/>
    <w:rsid w:val="00BD4A4B"/>
    <w:rsid w:val="00C141C4"/>
    <w:rsid w:val="00CE40E1"/>
    <w:rsid w:val="00D14731"/>
    <w:rsid w:val="00D61224"/>
    <w:rsid w:val="00D8250D"/>
    <w:rsid w:val="00EC443A"/>
    <w:rsid w:val="00F227D8"/>
    <w:rsid w:val="00F41291"/>
    <w:rsid w:val="00F8411A"/>
    <w:rsid w:val="00F90EDC"/>
    <w:rsid w:val="00F93998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2"/>
    <o:shapelayout v:ext="edit">
      <o:idmap v:ext="edit" data="1"/>
    </o:shapelayout>
  </w:shapeDefaults>
  <w:decimalSymbol w:val="."/>
  <w:listSeparator w:val=";"/>
  <w14:docId w14:val="1C02A89B"/>
  <w15:chartTrackingRefBased/>
  <w15:docId w15:val="{05722758-A68A-441F-9DC8-6AC63F7B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rt">
    <w:name w:val="Art"/>
    <w:rsid w:val="0058257A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customStyle="1" w:styleId="Marginale">
    <w:name w:val="Marginale"/>
    <w:basedOn w:val="Art"/>
    <w:next w:val="Art"/>
    <w:rsid w:val="0058257A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58257A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styleId="Testonotaapidipagina">
    <w:name w:val="footnote text"/>
    <w:basedOn w:val="Normale"/>
    <w:link w:val="TestonotaapidipaginaCarattere"/>
    <w:rsid w:val="0023025B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025B"/>
    <w:rPr>
      <w:lang w:eastAsia="it-IT"/>
    </w:rPr>
  </w:style>
  <w:style w:type="character" w:styleId="Rimandonotaapidipagina">
    <w:name w:val="footnote reference"/>
    <w:rsid w:val="0023025B"/>
    <w:rPr>
      <w:vertAlign w:val="superscript"/>
    </w:rPr>
  </w:style>
  <w:style w:type="character" w:customStyle="1" w:styleId="Testoarticolo">
    <w:name w:val="Testo articolo"/>
    <w:rsid w:val="0023025B"/>
    <w:rPr>
      <w:sz w:val="22"/>
    </w:rPr>
  </w:style>
  <w:style w:type="paragraph" w:customStyle="1" w:styleId="StilearticolonDopo0pt">
    <w:name w:val="Stile articolo n. + Dopo:  0 pt"/>
    <w:basedOn w:val="Normale"/>
    <w:autoRedefine/>
    <w:rsid w:val="0023025B"/>
    <w:pPr>
      <w:tabs>
        <w:tab w:val="left" w:pos="390"/>
      </w:tabs>
      <w:jc w:val="both"/>
    </w:pPr>
    <w:rPr>
      <w:b/>
      <w:bCs/>
      <w:noProof/>
      <w:sz w:val="22"/>
      <w:u w:val="single"/>
    </w:rPr>
  </w:style>
  <w:style w:type="paragraph" w:styleId="NormaleWeb">
    <w:name w:val="Normal (Web)"/>
    <w:basedOn w:val="Normale"/>
    <w:rsid w:val="00C141C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txtcontenttitgrey">
    <w:name w:val="txtcontenttitgrey"/>
    <w:basedOn w:val="Carpredefinitoparagrafo"/>
    <w:rsid w:val="00C141C4"/>
  </w:style>
  <w:style w:type="character" w:customStyle="1" w:styleId="txtcontentblack">
    <w:name w:val="txtcontentblack"/>
    <w:basedOn w:val="Carpredefinitoparagrafo"/>
    <w:rsid w:val="00C141C4"/>
  </w:style>
  <w:style w:type="paragraph" w:customStyle="1" w:styleId="art0">
    <w:name w:val="art"/>
    <w:basedOn w:val="Normale"/>
    <w:rsid w:val="009853E7"/>
    <w:pPr>
      <w:ind w:left="720" w:right="187"/>
      <w:jc w:val="both"/>
    </w:pPr>
    <w:rPr>
      <w:rFonts w:cs="Arial"/>
      <w:sz w:val="20"/>
    </w:rPr>
  </w:style>
  <w:style w:type="paragraph" w:styleId="Pidipagina">
    <w:name w:val="footer"/>
    <w:basedOn w:val="Normale"/>
    <w:link w:val="PidipaginaCarattere"/>
    <w:rsid w:val="0003403A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03403A"/>
    <w:rPr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03403A"/>
  </w:style>
  <w:style w:type="paragraph" w:customStyle="1" w:styleId="marginale0">
    <w:name w:val="marginale"/>
    <w:basedOn w:val="Normale"/>
    <w:rsid w:val="0003403A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le">
    <w:name w:val="title"/>
    <w:basedOn w:val="Carpredefinitoparagrafo"/>
    <w:rsid w:val="00D8250D"/>
  </w:style>
  <w:style w:type="character" w:customStyle="1" w:styleId="shortdesc">
    <w:name w:val="short_desc"/>
    <w:basedOn w:val="Carpredefinitoparagrafo"/>
    <w:rsid w:val="00D8250D"/>
  </w:style>
  <w:style w:type="character" w:customStyle="1" w:styleId="longdesc">
    <w:name w:val="long_desc"/>
    <w:basedOn w:val="Carpredefinitoparagrafo"/>
    <w:rsid w:val="00D8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2019-12-09T14:50:00Z</cp:lastPrinted>
  <dcterms:created xsi:type="dcterms:W3CDTF">2019-12-09T14:52:00Z</dcterms:created>
  <dcterms:modified xsi:type="dcterms:W3CDTF">2019-12-09T14:52:00Z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