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BE" w:rsidRPr="00734109" w:rsidRDefault="006946BE" w:rsidP="006946BE">
      <w:pPr>
        <w:jc w:val="both"/>
        <w:rPr>
          <w:b/>
        </w:rPr>
      </w:pPr>
      <w:r w:rsidRPr="00734109">
        <w:rPr>
          <w:b/>
        </w:rPr>
        <w:t xml:space="preserve">INIZIATIVA PARLAMENTARE </w:t>
      </w:r>
    </w:p>
    <w:p w:rsidR="006946BE" w:rsidRPr="00F549DC" w:rsidRDefault="006946BE" w:rsidP="006946BE">
      <w:pPr>
        <w:pStyle w:val="Corpotesto"/>
        <w:tabs>
          <w:tab w:val="left" w:pos="6237"/>
        </w:tabs>
        <w:rPr>
          <w:rFonts w:cs="Arial"/>
          <w:sz w:val="23"/>
          <w:szCs w:val="23"/>
        </w:rPr>
      </w:pPr>
    </w:p>
    <w:p w:rsidR="006946BE" w:rsidRPr="007E7853" w:rsidRDefault="006946BE" w:rsidP="006946BE">
      <w:pPr>
        <w:pStyle w:val="Corpotesto"/>
        <w:tabs>
          <w:tab w:val="left" w:pos="6237"/>
        </w:tabs>
        <w:rPr>
          <w:rFonts w:cs="Arial"/>
          <w:b/>
          <w:i w:val="0"/>
          <w:sz w:val="23"/>
          <w:szCs w:val="23"/>
          <w:u w:val="single"/>
        </w:rPr>
      </w:pPr>
      <w:r w:rsidRPr="007E7853">
        <w:rPr>
          <w:rFonts w:cs="Arial"/>
          <w:b/>
          <w:i w:val="0"/>
          <w:sz w:val="23"/>
          <w:szCs w:val="23"/>
          <w:u w:val="single"/>
        </w:rPr>
        <w:t>presentata nella forma elaborata da Boris Bignasca e Lorenzo Quadri per la modifica dell’art. 60 cpv. 3 della Legge organica comunale [Concessione dell’attinenza comunale sempre con voto segreto]</w:t>
      </w:r>
    </w:p>
    <w:p w:rsidR="006946BE" w:rsidRPr="00734109" w:rsidRDefault="006946BE" w:rsidP="006946BE">
      <w:pPr>
        <w:pStyle w:val="Marginale"/>
        <w:ind w:left="0"/>
        <w:rPr>
          <w:rFonts w:eastAsia="Times" w:cs="Arial"/>
          <w:b w:val="0"/>
          <w:noProof w:val="0"/>
          <w:sz w:val="23"/>
          <w:szCs w:val="23"/>
          <w:u w:val="single"/>
        </w:rPr>
      </w:pPr>
    </w:p>
    <w:p w:rsidR="006946BE" w:rsidRPr="00734109" w:rsidRDefault="006946BE" w:rsidP="006946BE">
      <w:pPr>
        <w:pStyle w:val="Corpotesto"/>
        <w:spacing w:after="120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>del 2 giugno 2008</w:t>
      </w: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>In considerazione del recente dibattito granconsigliare presentiamo la seguente iniziativa parlamentare elaborata per la modifica dell’art. 60 cpv. 3 della Legge organica comunale (LOC).</w:t>
      </w:r>
    </w:p>
    <w:p w:rsidR="006946BE" w:rsidRPr="00F549DC" w:rsidRDefault="006946BE" w:rsidP="006946BE">
      <w:pPr>
        <w:pStyle w:val="Corpotesto"/>
        <w:rPr>
          <w:rFonts w:cs="Arial"/>
          <w:sz w:val="23"/>
          <w:szCs w:val="23"/>
        </w:rPr>
      </w:pPr>
    </w:p>
    <w:p w:rsidR="006946BE" w:rsidRPr="001D6403" w:rsidRDefault="006946BE" w:rsidP="006946BE">
      <w:pPr>
        <w:pStyle w:val="Corpotesto"/>
        <w:spacing w:after="120"/>
        <w:rPr>
          <w:rFonts w:cs="Arial"/>
          <w:b/>
          <w:i w:val="0"/>
          <w:sz w:val="23"/>
          <w:szCs w:val="23"/>
        </w:rPr>
      </w:pPr>
      <w:r w:rsidRPr="001D6403">
        <w:rPr>
          <w:rFonts w:cs="Arial"/>
          <w:b/>
          <w:i w:val="0"/>
          <w:sz w:val="23"/>
          <w:szCs w:val="23"/>
        </w:rPr>
        <w:t>Legge attuale</w:t>
      </w:r>
    </w:p>
    <w:p w:rsidR="006946BE" w:rsidRPr="00F549DC" w:rsidRDefault="006946BE" w:rsidP="006946BE">
      <w:pPr>
        <w:pStyle w:val="Marginale"/>
        <w:spacing w:after="160"/>
        <w:ind w:left="0"/>
        <w:rPr>
          <w:rFonts w:cs="Arial"/>
          <w:sz w:val="23"/>
          <w:szCs w:val="23"/>
        </w:rPr>
      </w:pPr>
      <w:r w:rsidRPr="00F549DC">
        <w:rPr>
          <w:rFonts w:cs="Arial"/>
          <w:sz w:val="23"/>
          <w:szCs w:val="23"/>
        </w:rPr>
        <w:t xml:space="preserve">Art. 60 </w:t>
      </w:r>
      <w:r>
        <w:rPr>
          <w:rFonts w:cs="Arial"/>
          <w:sz w:val="23"/>
          <w:szCs w:val="23"/>
        </w:rPr>
        <w:t xml:space="preserve">- </w:t>
      </w:r>
      <w:r w:rsidRPr="00F549DC">
        <w:rPr>
          <w:rFonts w:cs="Arial"/>
          <w:sz w:val="23"/>
          <w:szCs w:val="23"/>
        </w:rPr>
        <w:t>Sistema di voto</w:t>
      </w:r>
    </w:p>
    <w:p w:rsidR="006946BE" w:rsidRPr="00F549DC" w:rsidRDefault="006946BE" w:rsidP="006946BE">
      <w:pPr>
        <w:pStyle w:val="Art"/>
        <w:spacing w:after="120"/>
        <w:ind w:left="0"/>
        <w:rPr>
          <w:rFonts w:cs="Arial"/>
          <w:sz w:val="23"/>
          <w:szCs w:val="23"/>
        </w:rPr>
      </w:pPr>
      <w:r w:rsidRPr="00F549DC">
        <w:rPr>
          <w:rFonts w:cs="Arial"/>
          <w:sz w:val="23"/>
          <w:szCs w:val="23"/>
          <w:vertAlign w:val="superscript"/>
        </w:rPr>
        <w:t>1</w:t>
      </w:r>
      <w:r w:rsidRPr="00F549DC">
        <w:rPr>
          <w:rFonts w:cs="Arial"/>
          <w:sz w:val="23"/>
          <w:szCs w:val="23"/>
        </w:rPr>
        <w:t xml:space="preserve">Il </w:t>
      </w:r>
      <w:r>
        <w:rPr>
          <w:rFonts w:cs="Arial"/>
          <w:sz w:val="23"/>
          <w:szCs w:val="23"/>
        </w:rPr>
        <w:t>C</w:t>
      </w:r>
      <w:r w:rsidRPr="00F549DC">
        <w:rPr>
          <w:rFonts w:cs="Arial"/>
          <w:sz w:val="23"/>
          <w:szCs w:val="23"/>
        </w:rPr>
        <w:t>onsiglio comunale vota per alzata di mano.</w:t>
      </w:r>
    </w:p>
    <w:p w:rsidR="006946BE" w:rsidRPr="00F549DC" w:rsidRDefault="006946BE" w:rsidP="006946BE">
      <w:pPr>
        <w:pStyle w:val="Art"/>
        <w:spacing w:after="120"/>
        <w:ind w:left="0"/>
        <w:rPr>
          <w:rFonts w:cs="Arial"/>
          <w:sz w:val="23"/>
          <w:szCs w:val="23"/>
        </w:rPr>
      </w:pPr>
      <w:r w:rsidRPr="00F549DC">
        <w:rPr>
          <w:rFonts w:cs="Arial"/>
          <w:sz w:val="23"/>
          <w:szCs w:val="23"/>
          <w:vertAlign w:val="superscript"/>
        </w:rPr>
        <w:t>2</w:t>
      </w:r>
      <w:r w:rsidRPr="00F549DC">
        <w:rPr>
          <w:rFonts w:cs="Arial"/>
          <w:sz w:val="23"/>
          <w:szCs w:val="23"/>
        </w:rPr>
        <w:t>Esso vota per appello nominale o per voto segreto se sarà deciso a maggioranza dei votanti prima di ogni votazione.</w:t>
      </w:r>
    </w:p>
    <w:p w:rsidR="006946BE" w:rsidRPr="00F549DC" w:rsidRDefault="006946BE" w:rsidP="006946BE">
      <w:pPr>
        <w:pStyle w:val="Art"/>
        <w:ind w:left="0"/>
        <w:rPr>
          <w:rFonts w:cs="Arial"/>
          <w:sz w:val="23"/>
          <w:szCs w:val="23"/>
        </w:rPr>
      </w:pPr>
      <w:r w:rsidRPr="00F549DC">
        <w:rPr>
          <w:rFonts w:cs="Arial"/>
          <w:sz w:val="23"/>
          <w:szCs w:val="23"/>
          <w:vertAlign w:val="superscript"/>
        </w:rPr>
        <w:t>3</w:t>
      </w:r>
      <w:r w:rsidRPr="00F549DC">
        <w:rPr>
          <w:rFonts w:cs="Arial"/>
          <w:sz w:val="23"/>
          <w:szCs w:val="23"/>
        </w:rPr>
        <w:t>In materia di concessione dell’attinenza comunale e di nomine di competenza il sistema di voto è disciplinato dal regolamento comunale; sono riservati i casi in cui la legge prescrive il sistema.</w:t>
      </w:r>
    </w:p>
    <w:p w:rsidR="006946BE" w:rsidRPr="00F549DC" w:rsidRDefault="006946BE" w:rsidP="006946BE">
      <w:pPr>
        <w:pStyle w:val="Art"/>
        <w:ind w:left="0"/>
        <w:rPr>
          <w:rFonts w:cs="Arial"/>
          <w:sz w:val="23"/>
          <w:szCs w:val="23"/>
        </w:rPr>
      </w:pPr>
    </w:p>
    <w:p w:rsidR="006946BE" w:rsidRPr="001D6403" w:rsidRDefault="006946BE" w:rsidP="006946BE">
      <w:pPr>
        <w:pStyle w:val="Corpotesto"/>
        <w:spacing w:after="160"/>
        <w:ind w:right="4309"/>
        <w:rPr>
          <w:rFonts w:cs="Arial"/>
          <w:b/>
          <w:i w:val="0"/>
          <w:sz w:val="23"/>
          <w:szCs w:val="23"/>
        </w:rPr>
      </w:pPr>
      <w:r w:rsidRPr="001D6403">
        <w:rPr>
          <w:rFonts w:cs="Arial"/>
          <w:b/>
          <w:i w:val="0"/>
          <w:sz w:val="23"/>
          <w:szCs w:val="23"/>
        </w:rPr>
        <w:t>Modifica</w:t>
      </w:r>
    </w:p>
    <w:p w:rsidR="006946BE" w:rsidRPr="001D6403" w:rsidRDefault="006946BE" w:rsidP="006946BE">
      <w:pPr>
        <w:pStyle w:val="Corpotesto"/>
        <w:spacing w:after="120"/>
        <w:ind w:right="187"/>
        <w:rPr>
          <w:rFonts w:cs="Arial"/>
          <w:i w:val="0"/>
          <w:sz w:val="23"/>
          <w:szCs w:val="23"/>
        </w:rPr>
      </w:pPr>
      <w:r w:rsidRPr="001D6403">
        <w:rPr>
          <w:rFonts w:cs="Arial"/>
          <w:i w:val="0"/>
          <w:sz w:val="23"/>
          <w:szCs w:val="23"/>
          <w:vertAlign w:val="superscript"/>
        </w:rPr>
        <w:t>1</w:t>
      </w:r>
      <w:r w:rsidRPr="001D6403">
        <w:rPr>
          <w:rFonts w:cs="Arial"/>
          <w:i w:val="0"/>
          <w:sz w:val="23"/>
          <w:szCs w:val="23"/>
        </w:rPr>
        <w:t>Invariato</w:t>
      </w:r>
    </w:p>
    <w:p w:rsidR="006946BE" w:rsidRPr="001D6403" w:rsidRDefault="006946BE" w:rsidP="006946BE">
      <w:pPr>
        <w:pStyle w:val="Corpotesto"/>
        <w:spacing w:after="120"/>
        <w:ind w:right="187"/>
        <w:rPr>
          <w:rFonts w:cs="Arial"/>
          <w:i w:val="0"/>
          <w:sz w:val="23"/>
          <w:szCs w:val="23"/>
        </w:rPr>
      </w:pPr>
      <w:r w:rsidRPr="001D6403">
        <w:rPr>
          <w:rFonts w:cs="Arial"/>
          <w:i w:val="0"/>
          <w:sz w:val="23"/>
          <w:szCs w:val="23"/>
          <w:vertAlign w:val="superscript"/>
        </w:rPr>
        <w:t>2</w:t>
      </w:r>
      <w:r w:rsidRPr="001D6403">
        <w:rPr>
          <w:rFonts w:cs="Arial"/>
          <w:i w:val="0"/>
          <w:sz w:val="23"/>
          <w:szCs w:val="23"/>
        </w:rPr>
        <w:t>Invariato</w:t>
      </w:r>
    </w:p>
    <w:p w:rsidR="006946BE" w:rsidRPr="00F549DC" w:rsidRDefault="006946BE" w:rsidP="006946BE">
      <w:pPr>
        <w:pStyle w:val="Art"/>
        <w:spacing w:after="120"/>
        <w:ind w:left="0"/>
        <w:rPr>
          <w:rFonts w:cs="Arial"/>
          <w:sz w:val="23"/>
          <w:szCs w:val="23"/>
        </w:rPr>
      </w:pPr>
      <w:r w:rsidRPr="00F549DC">
        <w:rPr>
          <w:rFonts w:cs="Arial"/>
          <w:sz w:val="23"/>
          <w:szCs w:val="23"/>
          <w:vertAlign w:val="superscript"/>
        </w:rPr>
        <w:t>3</w:t>
      </w:r>
      <w:r w:rsidRPr="00F549DC">
        <w:rPr>
          <w:rFonts w:cs="Arial"/>
          <w:sz w:val="23"/>
          <w:szCs w:val="23"/>
        </w:rPr>
        <w:t>In materia di nomine di competenza il sistema di voto è disciplinato dal regolamento comunale; sono riservati i casi in cui la legge prescrive il sistema.</w:t>
      </w:r>
    </w:p>
    <w:p w:rsidR="006946BE" w:rsidRPr="00F549DC" w:rsidRDefault="006946BE" w:rsidP="006946BE">
      <w:pPr>
        <w:pStyle w:val="Art"/>
        <w:ind w:left="0"/>
        <w:rPr>
          <w:rFonts w:cs="Arial"/>
          <w:b/>
          <w:sz w:val="23"/>
          <w:szCs w:val="23"/>
        </w:rPr>
      </w:pPr>
      <w:r w:rsidRPr="00F549DC">
        <w:rPr>
          <w:rFonts w:cs="Arial"/>
          <w:b/>
          <w:sz w:val="23"/>
          <w:szCs w:val="23"/>
          <w:vertAlign w:val="superscript"/>
        </w:rPr>
        <w:t>4</w:t>
      </w:r>
      <w:r w:rsidRPr="00F549DC">
        <w:rPr>
          <w:rFonts w:cs="Arial"/>
          <w:b/>
          <w:sz w:val="23"/>
          <w:szCs w:val="23"/>
        </w:rPr>
        <w:t>(nuovo) In materia di concessione dell’attinenza comunale il Consiglio comunale si esprime per voto segreto.</w:t>
      </w:r>
    </w:p>
    <w:p w:rsidR="006946BE" w:rsidRDefault="006946BE" w:rsidP="006946BE">
      <w:pPr>
        <w:pStyle w:val="Corpotesto"/>
        <w:rPr>
          <w:rFonts w:cs="Arial"/>
          <w:sz w:val="23"/>
          <w:szCs w:val="23"/>
        </w:rPr>
      </w:pPr>
    </w:p>
    <w:p w:rsidR="006946BE" w:rsidRPr="00734109" w:rsidRDefault="006946BE" w:rsidP="006946BE">
      <w:pPr>
        <w:pStyle w:val="Corpotesto"/>
        <w:spacing w:after="160"/>
        <w:ind w:right="4309"/>
        <w:rPr>
          <w:rFonts w:cs="Arial"/>
          <w:b/>
          <w:i w:val="0"/>
          <w:sz w:val="23"/>
          <w:szCs w:val="23"/>
        </w:rPr>
      </w:pPr>
      <w:r w:rsidRPr="00734109">
        <w:rPr>
          <w:rFonts w:cs="Arial"/>
          <w:b/>
          <w:i w:val="0"/>
          <w:sz w:val="23"/>
          <w:szCs w:val="23"/>
        </w:rPr>
        <w:t>Motivazione</w:t>
      </w: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 xml:space="preserve">Il voto palese in materia di concessione dell’attinenza comunale espone il Consigliere comunale a possibili ricatti e rappresaglie da parte dei </w:t>
      </w:r>
      <w:smartTag w:uri="urn:schemas-microsoft-com:office:smarttags" w:element="PersonName">
        <w:r w:rsidRPr="00734109">
          <w:rPr>
            <w:rFonts w:cs="Arial"/>
            <w:i w:val="0"/>
            <w:sz w:val="23"/>
            <w:szCs w:val="23"/>
          </w:rPr>
          <w:t>can</w:t>
        </w:r>
      </w:smartTag>
      <w:r w:rsidRPr="00734109">
        <w:rPr>
          <w:rFonts w:cs="Arial"/>
          <w:i w:val="0"/>
          <w:sz w:val="23"/>
          <w:szCs w:val="23"/>
        </w:rPr>
        <w:t xml:space="preserve">didati respinti. </w:t>
      </w: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 xml:space="preserve">Rappresenta pertanto un ostacolo all’espressione di quella che è la reale volontà del Consigliere comunale. </w:t>
      </w: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>Questa situazione non garantisce un corretto esercizio democratico: quest’ultimo deve avvenire nella massima serenità possibile e in assenza di pressioni esterne; una condizione che sarà data solo se il voto segreto in materia di concessione dell’attinenza comunale verrà sancito quale regola di legge, così come chiesto dalla presente iniziativa parlamentare elaborata.</w:t>
      </w:r>
    </w:p>
    <w:p w:rsidR="006946BE" w:rsidRPr="00734109" w:rsidRDefault="006946BE" w:rsidP="006946BE">
      <w:pPr>
        <w:pStyle w:val="Art"/>
        <w:ind w:left="0" w:right="-82"/>
        <w:rPr>
          <w:rFonts w:cs="Arial"/>
          <w:sz w:val="23"/>
          <w:szCs w:val="23"/>
        </w:rPr>
      </w:pPr>
    </w:p>
    <w:p w:rsidR="006946BE" w:rsidRPr="00734109" w:rsidRDefault="006946BE" w:rsidP="006946BE">
      <w:pPr>
        <w:pStyle w:val="Art"/>
        <w:ind w:left="0" w:right="-82"/>
        <w:rPr>
          <w:rFonts w:cs="Arial"/>
          <w:sz w:val="23"/>
          <w:szCs w:val="23"/>
        </w:rPr>
      </w:pPr>
    </w:p>
    <w:p w:rsidR="006946BE" w:rsidRPr="00734109" w:rsidRDefault="006946BE" w:rsidP="006946BE">
      <w:pPr>
        <w:pStyle w:val="Corpotesto"/>
        <w:rPr>
          <w:rFonts w:cs="Arial"/>
          <w:i w:val="0"/>
          <w:sz w:val="23"/>
          <w:szCs w:val="23"/>
        </w:rPr>
      </w:pPr>
      <w:r w:rsidRPr="00734109">
        <w:rPr>
          <w:rFonts w:cs="Arial"/>
          <w:i w:val="0"/>
          <w:sz w:val="23"/>
          <w:szCs w:val="23"/>
        </w:rPr>
        <w:t>Boris Bignasca</w:t>
      </w:r>
    </w:p>
    <w:p w:rsidR="008D6D20" w:rsidRPr="006946BE" w:rsidRDefault="006946BE" w:rsidP="006946BE">
      <w:r w:rsidRPr="00734109">
        <w:rPr>
          <w:rFonts w:cs="Arial"/>
          <w:i/>
          <w:sz w:val="23"/>
          <w:szCs w:val="23"/>
        </w:rPr>
        <w:t>Lorenzo Quadri</w:t>
      </w:r>
      <w:bookmarkStart w:id="0" w:name="_GoBack"/>
      <w:bookmarkEnd w:id="0"/>
    </w:p>
    <w:sectPr w:rsidR="008D6D20" w:rsidRPr="006946BE" w:rsidSect="00D8250D">
      <w:footerReference w:type="even" r:id="rId8"/>
      <w:pgSz w:w="11906" w:h="16838"/>
      <w:pgMar w:top="1134" w:right="1134" w:bottom="993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6946BE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6946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7145D7"/>
    <w:multiLevelType w:val="hybridMultilevel"/>
    <w:tmpl w:val="956A6DD2"/>
    <w:lvl w:ilvl="0" w:tplc="CEAC1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5B8"/>
    <w:multiLevelType w:val="hybridMultilevel"/>
    <w:tmpl w:val="F07201A8"/>
    <w:lvl w:ilvl="0" w:tplc="E068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831B2"/>
    <w:multiLevelType w:val="hybridMultilevel"/>
    <w:tmpl w:val="8F36A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B2E"/>
    <w:multiLevelType w:val="hybridMultilevel"/>
    <w:tmpl w:val="177428E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65EC2"/>
    <w:multiLevelType w:val="hybridMultilevel"/>
    <w:tmpl w:val="422276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421CC"/>
    <w:multiLevelType w:val="hybridMultilevel"/>
    <w:tmpl w:val="9DFC39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1B212D"/>
    <w:multiLevelType w:val="hybridMultilevel"/>
    <w:tmpl w:val="1BB44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291"/>
    <w:multiLevelType w:val="hybridMultilevel"/>
    <w:tmpl w:val="F2483D82"/>
    <w:lvl w:ilvl="0" w:tplc="A5F2E2A8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BBC09CE"/>
    <w:multiLevelType w:val="hybridMultilevel"/>
    <w:tmpl w:val="9B9672C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14738"/>
    <w:multiLevelType w:val="hybridMultilevel"/>
    <w:tmpl w:val="9DD463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F5670"/>
    <w:multiLevelType w:val="hybridMultilevel"/>
    <w:tmpl w:val="C65C29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4162F"/>
    <w:multiLevelType w:val="hybridMultilevel"/>
    <w:tmpl w:val="780CDE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 w15:restartNumberingAfterBreak="0">
    <w:nsid w:val="7BC502D4"/>
    <w:multiLevelType w:val="hybridMultilevel"/>
    <w:tmpl w:val="3EFCB50C"/>
    <w:lvl w:ilvl="0" w:tplc="44945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5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1A7DEE"/>
    <w:rsid w:val="0023025B"/>
    <w:rsid w:val="002A4FB0"/>
    <w:rsid w:val="002C7001"/>
    <w:rsid w:val="002E48E5"/>
    <w:rsid w:val="003136CA"/>
    <w:rsid w:val="00320A4C"/>
    <w:rsid w:val="003460D4"/>
    <w:rsid w:val="003D02D2"/>
    <w:rsid w:val="00487A99"/>
    <w:rsid w:val="0058257A"/>
    <w:rsid w:val="00636749"/>
    <w:rsid w:val="00663B24"/>
    <w:rsid w:val="006946BE"/>
    <w:rsid w:val="006F5B90"/>
    <w:rsid w:val="007651F5"/>
    <w:rsid w:val="0077356E"/>
    <w:rsid w:val="00781FE5"/>
    <w:rsid w:val="00851472"/>
    <w:rsid w:val="008D3E71"/>
    <w:rsid w:val="008D6D20"/>
    <w:rsid w:val="00923C0A"/>
    <w:rsid w:val="00950CE5"/>
    <w:rsid w:val="009853E7"/>
    <w:rsid w:val="00996E9D"/>
    <w:rsid w:val="00A0618A"/>
    <w:rsid w:val="00A51299"/>
    <w:rsid w:val="00B75F73"/>
    <w:rsid w:val="00BD4A4B"/>
    <w:rsid w:val="00C141C4"/>
    <w:rsid w:val="00CE40E1"/>
    <w:rsid w:val="00D14731"/>
    <w:rsid w:val="00D61224"/>
    <w:rsid w:val="00D8250D"/>
    <w:rsid w:val="00EC443A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2019-12-09T14:45:00Z</cp:lastPrinted>
  <dcterms:created xsi:type="dcterms:W3CDTF">2019-12-09T14:46:00Z</dcterms:created>
  <dcterms:modified xsi:type="dcterms:W3CDTF">2019-12-09T14:46:00Z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