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A3" w:rsidRPr="00CB6AA3" w:rsidRDefault="00CB6AA3" w:rsidP="00CB6AA3">
      <w:pPr>
        <w:spacing w:after="120"/>
        <w:jc w:val="both"/>
        <w:rPr>
          <w:rFonts w:cs="Arial"/>
          <w:b/>
          <w:sz w:val="23"/>
          <w:szCs w:val="23"/>
          <w:lang w:val="pt-PT"/>
        </w:rPr>
      </w:pPr>
      <w:r w:rsidRPr="00CB6AA3">
        <w:rPr>
          <w:rFonts w:cs="Arial"/>
          <w:b/>
          <w:sz w:val="23"/>
          <w:szCs w:val="23"/>
          <w:lang w:val="pt-PT"/>
        </w:rPr>
        <w:t>INTERPELLANZA</w:t>
      </w:r>
    </w:p>
    <w:p w:rsidR="00CB6AA3" w:rsidRPr="00CB6AA3" w:rsidRDefault="00CB6AA3" w:rsidP="00CB6AA3">
      <w:pPr>
        <w:jc w:val="both"/>
        <w:rPr>
          <w:rFonts w:cs="Arial"/>
          <w:sz w:val="23"/>
          <w:szCs w:val="23"/>
          <w:lang w:val="pt-PT"/>
        </w:rPr>
      </w:pPr>
    </w:p>
    <w:p w:rsidR="00CB6AA3" w:rsidRPr="00CB6AA3" w:rsidRDefault="00CB6AA3" w:rsidP="00CB6AA3">
      <w:pPr>
        <w:spacing w:line="360" w:lineRule="auto"/>
        <w:jc w:val="both"/>
        <w:rPr>
          <w:rFonts w:cs="Arial"/>
          <w:b/>
          <w:sz w:val="23"/>
          <w:szCs w:val="23"/>
          <w:u w:val="single"/>
        </w:rPr>
      </w:pPr>
      <w:r w:rsidRPr="00CB6AA3">
        <w:rPr>
          <w:rFonts w:cs="Arial"/>
          <w:b/>
          <w:sz w:val="23"/>
          <w:szCs w:val="23"/>
          <w:u w:val="single"/>
        </w:rPr>
        <w:t>Discarica abusiva copertoni Riazzino: è possibile un risanamento in tempi brevi per evitare altri rischi?</w:t>
      </w:r>
    </w:p>
    <w:p w:rsidR="00CB6AA3" w:rsidRPr="00CB6AA3" w:rsidRDefault="00CB6AA3" w:rsidP="00CB6AA3">
      <w:pPr>
        <w:jc w:val="both"/>
        <w:rPr>
          <w:rFonts w:cs="Arial"/>
          <w:sz w:val="23"/>
          <w:szCs w:val="23"/>
        </w:rPr>
      </w:pPr>
    </w:p>
    <w:p w:rsidR="00CB6AA3" w:rsidRPr="00CB6AA3" w:rsidRDefault="00CB6AA3" w:rsidP="00CB6AA3">
      <w:pPr>
        <w:jc w:val="both"/>
        <w:rPr>
          <w:rFonts w:cs="Arial"/>
          <w:sz w:val="23"/>
          <w:szCs w:val="23"/>
        </w:rPr>
      </w:pPr>
      <w:r w:rsidRPr="00CB6AA3">
        <w:rPr>
          <w:rFonts w:cs="Arial"/>
          <w:sz w:val="23"/>
          <w:szCs w:val="23"/>
        </w:rPr>
        <w:t>del 29 gennaio 2007</w:t>
      </w:r>
    </w:p>
    <w:p w:rsidR="00CB6AA3" w:rsidRPr="00CB6AA3" w:rsidRDefault="00CB6AA3" w:rsidP="00CB6AA3">
      <w:pPr>
        <w:jc w:val="both"/>
        <w:rPr>
          <w:rFonts w:cs="Arial"/>
          <w:sz w:val="23"/>
          <w:szCs w:val="23"/>
        </w:rPr>
      </w:pPr>
    </w:p>
    <w:p w:rsidR="00CB6AA3" w:rsidRPr="00CB6AA3" w:rsidRDefault="00CB6AA3" w:rsidP="00CB6AA3">
      <w:pPr>
        <w:jc w:val="both"/>
        <w:rPr>
          <w:rFonts w:cs="Arial"/>
          <w:sz w:val="23"/>
          <w:szCs w:val="23"/>
        </w:rPr>
      </w:pPr>
    </w:p>
    <w:p w:rsidR="00CB6AA3" w:rsidRPr="00CB6AA3" w:rsidRDefault="00CB6AA3" w:rsidP="00CB6AA3">
      <w:pPr>
        <w:jc w:val="both"/>
        <w:rPr>
          <w:rFonts w:cs="Arial"/>
          <w:i/>
          <w:sz w:val="23"/>
          <w:szCs w:val="23"/>
        </w:rPr>
      </w:pPr>
      <w:r w:rsidRPr="00CB6AA3">
        <w:rPr>
          <w:rFonts w:cs="Arial"/>
          <w:sz w:val="23"/>
          <w:szCs w:val="23"/>
        </w:rPr>
        <w:t xml:space="preserve">In data 19 dicembre, rispondendo alla mia interrogazione parlamentare sul tema oggetto della presente interpellanza, il Governo scriveva: </w:t>
      </w:r>
      <w:r w:rsidRPr="00CB6AA3">
        <w:rPr>
          <w:rFonts w:ascii="Verdana" w:hAnsi="Verdana" w:cs="Arial"/>
          <w:i/>
          <w:sz w:val="23"/>
          <w:szCs w:val="23"/>
        </w:rPr>
        <w:t>«</w:t>
      </w:r>
      <w:r w:rsidRPr="00CB6AA3">
        <w:rPr>
          <w:rFonts w:cs="Arial"/>
          <w:i/>
          <w:sz w:val="23"/>
          <w:szCs w:val="23"/>
        </w:rPr>
        <w:t>Dopo l’incendio, evidentemente nel terreno sono penetrate le acque di spegnimento per cui ora quel sedime è sicuramente inquinato. Non appena liberato dai rifiuti che ancora lo occupano, come già indicato a più riprese, si provvederà ad eseguire le necessarie indagini per determinare il grado di inquinamento. In base ai risultati dell’indagine preliminare il sito sarà valutato ai sensi dell’OSiti e verrà decisa l’ulteriore procedura […] L’inchiesta dovrà stabilire le cause e le responsabilità in relazione con l’incendio.</w:t>
      </w:r>
    </w:p>
    <w:p w:rsidR="00CB6AA3" w:rsidRPr="00CB6AA3" w:rsidRDefault="00CB6AA3" w:rsidP="00CB6AA3">
      <w:pPr>
        <w:jc w:val="both"/>
        <w:rPr>
          <w:rFonts w:cs="Arial"/>
          <w:i/>
          <w:sz w:val="23"/>
          <w:szCs w:val="23"/>
        </w:rPr>
      </w:pPr>
      <w:r w:rsidRPr="00CB6AA3">
        <w:rPr>
          <w:rFonts w:cs="Arial"/>
          <w:i/>
          <w:sz w:val="23"/>
          <w:szCs w:val="23"/>
        </w:rPr>
        <w:t>In termini generali sia il proprietario del sedime, sia il Comune di Locarno, in seconda battuta, sono comunque responsabili di una situazione non conforme alle normative. Le valutazioni sono ancora in corso. I costi saranno ripartiti di conseguenza</w:t>
      </w:r>
      <w:r w:rsidRPr="00CB6AA3">
        <w:rPr>
          <w:rFonts w:ascii="Verdana" w:hAnsi="Verdana" w:cs="Arial"/>
          <w:i/>
          <w:sz w:val="23"/>
          <w:szCs w:val="23"/>
        </w:rPr>
        <w:t>»</w:t>
      </w:r>
      <w:r w:rsidRPr="00CB6AA3">
        <w:rPr>
          <w:rFonts w:cs="Arial"/>
          <w:i/>
          <w:sz w:val="23"/>
          <w:szCs w:val="23"/>
        </w:rPr>
        <w:t>.</w:t>
      </w:r>
    </w:p>
    <w:p w:rsidR="00CB6AA3" w:rsidRPr="00CB6AA3" w:rsidRDefault="00CB6AA3" w:rsidP="00CB6AA3">
      <w:pPr>
        <w:jc w:val="both"/>
        <w:rPr>
          <w:rFonts w:cs="Arial"/>
          <w:i/>
          <w:sz w:val="23"/>
          <w:szCs w:val="23"/>
        </w:rPr>
      </w:pPr>
    </w:p>
    <w:p w:rsidR="00CB6AA3" w:rsidRPr="00CB6AA3" w:rsidRDefault="00CB6AA3" w:rsidP="00CB6AA3">
      <w:pPr>
        <w:jc w:val="both"/>
        <w:rPr>
          <w:rFonts w:cs="Arial"/>
          <w:sz w:val="23"/>
          <w:szCs w:val="23"/>
        </w:rPr>
      </w:pPr>
      <w:r w:rsidRPr="00CB6AA3">
        <w:rPr>
          <w:rFonts w:cs="Arial"/>
          <w:sz w:val="23"/>
          <w:szCs w:val="23"/>
        </w:rPr>
        <w:t>Dalla lettura di queste affermazioni si poteva presumere che lo sgombero e il conseguente risanamento sarebbero avvenuti in tempi relativamente brevi.</w:t>
      </w:r>
    </w:p>
    <w:p w:rsidR="00CB6AA3" w:rsidRPr="00CB6AA3" w:rsidRDefault="00CB6AA3" w:rsidP="00CB6AA3">
      <w:pPr>
        <w:jc w:val="both"/>
        <w:rPr>
          <w:rFonts w:cs="Arial"/>
          <w:sz w:val="23"/>
          <w:szCs w:val="23"/>
        </w:rPr>
      </w:pPr>
    </w:p>
    <w:p w:rsidR="00CB6AA3" w:rsidRPr="00CB6AA3" w:rsidRDefault="00CB6AA3" w:rsidP="00CB6AA3">
      <w:pPr>
        <w:jc w:val="both"/>
        <w:rPr>
          <w:rFonts w:cs="Arial"/>
          <w:sz w:val="23"/>
          <w:szCs w:val="23"/>
        </w:rPr>
      </w:pPr>
      <w:r w:rsidRPr="00CB6AA3">
        <w:rPr>
          <w:rFonts w:cs="Arial"/>
          <w:sz w:val="23"/>
          <w:szCs w:val="23"/>
        </w:rPr>
        <w:t>In occasione dell’incontro avvenuto il 18 gennaio tra il Direttore del Dipartimento del territorio e i rappresentanti di 5 Comuni della regione pare sia invece stato affermato che prima di procedere allo sgombero e al risanamento del sito si attenderanno gli esiti delle indagini della procura pubblica che dovrà definire le responsabilità, e quindi chi sarà tenuto a pagare.</w:t>
      </w:r>
    </w:p>
    <w:p w:rsidR="00CB6AA3" w:rsidRPr="00CB6AA3" w:rsidRDefault="00CB6AA3" w:rsidP="00CB6AA3">
      <w:pPr>
        <w:jc w:val="both"/>
        <w:rPr>
          <w:rFonts w:cs="Arial"/>
          <w:sz w:val="23"/>
          <w:szCs w:val="23"/>
        </w:rPr>
      </w:pPr>
    </w:p>
    <w:p w:rsidR="00CB6AA3" w:rsidRPr="00CB6AA3" w:rsidRDefault="00CB6AA3" w:rsidP="00CB6AA3">
      <w:pPr>
        <w:jc w:val="both"/>
        <w:rPr>
          <w:rFonts w:cs="Arial"/>
          <w:sz w:val="23"/>
          <w:szCs w:val="23"/>
        </w:rPr>
      </w:pPr>
      <w:r w:rsidRPr="00CB6AA3">
        <w:rPr>
          <w:rFonts w:cs="Arial"/>
          <w:sz w:val="23"/>
          <w:szCs w:val="23"/>
        </w:rPr>
        <w:t>Considerato il perdurare della situazione illegale, nonostante le intimazioni di sgombero e la mancata licenza edilizia, se si crede alla necessità di sgombero e di risanamento, sarebbe auspicabile un intervento tempestivo del Cantone, che poi sulla base delle decisioni della Procura potrà farsi risarcire da chi sarà ritenuto responsabile. In caso contrario si arrischia di rimanere nella situazione attuale ancora per molti anni.</w:t>
      </w:r>
    </w:p>
    <w:p w:rsidR="00CB6AA3" w:rsidRPr="00CB6AA3" w:rsidRDefault="00CB6AA3" w:rsidP="00CB6AA3">
      <w:pPr>
        <w:jc w:val="both"/>
        <w:rPr>
          <w:rFonts w:cs="Arial"/>
          <w:sz w:val="23"/>
          <w:szCs w:val="23"/>
        </w:rPr>
      </w:pPr>
    </w:p>
    <w:p w:rsidR="00CB6AA3" w:rsidRPr="00CB6AA3" w:rsidRDefault="00CB6AA3" w:rsidP="00CB6AA3">
      <w:pPr>
        <w:jc w:val="both"/>
        <w:rPr>
          <w:rFonts w:cs="Arial"/>
          <w:sz w:val="23"/>
          <w:szCs w:val="23"/>
        </w:rPr>
      </w:pPr>
      <w:r w:rsidRPr="00CB6AA3">
        <w:rPr>
          <w:rFonts w:cs="Arial"/>
          <w:sz w:val="23"/>
          <w:szCs w:val="23"/>
        </w:rPr>
        <w:t>Fatte queste brevi premesse, mi permetto di chiedere al Consiglio di Stato:</w:t>
      </w:r>
    </w:p>
    <w:p w:rsidR="00CB6AA3" w:rsidRPr="00CB6AA3" w:rsidRDefault="00CB6AA3" w:rsidP="00CB6AA3">
      <w:pPr>
        <w:jc w:val="both"/>
        <w:rPr>
          <w:rFonts w:cs="Arial"/>
          <w:sz w:val="23"/>
          <w:szCs w:val="23"/>
        </w:rPr>
      </w:pPr>
    </w:p>
    <w:p w:rsidR="00CB6AA3" w:rsidRPr="00CB6AA3" w:rsidRDefault="00CB6AA3" w:rsidP="00CB6AA3">
      <w:pPr>
        <w:numPr>
          <w:ilvl w:val="0"/>
          <w:numId w:val="20"/>
        </w:numPr>
        <w:ind w:left="360"/>
        <w:jc w:val="both"/>
        <w:rPr>
          <w:rFonts w:cs="Arial"/>
          <w:sz w:val="23"/>
          <w:szCs w:val="23"/>
        </w:rPr>
      </w:pPr>
      <w:r w:rsidRPr="00CB6AA3">
        <w:rPr>
          <w:rFonts w:cs="Arial"/>
          <w:sz w:val="23"/>
          <w:szCs w:val="23"/>
        </w:rPr>
        <w:t>se ritiene di intervenire in tempi brevi procedendo allo sgombero dei copertoni ancora presenti e al conseguente risanamento del sito facendosi poi rimborsare le spese da chi sarà considerato responsabile della situazione.</w:t>
      </w:r>
    </w:p>
    <w:p w:rsidR="00CB6AA3" w:rsidRPr="00CB6AA3" w:rsidRDefault="00CB6AA3" w:rsidP="00CB6AA3">
      <w:pPr>
        <w:jc w:val="both"/>
        <w:rPr>
          <w:rFonts w:cs="Arial"/>
          <w:sz w:val="23"/>
          <w:szCs w:val="23"/>
        </w:rPr>
      </w:pPr>
    </w:p>
    <w:p w:rsidR="00CB6AA3" w:rsidRPr="00CB6AA3" w:rsidRDefault="00CB6AA3" w:rsidP="00CB6AA3">
      <w:pPr>
        <w:numPr>
          <w:ilvl w:val="0"/>
          <w:numId w:val="20"/>
        </w:numPr>
        <w:jc w:val="both"/>
        <w:rPr>
          <w:rFonts w:cs="Arial"/>
          <w:sz w:val="23"/>
          <w:szCs w:val="23"/>
        </w:rPr>
      </w:pPr>
      <w:r w:rsidRPr="00CB6AA3">
        <w:rPr>
          <w:rFonts w:cs="Arial"/>
          <w:sz w:val="23"/>
          <w:szCs w:val="23"/>
        </w:rPr>
        <w:t>Se sì: entro quali termini temporali pensa che potrà risolversi questa situazione?</w:t>
      </w:r>
    </w:p>
    <w:p w:rsidR="00CB6AA3" w:rsidRPr="00CB6AA3" w:rsidRDefault="00CB6AA3" w:rsidP="00CB6AA3">
      <w:pPr>
        <w:jc w:val="both"/>
        <w:rPr>
          <w:rFonts w:cs="Arial"/>
          <w:sz w:val="23"/>
          <w:szCs w:val="23"/>
        </w:rPr>
      </w:pPr>
    </w:p>
    <w:p w:rsidR="00CB6AA3" w:rsidRPr="00CB6AA3" w:rsidRDefault="00CB6AA3" w:rsidP="00CB6AA3">
      <w:pPr>
        <w:numPr>
          <w:ilvl w:val="0"/>
          <w:numId w:val="20"/>
        </w:numPr>
        <w:ind w:left="360"/>
        <w:jc w:val="both"/>
        <w:rPr>
          <w:rFonts w:cs="Arial"/>
          <w:sz w:val="23"/>
          <w:szCs w:val="23"/>
        </w:rPr>
      </w:pPr>
      <w:r w:rsidRPr="00CB6AA3">
        <w:rPr>
          <w:rFonts w:cs="Arial"/>
          <w:sz w:val="23"/>
          <w:szCs w:val="23"/>
        </w:rPr>
        <w:t>Se no: perché? E, sempre in caso di non intervento: si rende conto il Consiglio di Stato che il perdurare dell’attuale situazione comporta un continuo rischio di ulteriori situazioni di pericolo?</w:t>
      </w:r>
    </w:p>
    <w:p w:rsidR="00CB6AA3" w:rsidRPr="00CB6AA3" w:rsidRDefault="00CB6AA3" w:rsidP="00CB6AA3">
      <w:pPr>
        <w:jc w:val="both"/>
        <w:rPr>
          <w:rFonts w:cs="Arial"/>
          <w:sz w:val="23"/>
          <w:szCs w:val="23"/>
        </w:rPr>
      </w:pPr>
    </w:p>
    <w:p w:rsidR="00CB6AA3" w:rsidRPr="00CB6AA3" w:rsidRDefault="00CB6AA3" w:rsidP="00CB6AA3">
      <w:pPr>
        <w:jc w:val="both"/>
        <w:rPr>
          <w:rFonts w:cs="Arial"/>
          <w:sz w:val="23"/>
          <w:szCs w:val="23"/>
        </w:rPr>
      </w:pPr>
    </w:p>
    <w:p w:rsidR="00CB6AA3" w:rsidRPr="00CB6AA3" w:rsidRDefault="00CB6AA3" w:rsidP="00CB6AA3">
      <w:pPr>
        <w:jc w:val="both"/>
        <w:rPr>
          <w:rFonts w:cs="Arial"/>
          <w:sz w:val="23"/>
          <w:szCs w:val="23"/>
        </w:rPr>
      </w:pPr>
      <w:r w:rsidRPr="00CB6AA3">
        <w:rPr>
          <w:rFonts w:cs="Arial"/>
          <w:sz w:val="23"/>
          <w:szCs w:val="23"/>
        </w:rPr>
        <w:t xml:space="preserve">Fiamma Pelossi </w:t>
      </w:r>
    </w:p>
    <w:p w:rsidR="00CB6AA3" w:rsidRPr="00CB6AA3" w:rsidRDefault="00CB6AA3" w:rsidP="00CB6AA3">
      <w:pPr>
        <w:jc w:val="both"/>
        <w:rPr>
          <w:rFonts w:cs="Arial"/>
          <w:sz w:val="23"/>
          <w:szCs w:val="23"/>
        </w:rPr>
      </w:pPr>
      <w:r w:rsidRPr="00CB6AA3">
        <w:rPr>
          <w:rFonts w:cs="Arial"/>
          <w:sz w:val="23"/>
          <w:szCs w:val="23"/>
        </w:rPr>
        <w:t>Beretta-Piccoli F. - Canonica G. - Carobbio W. -</w:t>
      </w:r>
    </w:p>
    <w:p w:rsidR="00CB6AA3" w:rsidRPr="00CB6AA3" w:rsidRDefault="00CB6AA3" w:rsidP="00CB6AA3">
      <w:pPr>
        <w:jc w:val="both"/>
        <w:rPr>
          <w:rFonts w:cs="Arial"/>
          <w:sz w:val="23"/>
          <w:szCs w:val="23"/>
        </w:rPr>
      </w:pPr>
      <w:r w:rsidRPr="00CB6AA3">
        <w:rPr>
          <w:rFonts w:cs="Arial"/>
          <w:sz w:val="23"/>
          <w:szCs w:val="23"/>
        </w:rPr>
        <w:t>Cavalli - Ferrari C. - Ferrari M. - Ghisletta R. -</w:t>
      </w:r>
    </w:p>
    <w:p w:rsidR="00BD04FA" w:rsidRPr="00BD04FA" w:rsidRDefault="00CB6AA3" w:rsidP="00CB6AA3">
      <w:pPr>
        <w:jc w:val="both"/>
      </w:pPr>
      <w:r w:rsidRPr="00CB6AA3">
        <w:rPr>
          <w:rFonts w:cs="Arial"/>
          <w:sz w:val="23"/>
          <w:szCs w:val="23"/>
        </w:rPr>
        <w:t>Lurati - Orelli Vassere - Pestoni - Truaisch</w:t>
      </w:r>
      <w:bookmarkStart w:id="0" w:name="_GoBack"/>
      <w:bookmarkEnd w:id="0"/>
    </w:p>
    <w:sectPr w:rsidR="00BD04FA" w:rsidRPr="00BD04FA" w:rsidSect="00EB042D">
      <w:footerReference w:type="even" r:id="rId8"/>
      <w:footerReference w:type="default" r:id="rId9"/>
      <w:pgSz w:w="11906" w:h="16838" w:code="9"/>
      <w:pgMar w:top="1701" w:right="849" w:bottom="1418" w:left="1134" w:header="851" w:footer="595"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D2" w:rsidRDefault="002078D2">
      <w:r>
        <w:separator/>
      </w:r>
    </w:p>
  </w:endnote>
  <w:endnote w:type="continuationSeparator" w:id="0">
    <w:p w:rsidR="002078D2" w:rsidRDefault="002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Default="006C3F94" w:rsidP="00AC1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3F94" w:rsidRDefault="006C3F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Pr="00D03F4C" w:rsidRDefault="006C3F94" w:rsidP="00AC148B">
    <w:pPr>
      <w:pStyle w:val="Pidipagina"/>
      <w:framePr w:wrap="around" w:vAnchor="text" w:hAnchor="margin" w:xAlign="center" w:y="1"/>
      <w:rPr>
        <w:rStyle w:val="Numeropagina"/>
        <w:rFonts w:ascii="Arial" w:hAnsi="Arial" w:cs="Arial"/>
        <w:sz w:val="22"/>
        <w:szCs w:val="22"/>
      </w:rPr>
    </w:pPr>
    <w:r w:rsidRPr="00D03F4C">
      <w:rPr>
        <w:rStyle w:val="Numeropagina"/>
        <w:rFonts w:ascii="Arial" w:hAnsi="Arial" w:cs="Arial"/>
        <w:sz w:val="22"/>
        <w:szCs w:val="22"/>
      </w:rPr>
      <w:fldChar w:fldCharType="begin"/>
    </w:r>
    <w:r w:rsidRPr="00D03F4C">
      <w:rPr>
        <w:rStyle w:val="Numeropagina"/>
        <w:rFonts w:ascii="Arial" w:hAnsi="Arial" w:cs="Arial"/>
        <w:sz w:val="22"/>
        <w:szCs w:val="22"/>
      </w:rPr>
      <w:instrText xml:space="preserve">PAGE  </w:instrText>
    </w:r>
    <w:r w:rsidRPr="00D03F4C">
      <w:rPr>
        <w:rStyle w:val="Numeropagina"/>
        <w:rFonts w:ascii="Arial" w:hAnsi="Arial" w:cs="Arial"/>
        <w:sz w:val="22"/>
        <w:szCs w:val="22"/>
      </w:rPr>
      <w:fldChar w:fldCharType="separate"/>
    </w:r>
    <w:r w:rsidR="00CB6AA3">
      <w:rPr>
        <w:rStyle w:val="Numeropagina"/>
        <w:rFonts w:ascii="Arial" w:hAnsi="Arial" w:cs="Arial"/>
        <w:noProof/>
        <w:sz w:val="22"/>
        <w:szCs w:val="22"/>
      </w:rPr>
      <w:t>1</w:t>
    </w:r>
    <w:r w:rsidRPr="00D03F4C">
      <w:rPr>
        <w:rStyle w:val="Numeropagina"/>
        <w:rFonts w:ascii="Arial" w:hAnsi="Arial" w:cs="Arial"/>
        <w:sz w:val="22"/>
        <w:szCs w:val="22"/>
      </w:rPr>
      <w:fldChar w:fldCharType="end"/>
    </w:r>
  </w:p>
  <w:p w:rsidR="006C3F94" w:rsidRDefault="006C3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D2" w:rsidRDefault="002078D2">
      <w:r>
        <w:separator/>
      </w:r>
    </w:p>
  </w:footnote>
  <w:footnote w:type="continuationSeparator" w:id="0">
    <w:p w:rsidR="002078D2" w:rsidRDefault="0020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CDC"/>
    <w:multiLevelType w:val="hybridMultilevel"/>
    <w:tmpl w:val="6B38C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0597"/>
    <w:multiLevelType w:val="hybridMultilevel"/>
    <w:tmpl w:val="BBDC91B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30DF4"/>
    <w:multiLevelType w:val="hybridMultilevel"/>
    <w:tmpl w:val="08643D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8733A"/>
    <w:multiLevelType w:val="hybridMultilevel"/>
    <w:tmpl w:val="788C1448"/>
    <w:lvl w:ilvl="0" w:tplc="0410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78EB"/>
    <w:multiLevelType w:val="hybridMultilevel"/>
    <w:tmpl w:val="605E8024"/>
    <w:lvl w:ilvl="0" w:tplc="B4B071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D72D3A"/>
    <w:multiLevelType w:val="hybridMultilevel"/>
    <w:tmpl w:val="B2AE3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70196"/>
    <w:multiLevelType w:val="hybridMultilevel"/>
    <w:tmpl w:val="121C0CF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C94C19"/>
    <w:multiLevelType w:val="hybridMultilevel"/>
    <w:tmpl w:val="337A590C"/>
    <w:lvl w:ilvl="0" w:tplc="9E5A72C6">
      <w:start w:val="1"/>
      <w:numFmt w:val="decimal"/>
      <w:lvlText w:val="%1."/>
      <w:lvlJc w:val="left"/>
      <w:pPr>
        <w:tabs>
          <w:tab w:val="num" w:pos="720"/>
        </w:tabs>
        <w:ind w:left="720" w:hanging="360"/>
      </w:pPr>
      <w:rPr>
        <w:rFonts w:hint="default"/>
        <w:b w:val="0"/>
        <w:i w:val="0"/>
        <w:sz w:val="23"/>
        <w:szCs w:val="23"/>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10" w15:restartNumberingAfterBreak="0">
    <w:nsid w:val="552E2053"/>
    <w:multiLevelType w:val="hybridMultilevel"/>
    <w:tmpl w:val="D4E01288"/>
    <w:lvl w:ilvl="0" w:tplc="9C722FD2">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1" w15:restartNumberingAfterBreak="0">
    <w:nsid w:val="5C614C2B"/>
    <w:multiLevelType w:val="hybridMultilevel"/>
    <w:tmpl w:val="802230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67D5C"/>
    <w:multiLevelType w:val="hybridMultilevel"/>
    <w:tmpl w:val="811227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5EF4A19"/>
    <w:multiLevelType w:val="hybridMultilevel"/>
    <w:tmpl w:val="C35672DA"/>
    <w:lvl w:ilvl="0" w:tplc="B3BA6EE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6F26F5"/>
    <w:multiLevelType w:val="hybridMultilevel"/>
    <w:tmpl w:val="F8F0C5BC"/>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16"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17" w15:restartNumberingAfterBreak="0">
    <w:nsid w:val="767838F1"/>
    <w:multiLevelType w:val="hybridMultilevel"/>
    <w:tmpl w:val="4E5222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9C299E"/>
    <w:multiLevelType w:val="hybridMultilevel"/>
    <w:tmpl w:val="275EBF92"/>
    <w:lvl w:ilvl="0" w:tplc="F7CCE7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num>
  <w:num w:numId="2">
    <w:abstractNumId w:val="16"/>
    <w:lvlOverride w:ilvl="0">
      <w:startOverride w:val="1"/>
    </w:lvlOverride>
  </w:num>
  <w:num w:numId="3">
    <w:abstractNumId w:val="5"/>
  </w:num>
  <w:num w:numId="4">
    <w:abstractNumId w:val="12"/>
  </w:num>
  <w:num w:numId="5">
    <w:abstractNumId w:val="19"/>
  </w:num>
  <w:num w:numId="6">
    <w:abstractNumId w:val="7"/>
  </w:num>
  <w:num w:numId="7">
    <w:abstractNumId w:val="2"/>
  </w:num>
  <w:num w:numId="8">
    <w:abstractNumId w:val="14"/>
  </w:num>
  <w:num w:numId="9">
    <w:abstractNumId w:val="4"/>
  </w:num>
  <w:num w:numId="10">
    <w:abstractNumId w:val="10"/>
  </w:num>
  <w:num w:numId="11">
    <w:abstractNumId w:val="17"/>
  </w:num>
  <w:num w:numId="12">
    <w:abstractNumId w:val="13"/>
  </w:num>
  <w:num w:numId="13">
    <w:abstractNumId w:val="1"/>
  </w:num>
  <w:num w:numId="14">
    <w:abstractNumId w:val="3"/>
  </w:num>
  <w:num w:numId="15">
    <w:abstractNumId w:val="6"/>
  </w:num>
  <w:num w:numId="16">
    <w:abstractNumId w:val="0"/>
  </w:num>
  <w:num w:numId="17">
    <w:abstractNumId w:val="18"/>
  </w:num>
  <w:num w:numId="18">
    <w:abstractNumId w:val="1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24112"/>
    <w:rsid w:val="000705C4"/>
    <w:rsid w:val="000771C3"/>
    <w:rsid w:val="00094E94"/>
    <w:rsid w:val="000B1683"/>
    <w:rsid w:val="000B58BD"/>
    <w:rsid w:val="001864C3"/>
    <w:rsid w:val="001A7DEE"/>
    <w:rsid w:val="002078D2"/>
    <w:rsid w:val="002C7001"/>
    <w:rsid w:val="00381188"/>
    <w:rsid w:val="003D02D2"/>
    <w:rsid w:val="0043344C"/>
    <w:rsid w:val="004C043E"/>
    <w:rsid w:val="00556AF1"/>
    <w:rsid w:val="00580EB3"/>
    <w:rsid w:val="005B75F3"/>
    <w:rsid w:val="006A1276"/>
    <w:rsid w:val="006C1513"/>
    <w:rsid w:val="006C3F94"/>
    <w:rsid w:val="006F5B90"/>
    <w:rsid w:val="00707926"/>
    <w:rsid w:val="0077356E"/>
    <w:rsid w:val="00781FE5"/>
    <w:rsid w:val="00851472"/>
    <w:rsid w:val="008617FE"/>
    <w:rsid w:val="008B20FD"/>
    <w:rsid w:val="008D3E71"/>
    <w:rsid w:val="008F15E6"/>
    <w:rsid w:val="00996E9D"/>
    <w:rsid w:val="009C70AB"/>
    <w:rsid w:val="00A0618A"/>
    <w:rsid w:val="00A5385C"/>
    <w:rsid w:val="00A80E47"/>
    <w:rsid w:val="00AC148B"/>
    <w:rsid w:val="00B440F1"/>
    <w:rsid w:val="00B73713"/>
    <w:rsid w:val="00B75F73"/>
    <w:rsid w:val="00BD04FA"/>
    <w:rsid w:val="00BF0E6A"/>
    <w:rsid w:val="00C0196E"/>
    <w:rsid w:val="00C869E4"/>
    <w:rsid w:val="00CB153C"/>
    <w:rsid w:val="00CB6AA3"/>
    <w:rsid w:val="00CB73AD"/>
    <w:rsid w:val="00CD2BE2"/>
    <w:rsid w:val="00D57B5E"/>
    <w:rsid w:val="00DC5583"/>
    <w:rsid w:val="00DD2711"/>
    <w:rsid w:val="00DF0BB7"/>
    <w:rsid w:val="00DF6C99"/>
    <w:rsid w:val="00E60813"/>
    <w:rsid w:val="00E76FCC"/>
    <w:rsid w:val="00EB042D"/>
    <w:rsid w:val="00EE38DD"/>
    <w:rsid w:val="00F22AA9"/>
    <w:rsid w:val="00F27F5E"/>
    <w:rsid w:val="00F868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14DB5-FD8A-4F8D-A92E-1E1444A0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C3F94"/>
    <w:rPr>
      <w:color w:val="0000FF"/>
      <w:u w:val="single"/>
    </w:rPr>
  </w:style>
  <w:style w:type="paragraph" w:styleId="Testonotaapidipagina">
    <w:name w:val="footnote text"/>
    <w:basedOn w:val="Normale"/>
    <w:semiHidden/>
    <w:rsid w:val="006C3F94"/>
    <w:rPr>
      <w:rFonts w:ascii="Times New Roman" w:hAnsi="Times New Roman"/>
      <w:sz w:val="20"/>
      <w:lang w:val="it-CH"/>
    </w:rPr>
  </w:style>
  <w:style w:type="character" w:styleId="Rimandonotaapidipagina">
    <w:name w:val="footnote reference"/>
    <w:semiHidden/>
    <w:rsid w:val="006C3F94"/>
    <w:rPr>
      <w:vertAlign w:val="superscript"/>
    </w:rPr>
  </w:style>
  <w:style w:type="paragraph" w:styleId="NormaleWeb">
    <w:name w:val="Normal (Web)"/>
    <w:basedOn w:val="Normale"/>
    <w:rsid w:val="006C3F94"/>
    <w:pPr>
      <w:spacing w:before="100" w:beforeAutospacing="1" w:after="100" w:afterAutospacing="1"/>
    </w:pPr>
    <w:rPr>
      <w:rFonts w:ascii="Times New Roman" w:hAnsi="Times New Roman"/>
      <w:szCs w:val="24"/>
      <w:lang w:val="en-US" w:eastAsia="en-US"/>
    </w:rPr>
  </w:style>
  <w:style w:type="paragraph" w:styleId="Pidipagina">
    <w:name w:val="footer"/>
    <w:basedOn w:val="Normale"/>
    <w:rsid w:val="006C3F94"/>
    <w:pPr>
      <w:tabs>
        <w:tab w:val="center" w:pos="4819"/>
        <w:tab w:val="right" w:pos="9638"/>
      </w:tabs>
    </w:pPr>
    <w:rPr>
      <w:rFonts w:ascii="Times New Roman" w:hAnsi="Times New Roman"/>
      <w:szCs w:val="24"/>
    </w:rPr>
  </w:style>
  <w:style w:type="character" w:styleId="Numeropagina">
    <w:name w:val="page number"/>
    <w:basedOn w:val="Carpredefinitoparagrafo"/>
    <w:rsid w:val="006C3F94"/>
  </w:style>
  <w:style w:type="paragraph" w:customStyle="1" w:styleId="Stile">
    <w:name w:val="Stile"/>
    <w:rsid w:val="00EB042D"/>
    <w:pPr>
      <w:widowControl w:val="0"/>
      <w:autoSpaceDE w:val="0"/>
      <w:autoSpaceDN w:val="0"/>
      <w:adjustRightInd w:val="0"/>
    </w:pPr>
    <w:rPr>
      <w:rFonts w:ascii="Arial" w:hAnsi="Arial" w:cs="Arial"/>
      <w:sz w:val="24"/>
      <w:szCs w:val="24"/>
    </w:rPr>
  </w:style>
  <w:style w:type="character" w:styleId="Enfasigrassetto">
    <w:name w:val="Strong"/>
    <w:qFormat/>
    <w:rsid w:val="00B440F1"/>
    <w:rPr>
      <w:b/>
      <w:bCs/>
    </w:rPr>
  </w:style>
  <w:style w:type="paragraph" w:styleId="Testonotadichiusura">
    <w:name w:val="endnote text"/>
    <w:basedOn w:val="Normale"/>
    <w:link w:val="TestonotadichiusuraCarattere"/>
    <w:rsid w:val="006C1513"/>
    <w:rPr>
      <w:rFonts w:ascii="Times New Roman" w:hAnsi="Times New Roman"/>
      <w:sz w:val="20"/>
      <w:lang w:val="it-CH" w:eastAsia="it-CH"/>
    </w:rPr>
  </w:style>
  <w:style w:type="character" w:customStyle="1" w:styleId="TestonotadichiusuraCarattere">
    <w:name w:val="Testo nota di chiusura Carattere"/>
    <w:basedOn w:val="Carpredefinitoparagrafo"/>
    <w:link w:val="Testonotadichiusura"/>
    <w:rsid w:val="006C1513"/>
  </w:style>
  <w:style w:type="paragraph" w:styleId="Paragrafoelenco">
    <w:name w:val="List Paragraph"/>
    <w:basedOn w:val="Normale"/>
    <w:qFormat/>
    <w:rsid w:val="000705C4"/>
    <w:pPr>
      <w:spacing w:after="200" w:line="276" w:lineRule="auto"/>
      <w:ind w:left="720"/>
    </w:pPr>
    <w:rPr>
      <w:rFonts w:ascii="Calibri" w:eastAsia="Calibri" w:hAnsi="Calibri"/>
      <w:sz w:val="22"/>
      <w:szCs w:val="22"/>
      <w:lang w:val="en-US" w:eastAsia="en-US"/>
    </w:rPr>
  </w:style>
  <w:style w:type="paragraph" w:styleId="Corpodeltesto2">
    <w:name w:val="Body Text 2"/>
    <w:basedOn w:val="Normale"/>
    <w:link w:val="Corpodeltesto2Carattere"/>
    <w:rsid w:val="00DF0BB7"/>
    <w:pPr>
      <w:spacing w:after="120" w:line="480" w:lineRule="auto"/>
    </w:pPr>
  </w:style>
  <w:style w:type="character" w:customStyle="1" w:styleId="Corpodeltesto2Carattere">
    <w:name w:val="Corpo del testo 2 Carattere"/>
    <w:basedOn w:val="Carpredefinitoparagrafo"/>
    <w:link w:val="Corpodeltesto2"/>
    <w:rsid w:val="00DF0BB7"/>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2353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2765</CharactersWithSpaces>
  <SharedDoc>false</SharedDoc>
  <HLinks>
    <vt:vector size="12" baseType="variant">
      <vt:variant>
        <vt:i4>65553</vt:i4>
      </vt:variant>
      <vt:variant>
        <vt:i4>3</vt:i4>
      </vt:variant>
      <vt:variant>
        <vt:i4>0</vt:i4>
      </vt:variant>
      <vt:variant>
        <vt:i4>5</vt:i4>
      </vt:variant>
      <vt:variant>
        <vt:lpwstr>https://www.cia.gov/library/publications/the-world-factbook/ rankorder/2001rank.html</vt:lpwstr>
      </vt:variant>
      <vt:variant>
        <vt:lpwstr/>
      </vt:variant>
      <vt:variant>
        <vt:i4>852046</vt:i4>
      </vt:variant>
      <vt:variant>
        <vt:i4>0</vt:i4>
      </vt:variant>
      <vt:variant>
        <vt:i4>0</vt:i4>
      </vt:variant>
      <vt:variant>
        <vt:i4>5</vt:i4>
      </vt:variant>
      <vt:variant>
        <vt:lpwstr>http://www.repubblica.it/2006/11/sezioni/ambiente/efficienza-energetica/efficienza-california/ efficienza-california.html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2020-01-09T08:43:00Z</cp:lastPrinted>
  <dcterms:created xsi:type="dcterms:W3CDTF">2020-01-09T08:44:00Z</dcterms:created>
  <dcterms:modified xsi:type="dcterms:W3CDTF">2020-01-09T08:44:00Z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