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9C" w:rsidRPr="0018249C" w:rsidRDefault="0018249C" w:rsidP="0018249C">
      <w:pPr>
        <w:spacing w:after="120"/>
        <w:rPr>
          <w:rFonts w:cs="Arial"/>
          <w:b/>
          <w:color w:val="000000"/>
          <w:sz w:val="23"/>
          <w:szCs w:val="23"/>
        </w:rPr>
      </w:pPr>
      <w:r w:rsidRPr="0018249C">
        <w:rPr>
          <w:rFonts w:cs="Arial"/>
          <w:b/>
          <w:color w:val="000000"/>
          <w:sz w:val="23"/>
          <w:szCs w:val="23"/>
        </w:rPr>
        <w:t>INTERPELLANZA</w:t>
      </w:r>
    </w:p>
    <w:p w:rsidR="0018249C" w:rsidRPr="0018249C" w:rsidRDefault="0018249C" w:rsidP="0018249C">
      <w:pPr>
        <w:rPr>
          <w:rFonts w:cs="Arial"/>
          <w:color w:val="000000"/>
          <w:sz w:val="23"/>
          <w:szCs w:val="23"/>
          <w:u w:val="single"/>
        </w:rPr>
      </w:pPr>
    </w:p>
    <w:p w:rsidR="0018249C" w:rsidRPr="0018249C" w:rsidRDefault="0018249C" w:rsidP="0018249C">
      <w:pPr>
        <w:spacing w:after="120"/>
        <w:rPr>
          <w:rFonts w:cs="Arial"/>
          <w:b/>
          <w:sz w:val="23"/>
          <w:szCs w:val="23"/>
          <w:u w:val="single"/>
        </w:rPr>
      </w:pPr>
      <w:r w:rsidRPr="0018249C">
        <w:rPr>
          <w:rFonts w:cs="Arial"/>
          <w:b/>
          <w:sz w:val="23"/>
          <w:szCs w:val="23"/>
          <w:u w:val="single"/>
        </w:rPr>
        <w:t>Cartello dell'asfalto: il punto della situazione</w:t>
      </w:r>
    </w:p>
    <w:p w:rsidR="0018249C" w:rsidRPr="0018249C" w:rsidRDefault="0018249C" w:rsidP="0018249C">
      <w:pPr>
        <w:rPr>
          <w:rFonts w:cs="Arial"/>
          <w:color w:val="000000"/>
          <w:sz w:val="23"/>
          <w:szCs w:val="23"/>
        </w:rPr>
      </w:pPr>
    </w:p>
    <w:p w:rsidR="0018249C" w:rsidRPr="0018249C" w:rsidRDefault="0018249C" w:rsidP="0018249C">
      <w:pPr>
        <w:rPr>
          <w:rFonts w:cs="Arial"/>
          <w:color w:val="000000"/>
          <w:sz w:val="23"/>
          <w:szCs w:val="23"/>
        </w:rPr>
      </w:pPr>
      <w:r w:rsidRPr="0018249C">
        <w:rPr>
          <w:rFonts w:cs="Arial"/>
          <w:color w:val="000000"/>
          <w:sz w:val="23"/>
          <w:szCs w:val="23"/>
        </w:rPr>
        <w:t>del 29 gennaio 2007</w:t>
      </w:r>
    </w:p>
    <w:p w:rsidR="0018249C" w:rsidRPr="0018249C" w:rsidRDefault="0018249C" w:rsidP="0018249C">
      <w:pPr>
        <w:rPr>
          <w:rFonts w:cs="Arial"/>
          <w:color w:val="000000"/>
          <w:sz w:val="23"/>
          <w:szCs w:val="23"/>
        </w:rPr>
      </w:pPr>
    </w:p>
    <w:p w:rsidR="0018249C" w:rsidRPr="0018249C" w:rsidRDefault="0018249C" w:rsidP="0018249C">
      <w:pPr>
        <w:jc w:val="both"/>
        <w:rPr>
          <w:rFonts w:cs="Arial"/>
          <w:color w:val="000000"/>
          <w:sz w:val="23"/>
          <w:szCs w:val="23"/>
        </w:rPr>
      </w:pPr>
    </w:p>
    <w:p w:rsidR="0018249C" w:rsidRPr="0018249C" w:rsidRDefault="0018249C" w:rsidP="0018249C">
      <w:pPr>
        <w:tabs>
          <w:tab w:val="left" w:pos="360"/>
        </w:tabs>
        <w:ind w:left="360" w:hanging="360"/>
        <w:jc w:val="both"/>
        <w:rPr>
          <w:rFonts w:cs="Arial"/>
          <w:color w:val="000000"/>
          <w:sz w:val="23"/>
          <w:szCs w:val="23"/>
        </w:rPr>
      </w:pPr>
      <w:r w:rsidRPr="0018249C">
        <w:rPr>
          <w:rFonts w:cs="Arial"/>
          <w:color w:val="000000"/>
          <w:sz w:val="23"/>
          <w:szCs w:val="23"/>
        </w:rPr>
        <w:t>1.</w:t>
      </w:r>
      <w:r w:rsidRPr="0018249C">
        <w:rPr>
          <w:rFonts w:cs="Arial"/>
          <w:color w:val="000000"/>
          <w:sz w:val="23"/>
          <w:szCs w:val="23"/>
        </w:rPr>
        <w:tab/>
        <w:t>I risultati dell'inchiesta della segreteria della Commissione della concorrenza del 9 gennaio 2007 confermano l'esistenza di un cartello delle ditte di pavimentazioni ticinesi, che ha operato per anni facendo lievitare i prezzi pagati dagli enti pubblici e dai privati per le asfaltature. Le cifre in gioco per il Cantone sarebbero di svariate decine di milioni nel periodo 1998-2005, da quanto anticipato dalla stampa, una cifra impressionante, se confermata.</w:t>
      </w:r>
    </w:p>
    <w:p w:rsidR="0018249C" w:rsidRPr="0018249C" w:rsidRDefault="0018249C" w:rsidP="0018249C">
      <w:pPr>
        <w:tabs>
          <w:tab w:val="left" w:pos="360"/>
        </w:tabs>
        <w:jc w:val="both"/>
        <w:rPr>
          <w:rFonts w:cs="Arial"/>
          <w:color w:val="000000"/>
          <w:sz w:val="23"/>
          <w:szCs w:val="23"/>
        </w:rPr>
      </w:pPr>
    </w:p>
    <w:p w:rsidR="0018249C" w:rsidRPr="0018249C" w:rsidRDefault="0018249C" w:rsidP="0018249C">
      <w:pPr>
        <w:tabs>
          <w:tab w:val="left" w:pos="360"/>
        </w:tabs>
        <w:ind w:left="360" w:hanging="360"/>
        <w:jc w:val="both"/>
        <w:rPr>
          <w:rFonts w:cs="Arial"/>
          <w:color w:val="000000"/>
          <w:sz w:val="23"/>
          <w:szCs w:val="23"/>
        </w:rPr>
      </w:pPr>
      <w:r w:rsidRPr="0018249C">
        <w:rPr>
          <w:rFonts w:cs="Arial"/>
          <w:color w:val="000000"/>
          <w:sz w:val="23"/>
          <w:szCs w:val="23"/>
        </w:rPr>
        <w:t xml:space="preserve">2. </w:t>
      </w:r>
      <w:r w:rsidRPr="0018249C">
        <w:rPr>
          <w:rFonts w:cs="Arial"/>
          <w:color w:val="000000"/>
          <w:sz w:val="23"/>
          <w:szCs w:val="23"/>
        </w:rPr>
        <w:tab/>
        <w:t>Riservato il fatto che la decisione finale dovrà essere presa dalla Commissione della concorrenza dopo aver sentito le parti (Cantone e ditte interessate), chiediamo al Consiglio di Stato di informare il Parlamento sulla situazione e sulla presa di posizione che intende effettuare all'indirizzo della Commissione della concorrenza.</w:t>
      </w:r>
    </w:p>
    <w:p w:rsidR="0018249C" w:rsidRPr="0018249C" w:rsidRDefault="0018249C" w:rsidP="0018249C">
      <w:pPr>
        <w:tabs>
          <w:tab w:val="left" w:pos="360"/>
        </w:tabs>
        <w:jc w:val="both"/>
        <w:rPr>
          <w:rFonts w:cs="Arial"/>
          <w:color w:val="000000"/>
          <w:sz w:val="23"/>
          <w:szCs w:val="23"/>
        </w:rPr>
      </w:pPr>
    </w:p>
    <w:p w:rsidR="0018249C" w:rsidRPr="0018249C" w:rsidRDefault="0018249C" w:rsidP="0018249C">
      <w:pPr>
        <w:tabs>
          <w:tab w:val="left" w:pos="360"/>
        </w:tabs>
        <w:ind w:left="360" w:hanging="360"/>
        <w:jc w:val="both"/>
        <w:rPr>
          <w:rFonts w:cs="Arial"/>
          <w:color w:val="000000"/>
          <w:sz w:val="23"/>
          <w:szCs w:val="23"/>
        </w:rPr>
      </w:pPr>
      <w:r w:rsidRPr="0018249C">
        <w:rPr>
          <w:rFonts w:cs="Arial"/>
          <w:color w:val="000000"/>
          <w:sz w:val="23"/>
          <w:szCs w:val="23"/>
        </w:rPr>
        <w:t xml:space="preserve">3. </w:t>
      </w:r>
      <w:r w:rsidRPr="0018249C">
        <w:rPr>
          <w:rFonts w:cs="Arial"/>
          <w:color w:val="000000"/>
          <w:sz w:val="23"/>
          <w:szCs w:val="23"/>
        </w:rPr>
        <w:tab/>
        <w:t>Richiamando l'iniziativa parlamentare 18.12.2002 (v. allegato), peraltro nel frattempo accettata dal Parlamento e in fase di attuazione da parte del Controllo cantonale delle finanze, chiediamo se risultano altre situazioni similari dove lo Stato paga prezzi esorbitanti rispetto al resto della Svizzera o al settore privato.</w:t>
      </w:r>
    </w:p>
    <w:p w:rsidR="0018249C" w:rsidRPr="0018249C" w:rsidRDefault="0018249C" w:rsidP="0018249C">
      <w:pPr>
        <w:rPr>
          <w:rFonts w:cs="Arial"/>
          <w:color w:val="000000"/>
          <w:sz w:val="23"/>
          <w:szCs w:val="23"/>
        </w:rPr>
      </w:pPr>
    </w:p>
    <w:p w:rsidR="0018249C" w:rsidRPr="0018249C" w:rsidRDefault="0018249C" w:rsidP="0018249C">
      <w:pPr>
        <w:rPr>
          <w:rFonts w:cs="Arial"/>
          <w:color w:val="000000"/>
          <w:sz w:val="23"/>
          <w:szCs w:val="23"/>
        </w:rPr>
      </w:pPr>
    </w:p>
    <w:p w:rsidR="0018249C" w:rsidRPr="0018249C" w:rsidRDefault="0018249C" w:rsidP="0018249C">
      <w:pPr>
        <w:rPr>
          <w:rFonts w:cs="Arial"/>
          <w:color w:val="000000"/>
          <w:sz w:val="23"/>
          <w:szCs w:val="23"/>
        </w:rPr>
      </w:pPr>
      <w:r w:rsidRPr="0018249C">
        <w:rPr>
          <w:rFonts w:cs="Arial"/>
          <w:color w:val="000000"/>
          <w:sz w:val="23"/>
          <w:szCs w:val="23"/>
        </w:rPr>
        <w:t>Per il gruppo socialista:</w:t>
      </w:r>
    </w:p>
    <w:p w:rsidR="0018249C" w:rsidRPr="0018249C" w:rsidRDefault="0018249C" w:rsidP="0018249C">
      <w:pPr>
        <w:rPr>
          <w:rFonts w:cs="Arial"/>
          <w:color w:val="000000"/>
          <w:sz w:val="23"/>
          <w:szCs w:val="23"/>
        </w:rPr>
      </w:pPr>
      <w:r w:rsidRPr="0018249C">
        <w:rPr>
          <w:rFonts w:cs="Arial"/>
          <w:color w:val="000000"/>
          <w:sz w:val="23"/>
          <w:szCs w:val="23"/>
        </w:rPr>
        <w:t>Raoul Ghisletta</w:t>
      </w:r>
    </w:p>
    <w:p w:rsidR="0018249C" w:rsidRPr="0018249C" w:rsidRDefault="0018249C" w:rsidP="0018249C">
      <w:pPr>
        <w:rPr>
          <w:rFonts w:cs="Arial"/>
          <w:color w:val="000000"/>
          <w:sz w:val="23"/>
          <w:szCs w:val="23"/>
        </w:rPr>
      </w:pPr>
      <w:r w:rsidRPr="0018249C">
        <w:rPr>
          <w:rFonts w:cs="Arial"/>
          <w:color w:val="000000"/>
          <w:sz w:val="23"/>
          <w:szCs w:val="23"/>
        </w:rPr>
        <w:t xml:space="preserve">Bertoli - Carobbio Guscetti </w:t>
      </w:r>
    </w:p>
    <w:p w:rsidR="0018249C" w:rsidRPr="0018249C" w:rsidRDefault="0018249C" w:rsidP="0018249C">
      <w:pPr>
        <w:jc w:val="right"/>
        <w:rPr>
          <w:rFonts w:cs="Arial"/>
          <w:b/>
          <w:sz w:val="23"/>
          <w:szCs w:val="23"/>
          <w:u w:val="single"/>
        </w:rPr>
      </w:pPr>
      <w:r w:rsidRPr="0018249C">
        <w:rPr>
          <w:rFonts w:cs="Arial"/>
          <w:sz w:val="23"/>
          <w:szCs w:val="23"/>
        </w:rPr>
        <w:br w:type="page"/>
      </w:r>
      <w:r w:rsidRPr="0018249C">
        <w:rPr>
          <w:rFonts w:cs="Arial"/>
          <w:b/>
          <w:sz w:val="23"/>
          <w:szCs w:val="23"/>
          <w:u w:val="single"/>
        </w:rPr>
        <w:lastRenderedPageBreak/>
        <w:t>ALLEGATO</w:t>
      </w:r>
    </w:p>
    <w:p w:rsidR="0018249C" w:rsidRPr="0018249C" w:rsidRDefault="0018249C" w:rsidP="0018249C">
      <w:pPr>
        <w:jc w:val="both"/>
        <w:rPr>
          <w:rFonts w:cs="Arial"/>
          <w:sz w:val="23"/>
          <w:szCs w:val="23"/>
        </w:rPr>
      </w:pPr>
    </w:p>
    <w:p w:rsidR="0018249C" w:rsidRPr="0018249C" w:rsidRDefault="0018249C" w:rsidP="0018249C">
      <w:pPr>
        <w:jc w:val="both"/>
        <w:rPr>
          <w:rFonts w:cs="Arial"/>
          <w:sz w:val="23"/>
          <w:szCs w:val="23"/>
        </w:rPr>
      </w:pPr>
    </w:p>
    <w:p w:rsidR="0018249C" w:rsidRPr="0018249C" w:rsidRDefault="0018249C" w:rsidP="0018249C">
      <w:pPr>
        <w:rPr>
          <w:rFonts w:cs="Arial"/>
          <w:b/>
          <w:bCs/>
          <w:sz w:val="23"/>
          <w:szCs w:val="24"/>
        </w:rPr>
      </w:pPr>
      <w:r w:rsidRPr="0018249C">
        <w:rPr>
          <w:rFonts w:cs="Arial"/>
          <w:b/>
          <w:bCs/>
          <w:sz w:val="23"/>
          <w:szCs w:val="24"/>
        </w:rPr>
        <w:t xml:space="preserve">INIZIATIVA PARLAMENTARE </w:t>
      </w:r>
    </w:p>
    <w:p w:rsidR="0018249C" w:rsidRPr="0018249C" w:rsidRDefault="0018249C" w:rsidP="0018249C">
      <w:pPr>
        <w:jc w:val="both"/>
        <w:rPr>
          <w:sz w:val="23"/>
          <w:szCs w:val="24"/>
          <w:u w:val="single"/>
        </w:rPr>
      </w:pPr>
    </w:p>
    <w:p w:rsidR="0018249C" w:rsidRPr="0018249C" w:rsidRDefault="0018249C" w:rsidP="0018249C">
      <w:pPr>
        <w:jc w:val="both"/>
        <w:rPr>
          <w:sz w:val="23"/>
          <w:szCs w:val="24"/>
          <w:u w:val="single"/>
        </w:rPr>
      </w:pPr>
    </w:p>
    <w:p w:rsidR="0018249C" w:rsidRPr="0018249C" w:rsidRDefault="0018249C" w:rsidP="0018249C">
      <w:pPr>
        <w:spacing w:line="360" w:lineRule="auto"/>
        <w:jc w:val="both"/>
        <w:rPr>
          <w:sz w:val="23"/>
          <w:szCs w:val="24"/>
          <w:u w:val="single"/>
        </w:rPr>
      </w:pPr>
      <w:r w:rsidRPr="0018249C">
        <w:rPr>
          <w:sz w:val="23"/>
          <w:szCs w:val="24"/>
          <w:u w:val="single"/>
        </w:rPr>
        <w:t>presentata nella forma generica da Raoul Ghisletta e cofirmatari per il Gruppo PS per una verifica dell'adeguatezza dei prezzi pagati dallo Stato e degli effettivi del personale dell'Ammi-nistrazione</w:t>
      </w:r>
    </w:p>
    <w:p w:rsidR="0018249C" w:rsidRPr="0018249C" w:rsidRDefault="0018249C" w:rsidP="0018249C">
      <w:pPr>
        <w:jc w:val="both"/>
        <w:rPr>
          <w:sz w:val="23"/>
          <w:szCs w:val="24"/>
        </w:rPr>
      </w:pPr>
    </w:p>
    <w:p w:rsidR="0018249C" w:rsidRPr="0018249C" w:rsidRDefault="0018249C" w:rsidP="0018249C">
      <w:pPr>
        <w:jc w:val="both"/>
        <w:rPr>
          <w:sz w:val="23"/>
          <w:szCs w:val="24"/>
        </w:rPr>
      </w:pPr>
      <w:r w:rsidRPr="0018249C">
        <w:rPr>
          <w:sz w:val="23"/>
          <w:szCs w:val="24"/>
        </w:rPr>
        <w:t>del 18 dicembre 2002</w:t>
      </w:r>
    </w:p>
    <w:p w:rsidR="0018249C" w:rsidRPr="0018249C" w:rsidRDefault="0018249C" w:rsidP="0018249C">
      <w:pPr>
        <w:jc w:val="both"/>
        <w:rPr>
          <w:sz w:val="23"/>
          <w:szCs w:val="24"/>
        </w:rPr>
      </w:pPr>
    </w:p>
    <w:p w:rsidR="0018249C" w:rsidRPr="0018249C" w:rsidRDefault="0018249C" w:rsidP="0018249C">
      <w:pPr>
        <w:jc w:val="both"/>
        <w:rPr>
          <w:sz w:val="23"/>
          <w:szCs w:val="24"/>
        </w:rPr>
      </w:pPr>
    </w:p>
    <w:p w:rsidR="0018249C" w:rsidRPr="0018249C" w:rsidRDefault="0018249C" w:rsidP="0018249C">
      <w:pPr>
        <w:jc w:val="both"/>
        <w:rPr>
          <w:sz w:val="23"/>
          <w:szCs w:val="24"/>
        </w:rPr>
      </w:pP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  <w:r w:rsidRPr="0018249C">
        <w:rPr>
          <w:rFonts w:cs="Arial"/>
          <w:sz w:val="23"/>
          <w:szCs w:val="24"/>
        </w:rPr>
        <w:t>Il gruppo socialista nell’ambito del preventivo 2003 si è opposto all’attuazione di tagli lineari su personale, beni e servizi, ritenendo simili misure irrazionali e prive di correttezza: non si può infatti esigere dall’Amministrazione cantonale di svolgere in modo ineccepibile i compiti stabiliti dalle leggi e dal Governo e continuare a tagliare sugli effettivi del personale, già diminuiti del 10,5% tra il 1993 e il 2001. Occorre pertanto far chiarezza rispetto agli standard di qualità offerti dal servizio pubblico alla popolazione e alle risorse necessarie per conseguire tali standard.</w:t>
      </w: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  <w:r w:rsidRPr="0018249C">
        <w:rPr>
          <w:rFonts w:cs="Arial"/>
          <w:sz w:val="23"/>
          <w:szCs w:val="24"/>
        </w:rPr>
        <w:t>La presente iniziativa chiede pertanto di inserire nella legge sul Gran Consiglio il seguente postulato.</w:t>
      </w: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  <w:r w:rsidRPr="0018249C">
        <w:rPr>
          <w:rFonts w:cs="Arial"/>
          <w:sz w:val="23"/>
          <w:szCs w:val="24"/>
        </w:rPr>
        <w:t>Il Consiglio di Stato, per il tramite dell'Ispettorato delle finanze, fornisce alla Commissione della gestione e delle finanze, unitamente al consuntivo, un rapporto annuale:</w:t>
      </w: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</w:p>
    <w:p w:rsidR="0018249C" w:rsidRPr="0018249C" w:rsidRDefault="0018249C" w:rsidP="0018249C">
      <w:pPr>
        <w:numPr>
          <w:ilvl w:val="0"/>
          <w:numId w:val="24"/>
        </w:numPr>
        <w:jc w:val="both"/>
        <w:rPr>
          <w:rFonts w:cs="Arial"/>
          <w:sz w:val="23"/>
          <w:szCs w:val="24"/>
        </w:rPr>
      </w:pPr>
      <w:r w:rsidRPr="0018249C">
        <w:rPr>
          <w:rFonts w:cs="Arial"/>
          <w:b/>
          <w:sz w:val="23"/>
          <w:szCs w:val="24"/>
        </w:rPr>
        <w:t>sui prezzi</w:t>
      </w:r>
      <w:r w:rsidRPr="0018249C">
        <w:rPr>
          <w:rFonts w:cs="Arial"/>
          <w:sz w:val="23"/>
          <w:szCs w:val="24"/>
        </w:rPr>
        <w:t xml:space="preserve"> pagati dallo Stato per beni, servizi e investimenti con analisi settoriali approfondite, che permettano di verificare i costi;</w:t>
      </w: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</w:p>
    <w:p w:rsidR="0018249C" w:rsidRPr="0018249C" w:rsidRDefault="0018249C" w:rsidP="0018249C">
      <w:pPr>
        <w:numPr>
          <w:ilvl w:val="0"/>
          <w:numId w:val="24"/>
        </w:numPr>
        <w:jc w:val="both"/>
        <w:rPr>
          <w:rFonts w:cs="Arial"/>
          <w:sz w:val="23"/>
          <w:szCs w:val="24"/>
        </w:rPr>
      </w:pPr>
      <w:r w:rsidRPr="0018249C">
        <w:rPr>
          <w:rFonts w:cs="Arial"/>
          <w:b/>
          <w:sz w:val="23"/>
          <w:szCs w:val="24"/>
        </w:rPr>
        <w:t>sui rimborsi per trasferte</w:t>
      </w:r>
      <w:r w:rsidRPr="0018249C">
        <w:rPr>
          <w:rFonts w:cs="Arial"/>
          <w:sz w:val="23"/>
          <w:szCs w:val="24"/>
        </w:rPr>
        <w:t xml:space="preserve"> (a P 2003 10 milioni, voce 317</w:t>
      </w:r>
      <w:r w:rsidRPr="0018249C">
        <w:rPr>
          <w:rFonts w:cs="Arial"/>
          <w:bCs/>
          <w:sz w:val="23"/>
          <w:szCs w:val="24"/>
        </w:rPr>
        <w:t>)</w:t>
      </w:r>
      <w:r w:rsidRPr="0018249C">
        <w:rPr>
          <w:rFonts w:cs="Arial"/>
          <w:b/>
          <w:sz w:val="23"/>
          <w:szCs w:val="24"/>
        </w:rPr>
        <w:t xml:space="preserve"> e sull'utilizzazione del parco veicoli dello Stato</w:t>
      </w:r>
      <w:r w:rsidRPr="0018249C">
        <w:rPr>
          <w:rFonts w:cs="Arial"/>
          <w:sz w:val="23"/>
          <w:szCs w:val="24"/>
        </w:rPr>
        <w:t>: analisi dei costi generati; stato, investimenti e manutenzione del parco veicoli;</w:t>
      </w: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</w:p>
    <w:p w:rsidR="0018249C" w:rsidRPr="0018249C" w:rsidRDefault="0018249C" w:rsidP="0018249C">
      <w:pPr>
        <w:numPr>
          <w:ilvl w:val="0"/>
          <w:numId w:val="24"/>
        </w:numPr>
        <w:jc w:val="both"/>
        <w:rPr>
          <w:rFonts w:cs="Arial"/>
          <w:sz w:val="23"/>
          <w:szCs w:val="24"/>
        </w:rPr>
      </w:pPr>
      <w:r w:rsidRPr="0018249C">
        <w:rPr>
          <w:rFonts w:cs="Arial"/>
          <w:b/>
          <w:sz w:val="23"/>
          <w:szCs w:val="24"/>
        </w:rPr>
        <w:t>sugli effettivi</w:t>
      </w:r>
      <w:r w:rsidRPr="0018249C">
        <w:rPr>
          <w:rFonts w:cs="Arial"/>
          <w:sz w:val="23"/>
          <w:szCs w:val="24"/>
        </w:rPr>
        <w:t xml:space="preserve"> </w:t>
      </w:r>
      <w:r w:rsidRPr="0018249C">
        <w:rPr>
          <w:rFonts w:cs="Arial"/>
          <w:b/>
          <w:sz w:val="23"/>
          <w:szCs w:val="24"/>
        </w:rPr>
        <w:t>del personale</w:t>
      </w:r>
      <w:r w:rsidRPr="0018249C">
        <w:rPr>
          <w:rFonts w:cs="Arial"/>
          <w:sz w:val="23"/>
          <w:szCs w:val="24"/>
        </w:rPr>
        <w:t xml:space="preserve"> nei servizi dell’Amministrazione cantonale e negli enti sussidiati senza contratto di prestazione: il rapporto deve misurare l’adeguatezza degli effettivi rispetto ai compiti affidati a tali servizi ed enti dalle leggi e dall’Esecutivo. Il monitoraggio non deve avere come obiettivo precipuo il taglio di effettivi, ma bensì definire in modo oggettivo l'adeguata dotazione di personale.</w:t>
      </w: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  <w:r w:rsidRPr="0018249C">
        <w:rPr>
          <w:rFonts w:cs="Arial"/>
          <w:sz w:val="23"/>
          <w:szCs w:val="24"/>
        </w:rPr>
        <w:t>Per il gruppo socialista:</w:t>
      </w: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  <w:r w:rsidRPr="0018249C">
        <w:rPr>
          <w:rFonts w:cs="Arial"/>
          <w:sz w:val="23"/>
          <w:szCs w:val="24"/>
        </w:rPr>
        <w:t>Raoul Ghisletta</w:t>
      </w: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  <w:r w:rsidRPr="0018249C">
        <w:rPr>
          <w:rFonts w:cs="Arial"/>
          <w:sz w:val="23"/>
          <w:szCs w:val="24"/>
        </w:rPr>
        <w:t>Marina Carobbio Guscetti</w:t>
      </w: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  <w:r w:rsidRPr="0018249C">
        <w:rPr>
          <w:rFonts w:cs="Arial"/>
          <w:sz w:val="23"/>
          <w:szCs w:val="24"/>
        </w:rPr>
        <w:t>Mario Ferrari</w:t>
      </w:r>
    </w:p>
    <w:p w:rsidR="0018249C" w:rsidRPr="0018249C" w:rsidRDefault="0018249C" w:rsidP="0018249C">
      <w:pPr>
        <w:jc w:val="both"/>
        <w:rPr>
          <w:rFonts w:cs="Arial"/>
          <w:sz w:val="23"/>
          <w:szCs w:val="24"/>
        </w:rPr>
      </w:pPr>
    </w:p>
    <w:p w:rsidR="001C4818" w:rsidRPr="001C4818" w:rsidRDefault="001C4818" w:rsidP="0018249C">
      <w:bookmarkStart w:id="0" w:name="_GoBack"/>
      <w:bookmarkEnd w:id="0"/>
    </w:p>
    <w:sectPr w:rsidR="001C4818" w:rsidRPr="001C4818" w:rsidSect="00EB042D">
      <w:footerReference w:type="even" r:id="rId8"/>
      <w:footerReference w:type="default" r:id="rId9"/>
      <w:pgSz w:w="11906" w:h="16838" w:code="9"/>
      <w:pgMar w:top="1701" w:right="849" w:bottom="1418" w:left="1134" w:header="851" w:footer="595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D2" w:rsidRDefault="002078D2">
      <w:r>
        <w:separator/>
      </w:r>
    </w:p>
  </w:endnote>
  <w:endnote w:type="continuationSeparator" w:id="0">
    <w:p w:rsidR="002078D2" w:rsidRDefault="0020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Default="006C3F94" w:rsidP="00AC14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3F94" w:rsidRDefault="006C3F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Pr="00D03F4C" w:rsidRDefault="006C3F94" w:rsidP="00AC148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</w:rPr>
    </w:pPr>
    <w:r w:rsidRPr="00D03F4C">
      <w:rPr>
        <w:rStyle w:val="Numeropagina"/>
        <w:rFonts w:ascii="Arial" w:hAnsi="Arial" w:cs="Arial"/>
        <w:sz w:val="22"/>
        <w:szCs w:val="22"/>
      </w:rPr>
      <w:fldChar w:fldCharType="begin"/>
    </w:r>
    <w:r w:rsidRPr="00D03F4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D03F4C">
      <w:rPr>
        <w:rStyle w:val="Numeropagina"/>
        <w:rFonts w:ascii="Arial" w:hAnsi="Arial" w:cs="Arial"/>
        <w:sz w:val="22"/>
        <w:szCs w:val="22"/>
      </w:rPr>
      <w:fldChar w:fldCharType="separate"/>
    </w:r>
    <w:r w:rsidR="0018249C">
      <w:rPr>
        <w:rStyle w:val="Numeropagina"/>
        <w:rFonts w:ascii="Arial" w:hAnsi="Arial" w:cs="Arial"/>
        <w:noProof/>
        <w:sz w:val="22"/>
        <w:szCs w:val="22"/>
      </w:rPr>
      <w:t>2</w:t>
    </w:r>
    <w:r w:rsidRPr="00D03F4C">
      <w:rPr>
        <w:rStyle w:val="Numeropagina"/>
        <w:rFonts w:ascii="Arial" w:hAnsi="Arial" w:cs="Arial"/>
        <w:sz w:val="22"/>
        <w:szCs w:val="22"/>
      </w:rPr>
      <w:fldChar w:fldCharType="end"/>
    </w:r>
  </w:p>
  <w:p w:rsidR="006C3F94" w:rsidRDefault="006C3F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D2" w:rsidRDefault="002078D2">
      <w:r>
        <w:separator/>
      </w:r>
    </w:p>
  </w:footnote>
  <w:footnote w:type="continuationSeparator" w:id="0">
    <w:p w:rsidR="002078D2" w:rsidRDefault="0020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CDC"/>
    <w:multiLevelType w:val="hybridMultilevel"/>
    <w:tmpl w:val="6B38C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597"/>
    <w:multiLevelType w:val="hybridMultilevel"/>
    <w:tmpl w:val="BBDC91B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DF4"/>
    <w:multiLevelType w:val="hybridMultilevel"/>
    <w:tmpl w:val="08643D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733A"/>
    <w:multiLevelType w:val="hybridMultilevel"/>
    <w:tmpl w:val="788C14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5723"/>
    <w:multiLevelType w:val="singleLevel"/>
    <w:tmpl w:val="9338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</w:abstractNum>
  <w:abstractNum w:abstractNumId="5" w15:restartNumberingAfterBreak="0">
    <w:nsid w:val="27B178EB"/>
    <w:multiLevelType w:val="hybridMultilevel"/>
    <w:tmpl w:val="605E8024"/>
    <w:lvl w:ilvl="0" w:tplc="B4B071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E3310"/>
    <w:multiLevelType w:val="hybridMultilevel"/>
    <w:tmpl w:val="6C20A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72D3A"/>
    <w:multiLevelType w:val="hybridMultilevel"/>
    <w:tmpl w:val="B2AE3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0196"/>
    <w:multiLevelType w:val="hybridMultilevel"/>
    <w:tmpl w:val="121C0C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94C19"/>
    <w:multiLevelType w:val="hybridMultilevel"/>
    <w:tmpl w:val="337A590C"/>
    <w:lvl w:ilvl="0" w:tplc="9E5A7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2E2053"/>
    <w:multiLevelType w:val="hybridMultilevel"/>
    <w:tmpl w:val="D4E01288"/>
    <w:lvl w:ilvl="0" w:tplc="9C722F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B4073D5"/>
    <w:multiLevelType w:val="hybridMultilevel"/>
    <w:tmpl w:val="23D60CBC"/>
    <w:lvl w:ilvl="0" w:tplc="3E20B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14C2B"/>
    <w:multiLevelType w:val="hybridMultilevel"/>
    <w:tmpl w:val="802230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67D5C"/>
    <w:multiLevelType w:val="hybridMultilevel"/>
    <w:tmpl w:val="811227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F4A19"/>
    <w:multiLevelType w:val="hybridMultilevel"/>
    <w:tmpl w:val="C35672DA"/>
    <w:lvl w:ilvl="0" w:tplc="B3BA6EEE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F26F5"/>
    <w:multiLevelType w:val="hybridMultilevel"/>
    <w:tmpl w:val="F8F0C5BC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0" w15:restartNumberingAfterBreak="0">
    <w:nsid w:val="767838F1"/>
    <w:multiLevelType w:val="hybridMultilevel"/>
    <w:tmpl w:val="4E522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144434"/>
    <w:multiLevelType w:val="hybridMultilevel"/>
    <w:tmpl w:val="5AA4C2FA"/>
    <w:lvl w:ilvl="0" w:tplc="3E20B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299E"/>
    <w:multiLevelType w:val="hybridMultilevel"/>
    <w:tmpl w:val="275EBF92"/>
    <w:lvl w:ilvl="0" w:tplc="F7CCE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6"/>
  </w:num>
  <w:num w:numId="4">
    <w:abstractNumId w:val="15"/>
  </w:num>
  <w:num w:numId="5">
    <w:abstractNumId w:val="23"/>
  </w:num>
  <w:num w:numId="6">
    <w:abstractNumId w:val="9"/>
  </w:num>
  <w:num w:numId="7">
    <w:abstractNumId w:val="2"/>
  </w:num>
  <w:num w:numId="8">
    <w:abstractNumId w:val="17"/>
  </w:num>
  <w:num w:numId="9">
    <w:abstractNumId w:val="5"/>
  </w:num>
  <w:num w:numId="10">
    <w:abstractNumId w:val="12"/>
  </w:num>
  <w:num w:numId="11">
    <w:abstractNumId w:val="20"/>
  </w:num>
  <w:num w:numId="12">
    <w:abstractNumId w:val="16"/>
  </w:num>
  <w:num w:numId="13">
    <w:abstractNumId w:val="1"/>
  </w:num>
  <w:num w:numId="14">
    <w:abstractNumId w:val="3"/>
  </w:num>
  <w:num w:numId="15">
    <w:abstractNumId w:val="8"/>
  </w:num>
  <w:num w:numId="16">
    <w:abstractNumId w:val="0"/>
  </w:num>
  <w:num w:numId="17">
    <w:abstractNumId w:val="22"/>
  </w:num>
  <w:num w:numId="18">
    <w:abstractNumId w:val="14"/>
  </w:num>
  <w:num w:numId="19">
    <w:abstractNumId w:val="10"/>
  </w:num>
  <w:num w:numId="20">
    <w:abstractNumId w:val="1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24112"/>
    <w:rsid w:val="000705C4"/>
    <w:rsid w:val="000771C3"/>
    <w:rsid w:val="00094E94"/>
    <w:rsid w:val="000B1683"/>
    <w:rsid w:val="000B58BD"/>
    <w:rsid w:val="0018249C"/>
    <w:rsid w:val="001864C3"/>
    <w:rsid w:val="001A7DEE"/>
    <w:rsid w:val="001C4818"/>
    <w:rsid w:val="002078D2"/>
    <w:rsid w:val="002C7001"/>
    <w:rsid w:val="00381188"/>
    <w:rsid w:val="003D02D2"/>
    <w:rsid w:val="0043344C"/>
    <w:rsid w:val="004C043E"/>
    <w:rsid w:val="00556AF1"/>
    <w:rsid w:val="00580EB3"/>
    <w:rsid w:val="005B75F3"/>
    <w:rsid w:val="006A1276"/>
    <w:rsid w:val="006C1513"/>
    <w:rsid w:val="006C3F94"/>
    <w:rsid w:val="006F5B90"/>
    <w:rsid w:val="00707926"/>
    <w:rsid w:val="0077356E"/>
    <w:rsid w:val="00781FE5"/>
    <w:rsid w:val="00851472"/>
    <w:rsid w:val="008617FE"/>
    <w:rsid w:val="008B20FD"/>
    <w:rsid w:val="008D3E71"/>
    <w:rsid w:val="008F15E6"/>
    <w:rsid w:val="00996E9D"/>
    <w:rsid w:val="009C70AB"/>
    <w:rsid w:val="00A0618A"/>
    <w:rsid w:val="00A5385C"/>
    <w:rsid w:val="00A80E47"/>
    <w:rsid w:val="00AC148B"/>
    <w:rsid w:val="00B440F1"/>
    <w:rsid w:val="00B73713"/>
    <w:rsid w:val="00B75F73"/>
    <w:rsid w:val="00BD04FA"/>
    <w:rsid w:val="00BF0E6A"/>
    <w:rsid w:val="00C0196E"/>
    <w:rsid w:val="00C869E4"/>
    <w:rsid w:val="00CB153C"/>
    <w:rsid w:val="00CB6AA3"/>
    <w:rsid w:val="00CB73AD"/>
    <w:rsid w:val="00CD2BE2"/>
    <w:rsid w:val="00D57B5E"/>
    <w:rsid w:val="00DC5583"/>
    <w:rsid w:val="00DD2711"/>
    <w:rsid w:val="00DF0BB7"/>
    <w:rsid w:val="00DF6C99"/>
    <w:rsid w:val="00E60813"/>
    <w:rsid w:val="00E76FCC"/>
    <w:rsid w:val="00EB042D"/>
    <w:rsid w:val="00EE38DD"/>
    <w:rsid w:val="00F22AA9"/>
    <w:rsid w:val="00F27F5E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E14DB5-FD8A-4F8D-A92E-1E1444A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C3F94"/>
    <w:rPr>
      <w:color w:val="0000FF"/>
      <w:u w:val="single"/>
    </w:rPr>
  </w:style>
  <w:style w:type="paragraph" w:styleId="Testonotaapidipagina">
    <w:name w:val="footnote text"/>
    <w:basedOn w:val="Normale"/>
    <w:semiHidden/>
    <w:rsid w:val="006C3F94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6C3F94"/>
    <w:rPr>
      <w:vertAlign w:val="superscript"/>
    </w:rPr>
  </w:style>
  <w:style w:type="paragraph" w:styleId="NormaleWeb">
    <w:name w:val="Normal (Web)"/>
    <w:basedOn w:val="Normale"/>
    <w:rsid w:val="006C3F9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Pidipagina">
    <w:name w:val="footer"/>
    <w:basedOn w:val="Normale"/>
    <w:rsid w:val="006C3F9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6C3F94"/>
  </w:style>
  <w:style w:type="paragraph" w:customStyle="1" w:styleId="Stile">
    <w:name w:val="Stile"/>
    <w:rsid w:val="00EB04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qFormat/>
    <w:rsid w:val="00B440F1"/>
    <w:rPr>
      <w:b/>
      <w:bCs/>
    </w:rPr>
  </w:style>
  <w:style w:type="paragraph" w:styleId="Testonotadichiusura">
    <w:name w:val="endnote text"/>
    <w:basedOn w:val="Normale"/>
    <w:link w:val="TestonotadichiusuraCarattere"/>
    <w:rsid w:val="006C1513"/>
    <w:rPr>
      <w:rFonts w:ascii="Times New Roman" w:hAnsi="Times New Roman"/>
      <w:sz w:val="20"/>
      <w:lang w:val="it-CH" w:eastAsia="it-CH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513"/>
  </w:style>
  <w:style w:type="paragraph" w:styleId="Paragrafoelenco">
    <w:name w:val="List Paragraph"/>
    <w:basedOn w:val="Normale"/>
    <w:qFormat/>
    <w:rsid w:val="000705C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rsid w:val="00DF0B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F0BB7"/>
    <w:rPr>
      <w:rFonts w:ascii="Arial" w:hAnsi="Arial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3264</CharactersWithSpaces>
  <SharedDoc>false</SharedDoc>
  <HLinks>
    <vt:vector size="12" baseType="variant"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https://www.cia.gov/library/publications/the-world-factbook/ rankorder/2001rank.html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http://www.repubblica.it/2006/11/sezioni/ambiente/efficienza-energetica/efficienza-california/ efficienza-california.html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2020-01-09T08:45:00Z</cp:lastPrinted>
  <dcterms:created xsi:type="dcterms:W3CDTF">2020-01-09T08:46:00Z</dcterms:created>
  <dcterms:modified xsi:type="dcterms:W3CDTF">2020-01-09T08:46:00Z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