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B26" w:rsidRPr="005F7B26" w:rsidRDefault="005F7B26" w:rsidP="005F7B26">
      <w:pPr>
        <w:jc w:val="both"/>
        <w:rPr>
          <w:rFonts w:cs="Arial"/>
          <w:sz w:val="23"/>
          <w:szCs w:val="23"/>
        </w:rPr>
      </w:pPr>
    </w:p>
    <w:p w:rsidR="005F7B26" w:rsidRPr="005F7B26" w:rsidRDefault="005F7B26" w:rsidP="005F7B26">
      <w:pPr>
        <w:spacing w:after="120"/>
        <w:jc w:val="both"/>
        <w:rPr>
          <w:rFonts w:cs="Arial"/>
          <w:b/>
          <w:sz w:val="23"/>
          <w:szCs w:val="23"/>
          <w:lang w:val="it-CH"/>
        </w:rPr>
      </w:pPr>
      <w:r w:rsidRPr="005F7B26">
        <w:rPr>
          <w:rFonts w:cs="Arial"/>
          <w:b/>
          <w:sz w:val="23"/>
          <w:szCs w:val="23"/>
          <w:lang w:val="it-CH"/>
        </w:rPr>
        <w:t>INTERPELLANZA</w:t>
      </w:r>
    </w:p>
    <w:p w:rsidR="005F7B26" w:rsidRPr="005F7B26" w:rsidRDefault="005F7B26" w:rsidP="005F7B26">
      <w:pPr>
        <w:jc w:val="both"/>
        <w:rPr>
          <w:rFonts w:cs="Arial"/>
          <w:sz w:val="23"/>
          <w:szCs w:val="23"/>
          <w:lang w:val="it-CH"/>
        </w:rPr>
      </w:pPr>
    </w:p>
    <w:p w:rsidR="005F7B26" w:rsidRPr="005F7B26" w:rsidRDefault="005F7B26" w:rsidP="005F7B26">
      <w:pPr>
        <w:jc w:val="both"/>
        <w:rPr>
          <w:rFonts w:cs="Arial"/>
          <w:b/>
          <w:sz w:val="23"/>
          <w:szCs w:val="23"/>
          <w:u w:val="single"/>
          <w:lang w:val="it-CH"/>
        </w:rPr>
      </w:pPr>
      <w:r w:rsidRPr="005F7B26">
        <w:rPr>
          <w:rFonts w:cs="Arial"/>
          <w:b/>
          <w:sz w:val="23"/>
          <w:szCs w:val="23"/>
          <w:u w:val="single"/>
          <w:lang w:val="it-CH"/>
        </w:rPr>
        <w:t>OFFS di Bellinzona: presi doppiamente per il... naso?</w:t>
      </w:r>
    </w:p>
    <w:p w:rsidR="005F7B26" w:rsidRPr="005F7B26" w:rsidRDefault="005F7B26" w:rsidP="005F7B26">
      <w:pPr>
        <w:jc w:val="both"/>
        <w:rPr>
          <w:rFonts w:cs="Arial"/>
          <w:sz w:val="23"/>
          <w:szCs w:val="23"/>
          <w:lang w:val="it-CH"/>
        </w:rPr>
      </w:pPr>
    </w:p>
    <w:p w:rsidR="005F7B26" w:rsidRPr="005F7B26" w:rsidRDefault="005F7B26" w:rsidP="005F7B26">
      <w:pPr>
        <w:spacing w:after="120"/>
        <w:jc w:val="both"/>
        <w:rPr>
          <w:rFonts w:cs="Arial"/>
          <w:sz w:val="23"/>
          <w:szCs w:val="23"/>
          <w:lang w:val="it-CH"/>
        </w:rPr>
      </w:pPr>
      <w:r w:rsidRPr="005F7B26">
        <w:rPr>
          <w:rFonts w:cs="Arial"/>
          <w:sz w:val="23"/>
          <w:szCs w:val="23"/>
          <w:lang w:val="it-CH"/>
        </w:rPr>
        <w:t>del 10 marzo 2008</w:t>
      </w:r>
    </w:p>
    <w:p w:rsidR="005F7B26" w:rsidRPr="005F7B26" w:rsidRDefault="005F7B26" w:rsidP="005F7B26">
      <w:pPr>
        <w:jc w:val="both"/>
        <w:rPr>
          <w:rFonts w:cs="Arial"/>
          <w:sz w:val="23"/>
          <w:szCs w:val="23"/>
          <w:lang w:val="it-CH"/>
        </w:rPr>
      </w:pPr>
    </w:p>
    <w:p w:rsidR="005F7B26" w:rsidRPr="005F7B26" w:rsidRDefault="005F7B26" w:rsidP="005F7B26">
      <w:pPr>
        <w:jc w:val="both"/>
        <w:rPr>
          <w:rFonts w:cs="Arial"/>
          <w:sz w:val="23"/>
          <w:szCs w:val="23"/>
          <w:lang w:val="it-CH"/>
        </w:rPr>
      </w:pPr>
      <w:r w:rsidRPr="005F7B26">
        <w:rPr>
          <w:rFonts w:cs="Arial"/>
          <w:sz w:val="23"/>
          <w:szCs w:val="23"/>
          <w:lang w:val="it-CH"/>
        </w:rPr>
        <w:t>La vicenda delle Officine FFS e la man</w:t>
      </w:r>
      <w:smartTag w:uri="urn:schemas-microsoft-com:office:smarttags" w:element="PersonName">
        <w:r w:rsidRPr="005F7B26">
          <w:rPr>
            <w:rFonts w:cs="Arial"/>
            <w:sz w:val="23"/>
            <w:szCs w:val="23"/>
            <w:lang w:val="it-CH"/>
          </w:rPr>
          <w:t>can</w:t>
        </w:r>
      </w:smartTag>
      <w:r w:rsidRPr="005F7B26">
        <w:rPr>
          <w:rFonts w:cs="Arial"/>
          <w:sz w:val="23"/>
          <w:szCs w:val="23"/>
          <w:lang w:val="it-CH"/>
        </w:rPr>
        <w:t>za di sensibilità dimostrata a livello federale nei confronti delle giuste rivendicazioni del Ticino a difesa di una struttura che dà lavoro a quasi 400 persone dimostrano come il nostro Cantone, al di là delle verbali attestazioni di "simpatia", venga poi in pratica preso per il... naso dalla Confederazione.</w:t>
      </w:r>
    </w:p>
    <w:p w:rsidR="005F7B26" w:rsidRPr="005F7B26" w:rsidRDefault="005F7B26" w:rsidP="005F7B26">
      <w:pPr>
        <w:jc w:val="both"/>
        <w:rPr>
          <w:rFonts w:cs="Arial"/>
          <w:sz w:val="23"/>
          <w:szCs w:val="23"/>
        </w:rPr>
      </w:pPr>
      <w:r w:rsidRPr="005F7B26">
        <w:rPr>
          <w:rFonts w:cs="Arial"/>
          <w:sz w:val="23"/>
          <w:szCs w:val="23"/>
        </w:rPr>
        <w:t>Al proposito è opportuno ricordare la questione dei ristorni delle imposte pagate dai frontalieri. La quota d’imposte alla fonte ristornata all’Italia, a seguito dell’accordo del 1974, è del 40%, mentre quella che viene riversata all’Austria è, come noto, del 12.5%. Una situazione che penalizza vistosamente il nostro Cantone, dove lavorano i frontalieri italiani (ormai 40mila) e al quale vengono pertanto a mancare entrate fiscali importanti, e questo da oltre 30 anni: non è fuori luogo immaginare, sull’arco del trentennio, man</w:t>
      </w:r>
      <w:smartTag w:uri="urn:schemas-microsoft-com:office:smarttags" w:element="PersonName">
        <w:r w:rsidRPr="005F7B26">
          <w:rPr>
            <w:rFonts w:cs="Arial"/>
            <w:sz w:val="23"/>
            <w:szCs w:val="23"/>
          </w:rPr>
          <w:t>can</w:t>
        </w:r>
      </w:smartTag>
      <w:r w:rsidRPr="005F7B26">
        <w:rPr>
          <w:rFonts w:cs="Arial"/>
          <w:sz w:val="23"/>
          <w:szCs w:val="23"/>
        </w:rPr>
        <w:t>ti introiti totali, per le casse pubbliche ticinesi, di oltre 600 milioni di franchi.</w:t>
      </w:r>
    </w:p>
    <w:p w:rsidR="005F7B26" w:rsidRPr="005F7B26" w:rsidRDefault="005F7B26" w:rsidP="005F7B26">
      <w:pPr>
        <w:jc w:val="both"/>
        <w:rPr>
          <w:rFonts w:cs="Arial"/>
          <w:sz w:val="23"/>
          <w:szCs w:val="23"/>
        </w:rPr>
      </w:pPr>
      <w:r w:rsidRPr="005F7B26">
        <w:rPr>
          <w:rFonts w:cs="Arial"/>
          <w:sz w:val="23"/>
          <w:szCs w:val="23"/>
        </w:rPr>
        <w:t>Interrogato al proposito</w:t>
      </w:r>
      <w:r w:rsidRPr="005F7B26">
        <w:rPr>
          <w:rFonts w:cs="Arial"/>
          <w:sz w:val="23"/>
          <w:szCs w:val="23"/>
          <w:vertAlign w:val="superscript"/>
        </w:rPr>
        <w:footnoteReference w:id="1"/>
      </w:r>
      <w:r w:rsidRPr="005F7B26">
        <w:rPr>
          <w:rFonts w:cs="Arial"/>
          <w:sz w:val="23"/>
          <w:szCs w:val="23"/>
        </w:rPr>
        <w:t xml:space="preserve"> sull’ipotesi di sollecitare la Confederazione a </w:t>
      </w:r>
      <w:proofErr w:type="spellStart"/>
      <w:r w:rsidRPr="005F7B26">
        <w:rPr>
          <w:rFonts w:cs="Arial"/>
          <w:sz w:val="23"/>
          <w:szCs w:val="23"/>
        </w:rPr>
        <w:t>rinegozionare</w:t>
      </w:r>
      <w:proofErr w:type="spellEnd"/>
      <w:r w:rsidRPr="005F7B26">
        <w:rPr>
          <w:rFonts w:cs="Arial"/>
          <w:sz w:val="23"/>
          <w:szCs w:val="23"/>
        </w:rPr>
        <w:t xml:space="preserve"> l’accordo con l’Italia sulla base di quello austriaco, il Consiglio di Stato ha in sostanza risposto che è inopportuno "stuzzicare il </w:t>
      </w:r>
      <w:smartTag w:uri="urn:schemas-microsoft-com:office:smarttags" w:element="PersonName">
        <w:r w:rsidRPr="005F7B26">
          <w:rPr>
            <w:rFonts w:cs="Arial"/>
            <w:sz w:val="23"/>
            <w:szCs w:val="23"/>
          </w:rPr>
          <w:t>can</w:t>
        </w:r>
      </w:smartTag>
      <w:r w:rsidRPr="005F7B26">
        <w:rPr>
          <w:rFonts w:cs="Arial"/>
          <w:sz w:val="23"/>
          <w:szCs w:val="23"/>
        </w:rPr>
        <w:t xml:space="preserve"> che dorme" nell’attuale situazione internazionale, con riferimenti impliciti alle tensioni tra Svizzera e UE in merito al segreto bancario. </w:t>
      </w:r>
    </w:p>
    <w:p w:rsidR="005F7B26" w:rsidRPr="005F7B26" w:rsidRDefault="005F7B26" w:rsidP="005F7B26">
      <w:pPr>
        <w:jc w:val="both"/>
        <w:rPr>
          <w:rFonts w:cs="Arial"/>
          <w:sz w:val="23"/>
          <w:szCs w:val="23"/>
        </w:rPr>
      </w:pPr>
      <w:r w:rsidRPr="005F7B26">
        <w:rPr>
          <w:rFonts w:cs="Arial"/>
          <w:sz w:val="23"/>
          <w:szCs w:val="23"/>
        </w:rPr>
        <w:t xml:space="preserve">In sostanza, per il bene del segreto bancario, che torna a vantaggio di tutta la Svizzera, il Ticino paga per tutti, sopportando il peso di un accordo discriminante. </w:t>
      </w:r>
    </w:p>
    <w:p w:rsidR="005F7B26" w:rsidRPr="005F7B26" w:rsidRDefault="005F7B26" w:rsidP="005F7B26">
      <w:pPr>
        <w:jc w:val="both"/>
        <w:rPr>
          <w:rFonts w:cs="Arial"/>
          <w:sz w:val="23"/>
          <w:szCs w:val="23"/>
        </w:rPr>
      </w:pPr>
      <w:r w:rsidRPr="005F7B26">
        <w:rPr>
          <w:rFonts w:cs="Arial"/>
          <w:sz w:val="23"/>
          <w:szCs w:val="23"/>
        </w:rPr>
        <w:t>Questo senza ricevere da Berna alcuna compensazione a seguito delle entrate fiscali che vengono a mancare in conseguenza del discriminante (per noi) accordo con l’Italia sul ristorno delle imposte pagate dai frontalieri. A questo si aggiunge ora l’indifferenza di Berna nei confronti dello smantellamento delle OFFS di Bellinzona. A questo punto la domanda viene spontanea: a Berna non si sta tirando un po’ troppo la corda?</w:t>
      </w:r>
    </w:p>
    <w:p w:rsidR="005F7B26" w:rsidRPr="005F7B26" w:rsidRDefault="005F7B26" w:rsidP="005F7B26">
      <w:pPr>
        <w:jc w:val="both"/>
        <w:rPr>
          <w:rFonts w:cs="Arial"/>
          <w:sz w:val="23"/>
          <w:szCs w:val="23"/>
        </w:rPr>
      </w:pPr>
    </w:p>
    <w:p w:rsidR="005F7B26" w:rsidRPr="005F7B26" w:rsidRDefault="005F7B26" w:rsidP="005F7B26">
      <w:pPr>
        <w:jc w:val="both"/>
        <w:rPr>
          <w:rFonts w:cs="Arial"/>
          <w:sz w:val="23"/>
          <w:szCs w:val="23"/>
        </w:rPr>
      </w:pPr>
      <w:r w:rsidRPr="005F7B26">
        <w:rPr>
          <w:rFonts w:cs="Arial"/>
          <w:sz w:val="23"/>
          <w:szCs w:val="23"/>
        </w:rPr>
        <w:t>Chiedo pertanto:</w:t>
      </w:r>
    </w:p>
    <w:p w:rsidR="005F7B26" w:rsidRPr="005F7B26" w:rsidRDefault="005F7B26" w:rsidP="005F7B26">
      <w:pPr>
        <w:jc w:val="both"/>
        <w:rPr>
          <w:rFonts w:cs="Arial"/>
          <w:sz w:val="23"/>
          <w:szCs w:val="23"/>
        </w:rPr>
      </w:pPr>
    </w:p>
    <w:p w:rsidR="005F7B26" w:rsidRPr="005F7B26" w:rsidRDefault="005F7B26" w:rsidP="005F7B26">
      <w:pPr>
        <w:numPr>
          <w:ilvl w:val="0"/>
          <w:numId w:val="33"/>
        </w:numPr>
        <w:jc w:val="both"/>
        <w:rPr>
          <w:rFonts w:cs="Arial"/>
          <w:sz w:val="23"/>
          <w:szCs w:val="23"/>
        </w:rPr>
      </w:pPr>
      <w:r w:rsidRPr="005F7B26">
        <w:rPr>
          <w:rFonts w:cs="Arial"/>
          <w:sz w:val="23"/>
          <w:szCs w:val="23"/>
        </w:rPr>
        <w:t xml:space="preserve">è intenzione del Consiglio di Stato ricordare, quale ulteriore mezzo di pressione nei confronti della Confederazione, che il Ticino, a seguito dell’accordo con l’Italia sui ristorni delle imposte dei frontalieri - accordo che non può (?) venire toccato per (comprensibili) questioni di politica internazionale e di tutela del segreto bancario - perde importanti entrate fiscali pagando da solo per il bene di tutta la piazza finanziaria elvetica, e questo senza compensazioni da Berna, e pertanto in tali condizioni lo smantellamento di quasi 400 posti di lavoro delle OFFS di Bellinzona appare del tutto, e doppiamente, inaccettabile? </w:t>
      </w:r>
    </w:p>
    <w:p w:rsidR="005F7B26" w:rsidRPr="005F7B26" w:rsidRDefault="005F7B26" w:rsidP="005F7B26">
      <w:pPr>
        <w:jc w:val="both"/>
        <w:rPr>
          <w:rFonts w:cs="Arial"/>
          <w:sz w:val="23"/>
          <w:szCs w:val="23"/>
        </w:rPr>
      </w:pPr>
    </w:p>
    <w:p w:rsidR="005F7B26" w:rsidRPr="005F7B26" w:rsidRDefault="005F7B26" w:rsidP="005F7B26">
      <w:pPr>
        <w:numPr>
          <w:ilvl w:val="0"/>
          <w:numId w:val="33"/>
        </w:numPr>
        <w:jc w:val="both"/>
        <w:rPr>
          <w:rFonts w:cs="Arial"/>
          <w:sz w:val="23"/>
          <w:szCs w:val="23"/>
        </w:rPr>
      </w:pPr>
      <w:r w:rsidRPr="005F7B26">
        <w:rPr>
          <w:rFonts w:cs="Arial"/>
          <w:sz w:val="23"/>
          <w:szCs w:val="23"/>
        </w:rPr>
        <w:t>È intenzione del Consiglio di Stato esigere dal Consiglio federale, in considerazione della situazione sopra descritta, un’azione decisa dell’Autorità federale nei confronti della direzione FFS contro il preventivato (e illogico) smantellamento delle OFFS di Bellinzona?</w:t>
      </w:r>
    </w:p>
    <w:p w:rsidR="005F7B26" w:rsidRPr="005F7B26" w:rsidRDefault="005F7B26" w:rsidP="005F7B26">
      <w:pPr>
        <w:jc w:val="both"/>
        <w:rPr>
          <w:rFonts w:cs="Arial"/>
          <w:sz w:val="23"/>
          <w:szCs w:val="23"/>
        </w:rPr>
      </w:pPr>
    </w:p>
    <w:p w:rsidR="005F7B26" w:rsidRPr="005F7B26" w:rsidRDefault="005F7B26" w:rsidP="005F7B26">
      <w:pPr>
        <w:jc w:val="both"/>
        <w:rPr>
          <w:rFonts w:cs="Arial"/>
          <w:sz w:val="23"/>
          <w:szCs w:val="23"/>
        </w:rPr>
      </w:pPr>
    </w:p>
    <w:p w:rsidR="005F7B26" w:rsidRPr="005F7B26" w:rsidRDefault="005F7B26" w:rsidP="005F7B26">
      <w:pPr>
        <w:jc w:val="both"/>
        <w:rPr>
          <w:rFonts w:cs="Arial"/>
          <w:sz w:val="23"/>
          <w:szCs w:val="23"/>
        </w:rPr>
      </w:pPr>
      <w:r w:rsidRPr="005F7B26">
        <w:rPr>
          <w:rFonts w:cs="Arial"/>
          <w:sz w:val="23"/>
          <w:szCs w:val="23"/>
        </w:rPr>
        <w:t>Lorenzo Quadri</w:t>
      </w:r>
    </w:p>
    <w:p w:rsidR="000C2946" w:rsidRPr="000C2946" w:rsidRDefault="000C2946" w:rsidP="005F7B26">
      <w:bookmarkStart w:id="0" w:name="_GoBack"/>
      <w:bookmarkEnd w:id="0"/>
    </w:p>
    <w:sectPr w:rsidR="000C2946" w:rsidRPr="000C2946" w:rsidSect="009412B8">
      <w:pgSz w:w="11906" w:h="16838"/>
      <w:pgMar w:top="1417"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BFC" w:rsidRDefault="007E6BFC" w:rsidP="007E6BFC">
      <w:r>
        <w:separator/>
      </w:r>
    </w:p>
  </w:endnote>
  <w:endnote w:type="continuationSeparator" w:id="0">
    <w:p w:rsidR="007E6BFC" w:rsidRDefault="007E6BFC" w:rsidP="007E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BFC" w:rsidRDefault="007E6BFC" w:rsidP="007E6BFC">
      <w:r>
        <w:separator/>
      </w:r>
    </w:p>
  </w:footnote>
  <w:footnote w:type="continuationSeparator" w:id="0">
    <w:p w:rsidR="007E6BFC" w:rsidRDefault="007E6BFC" w:rsidP="007E6BFC">
      <w:r>
        <w:continuationSeparator/>
      </w:r>
    </w:p>
  </w:footnote>
  <w:footnote w:id="1">
    <w:p w:rsidR="005F7B26" w:rsidRPr="00224219" w:rsidRDefault="005F7B26" w:rsidP="005F7B26">
      <w:pPr>
        <w:pStyle w:val="Testonotaapidipagina"/>
        <w:rPr>
          <w:rFonts w:ascii="Arial" w:hAnsi="Arial" w:cs="Arial"/>
        </w:rPr>
      </w:pPr>
      <w:r w:rsidRPr="00224219">
        <w:rPr>
          <w:rStyle w:val="Rimandonotaapidipagina"/>
          <w:rFonts w:ascii="Arial" w:hAnsi="Arial" w:cs="Arial"/>
        </w:rPr>
        <w:footnoteRef/>
      </w:r>
      <w:r w:rsidRPr="00224219">
        <w:rPr>
          <w:rFonts w:ascii="Arial" w:hAnsi="Arial" w:cs="Arial"/>
        </w:rPr>
        <w:t xml:space="preserve">vedi interrogazioni </w:t>
      </w:r>
      <w:r>
        <w:rPr>
          <w:rFonts w:ascii="Arial" w:hAnsi="Arial" w:cs="Arial"/>
        </w:rPr>
        <w:t xml:space="preserve">n. </w:t>
      </w:r>
      <w:r w:rsidRPr="00224219">
        <w:rPr>
          <w:rFonts w:ascii="Arial" w:hAnsi="Arial" w:cs="Arial"/>
        </w:rPr>
        <w:t xml:space="preserve">96.07, 98.07, 100.07, 102.07 e la risposta del </w:t>
      </w:r>
      <w:r>
        <w:rPr>
          <w:rFonts w:ascii="Arial" w:hAnsi="Arial" w:cs="Arial"/>
        </w:rPr>
        <w:t>Consiglio di Stato.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650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4A00AF8"/>
    <w:multiLevelType w:val="hybridMultilevel"/>
    <w:tmpl w:val="1CDEAF7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6C440CE"/>
    <w:multiLevelType w:val="hybridMultilevel"/>
    <w:tmpl w:val="50EA9928"/>
    <w:lvl w:ilvl="0" w:tplc="04100017">
      <w:start w:val="1"/>
      <w:numFmt w:val="lowerLetter"/>
      <w:lvlText w:val="%1)"/>
      <w:lvlJc w:val="left"/>
      <w:pPr>
        <w:tabs>
          <w:tab w:val="num" w:pos="720"/>
        </w:tabs>
        <w:ind w:left="720" w:hanging="360"/>
      </w:pPr>
      <w:rPr>
        <w:rFonts w:hint="default"/>
      </w:rPr>
    </w:lvl>
    <w:lvl w:ilvl="1" w:tplc="6D909948">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3090031"/>
    <w:multiLevelType w:val="hybridMultilevel"/>
    <w:tmpl w:val="1D34C7FC"/>
    <w:lvl w:ilvl="0" w:tplc="57A6CDD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15752"/>
    <w:multiLevelType w:val="multilevel"/>
    <w:tmpl w:val="411C1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BD76D8"/>
    <w:multiLevelType w:val="hybridMultilevel"/>
    <w:tmpl w:val="22FEE6C6"/>
    <w:lvl w:ilvl="0" w:tplc="7506E83E">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B46CE"/>
    <w:multiLevelType w:val="multilevel"/>
    <w:tmpl w:val="08F0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066D16"/>
    <w:multiLevelType w:val="hybridMultilevel"/>
    <w:tmpl w:val="59A45B3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C9D7AFE"/>
    <w:multiLevelType w:val="hybridMultilevel"/>
    <w:tmpl w:val="64E8B2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9E641A"/>
    <w:multiLevelType w:val="hybridMultilevel"/>
    <w:tmpl w:val="B47EE2E0"/>
    <w:lvl w:ilvl="0" w:tplc="08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92659AD"/>
    <w:multiLevelType w:val="hybridMultilevel"/>
    <w:tmpl w:val="237CD7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9C14C7"/>
    <w:multiLevelType w:val="hybridMultilevel"/>
    <w:tmpl w:val="0A4A3C60"/>
    <w:lvl w:ilvl="0" w:tplc="B1963E58">
      <w:start w:val="2"/>
      <w:numFmt w:val="bullet"/>
      <w:lvlText w:val="-"/>
      <w:lvlJc w:val="left"/>
      <w:pPr>
        <w:tabs>
          <w:tab w:val="num" w:pos="720"/>
        </w:tabs>
        <w:ind w:left="720" w:hanging="360"/>
      </w:pPr>
      <w:rPr>
        <w:rFonts w:ascii="Arial" w:eastAsia="Times New Roman" w:hAnsi="Arial" w:cs="Arial" w:hint="default"/>
        <w:color w:val="0F0F0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E20A16"/>
    <w:multiLevelType w:val="hybridMultilevel"/>
    <w:tmpl w:val="2486B254"/>
    <w:lvl w:ilvl="0" w:tplc="08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E4F4356"/>
    <w:multiLevelType w:val="hybridMultilevel"/>
    <w:tmpl w:val="40D47F6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4A67C19"/>
    <w:multiLevelType w:val="hybridMultilevel"/>
    <w:tmpl w:val="5256113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35194DA6"/>
    <w:multiLevelType w:val="hybridMultilevel"/>
    <w:tmpl w:val="4F9A3E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434532"/>
    <w:multiLevelType w:val="hybridMultilevel"/>
    <w:tmpl w:val="F15E3338"/>
    <w:lvl w:ilvl="0" w:tplc="F4505CE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0A4642"/>
    <w:multiLevelType w:val="hybridMultilevel"/>
    <w:tmpl w:val="43A8D076"/>
    <w:lvl w:ilvl="0" w:tplc="64069AD2">
      <w:start w:val="1"/>
      <w:numFmt w:val="bullet"/>
      <w:lvlText w:val=""/>
      <w:lvlJc w:val="left"/>
      <w:pPr>
        <w:tabs>
          <w:tab w:val="num" w:pos="340"/>
        </w:tabs>
        <w:ind w:left="397" w:hanging="39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A52B4B"/>
    <w:multiLevelType w:val="hybridMultilevel"/>
    <w:tmpl w:val="369696BE"/>
    <w:lvl w:ilvl="0" w:tplc="55702F26">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97B2C6A"/>
    <w:multiLevelType w:val="multilevel"/>
    <w:tmpl w:val="4402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5F3847"/>
    <w:multiLevelType w:val="hybridMultilevel"/>
    <w:tmpl w:val="A7D8927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56FB2CE9"/>
    <w:multiLevelType w:val="hybridMultilevel"/>
    <w:tmpl w:val="1EA04CFC"/>
    <w:lvl w:ilvl="0" w:tplc="2510563E">
      <w:start w:val="6500"/>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EE3746D"/>
    <w:multiLevelType w:val="hybridMultilevel"/>
    <w:tmpl w:val="14F6A1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7D13E4"/>
    <w:multiLevelType w:val="hybridMultilevel"/>
    <w:tmpl w:val="A5BC8D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68D87CA0"/>
    <w:multiLevelType w:val="hybridMultilevel"/>
    <w:tmpl w:val="D3ECA5F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96D4D5A"/>
    <w:multiLevelType w:val="hybridMultilevel"/>
    <w:tmpl w:val="FFECCFDA"/>
    <w:lvl w:ilvl="0" w:tplc="B9E4FE22">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B635E6"/>
    <w:multiLevelType w:val="hybridMultilevel"/>
    <w:tmpl w:val="EF148140"/>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E786D"/>
    <w:multiLevelType w:val="hybridMultilevel"/>
    <w:tmpl w:val="863ADC6C"/>
    <w:lvl w:ilvl="0" w:tplc="0409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884FCB"/>
    <w:multiLevelType w:val="multilevel"/>
    <w:tmpl w:val="B3A2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DC5A54"/>
    <w:multiLevelType w:val="hybridMultilevel"/>
    <w:tmpl w:val="F538F826"/>
    <w:lvl w:ilvl="0" w:tplc="04100001">
      <w:start w:val="1"/>
      <w:numFmt w:val="bullet"/>
      <w:lvlText w:val=""/>
      <w:lvlJc w:val="left"/>
      <w:pPr>
        <w:tabs>
          <w:tab w:val="num" w:pos="720"/>
        </w:tabs>
        <w:ind w:left="720" w:hanging="360"/>
      </w:pPr>
      <w:rPr>
        <w:rFonts w:ascii="Symbol" w:hAnsi="Symbol" w:hint="default"/>
      </w:rPr>
    </w:lvl>
    <w:lvl w:ilvl="1" w:tplc="6ECE68DE">
      <w:start w:val="1"/>
      <w:numFmt w:val="decimal"/>
      <w:lvlText w:val="%2."/>
      <w:lvlJc w:val="left"/>
      <w:pPr>
        <w:tabs>
          <w:tab w:val="num" w:pos="1440"/>
        </w:tabs>
        <w:ind w:left="1440" w:hanging="360"/>
      </w:pPr>
      <w:rPr>
        <w:rFonts w:ascii="Arial" w:hAnsi="Arial" w:hint="default"/>
        <w:b w:val="0"/>
        <w:i w:val="0"/>
        <w:sz w:val="22"/>
        <w:szCs w:val="2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0F1FA3"/>
    <w:multiLevelType w:val="hybridMultilevel"/>
    <w:tmpl w:val="FA9826F4"/>
    <w:lvl w:ilvl="0" w:tplc="DEC4C146">
      <w:start w:val="6774"/>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841FCC"/>
    <w:multiLevelType w:val="hybridMultilevel"/>
    <w:tmpl w:val="2666977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DB6445"/>
    <w:multiLevelType w:val="hybridMultilevel"/>
    <w:tmpl w:val="EC80955A"/>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BD3245B"/>
    <w:multiLevelType w:val="hybridMultilevel"/>
    <w:tmpl w:val="C5FE5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567063"/>
    <w:multiLevelType w:val="hybridMultilevel"/>
    <w:tmpl w:val="409279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5"/>
  </w:num>
  <w:num w:numId="4">
    <w:abstractNumId w:val="15"/>
  </w:num>
  <w:num w:numId="5">
    <w:abstractNumId w:val="30"/>
  </w:num>
  <w:num w:numId="6">
    <w:abstractNumId w:val="9"/>
  </w:num>
  <w:num w:numId="7">
    <w:abstractNumId w:val="27"/>
  </w:num>
  <w:num w:numId="8">
    <w:abstractNumId w:val="34"/>
  </w:num>
  <w:num w:numId="9">
    <w:abstractNumId w:val="10"/>
  </w:num>
  <w:num w:numId="10">
    <w:abstractNumId w:val="28"/>
  </w:num>
  <w:num w:numId="11">
    <w:abstractNumId w:val="2"/>
  </w:num>
  <w:num w:numId="12">
    <w:abstractNumId w:val="3"/>
  </w:num>
  <w:num w:numId="13">
    <w:abstractNumId w:val="12"/>
  </w:num>
  <w:num w:numId="14">
    <w:abstractNumId w:val="13"/>
  </w:num>
  <w:num w:numId="15">
    <w:abstractNumId w:val="16"/>
  </w:num>
  <w:num w:numId="16">
    <w:abstractNumId w:val="32"/>
  </w:num>
  <w:num w:numId="17">
    <w:abstractNumId w:val="14"/>
  </w:num>
  <w:num w:numId="18">
    <w:abstractNumId w:val="5"/>
  </w:num>
  <w:num w:numId="19">
    <w:abstractNumId w:val="31"/>
  </w:num>
  <w:num w:numId="20">
    <w:abstractNumId w:val="8"/>
  </w:num>
  <w:num w:numId="21">
    <w:abstractNumId w:val="7"/>
  </w:num>
  <w:num w:numId="22">
    <w:abstractNumId w:val="29"/>
  </w:num>
  <w:num w:numId="23">
    <w:abstractNumId w:val="20"/>
  </w:num>
  <w:num w:numId="24">
    <w:abstractNumId w:val="17"/>
  </w:num>
  <w:num w:numId="25">
    <w:abstractNumId w:val="23"/>
  </w:num>
  <w:num w:numId="26">
    <w:abstractNumId w:val="21"/>
  </w:num>
  <w:num w:numId="27">
    <w:abstractNumId w:val="11"/>
  </w:num>
  <w:num w:numId="28">
    <w:abstractNumId w:val="6"/>
  </w:num>
  <w:num w:numId="29">
    <w:abstractNumId w:val="35"/>
  </w:num>
  <w:num w:numId="30">
    <w:abstractNumId w:val="18"/>
  </w:num>
  <w:num w:numId="31">
    <w:abstractNumId w:val="22"/>
  </w:num>
  <w:num w:numId="32">
    <w:abstractNumId w:val="33"/>
  </w:num>
  <w:num w:numId="33">
    <w:abstractNumId w:val="0"/>
  </w:num>
  <w:num w:numId="34">
    <w:abstractNumId w:val="26"/>
  </w:num>
  <w:num w:numId="35">
    <w:abstractNumId w:val="19"/>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04"/>
    <w:rsid w:val="000631A5"/>
    <w:rsid w:val="000C2946"/>
    <w:rsid w:val="000F3623"/>
    <w:rsid w:val="001B3C93"/>
    <w:rsid w:val="001D41DF"/>
    <w:rsid w:val="001D62B9"/>
    <w:rsid w:val="001F51FD"/>
    <w:rsid w:val="002F25A1"/>
    <w:rsid w:val="00397EF6"/>
    <w:rsid w:val="003D4340"/>
    <w:rsid w:val="00410377"/>
    <w:rsid w:val="004468EA"/>
    <w:rsid w:val="00451D15"/>
    <w:rsid w:val="004B2C1D"/>
    <w:rsid w:val="004B5B7B"/>
    <w:rsid w:val="004E4104"/>
    <w:rsid w:val="00557916"/>
    <w:rsid w:val="005B732A"/>
    <w:rsid w:val="005C2B97"/>
    <w:rsid w:val="005F4248"/>
    <w:rsid w:val="005F7B26"/>
    <w:rsid w:val="00657BC0"/>
    <w:rsid w:val="00684E13"/>
    <w:rsid w:val="006961C0"/>
    <w:rsid w:val="006B6342"/>
    <w:rsid w:val="006F0A92"/>
    <w:rsid w:val="007C223A"/>
    <w:rsid w:val="007E6BFC"/>
    <w:rsid w:val="007F0174"/>
    <w:rsid w:val="00870A33"/>
    <w:rsid w:val="00920084"/>
    <w:rsid w:val="0092041F"/>
    <w:rsid w:val="009412B8"/>
    <w:rsid w:val="009A0E41"/>
    <w:rsid w:val="009E5632"/>
    <w:rsid w:val="009E7A0A"/>
    <w:rsid w:val="00A713E5"/>
    <w:rsid w:val="00B142E8"/>
    <w:rsid w:val="00B24C62"/>
    <w:rsid w:val="00B40AA1"/>
    <w:rsid w:val="00BE3FF8"/>
    <w:rsid w:val="00C40042"/>
    <w:rsid w:val="00D720BD"/>
    <w:rsid w:val="00E40B09"/>
    <w:rsid w:val="00E84EA3"/>
    <w:rsid w:val="00E93B69"/>
    <w:rsid w:val="00F55FFC"/>
    <w:rsid w:val="00F600A2"/>
    <w:rsid w:val="00F851CA"/>
    <w:rsid w:val="00FC1D0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CD59657"/>
  <w15:chartTrackingRefBased/>
  <w15:docId w15:val="{2C39D0A8-F85F-4E5B-AE95-3064A216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4104"/>
    <w:pPr>
      <w:spacing w:after="0" w:line="240" w:lineRule="auto"/>
    </w:pPr>
    <w:rPr>
      <w:rFonts w:ascii="Arial" w:eastAsia="Times New Roman" w:hAnsi="Arial"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E4104"/>
    <w:pPr>
      <w:jc w:val="both"/>
    </w:pPr>
    <w:rPr>
      <w:i/>
      <w:lang w:val="it-CH"/>
    </w:rPr>
  </w:style>
  <w:style w:type="character" w:customStyle="1" w:styleId="CorpotestoCarattere">
    <w:name w:val="Corpo testo Carattere"/>
    <w:basedOn w:val="Carpredefinitoparagrafo"/>
    <w:link w:val="Corpotesto"/>
    <w:rsid w:val="004E4104"/>
    <w:rPr>
      <w:rFonts w:ascii="Arial" w:eastAsia="Times New Roman" w:hAnsi="Arial" w:cs="Times New Roman"/>
      <w:i/>
      <w:sz w:val="24"/>
      <w:szCs w:val="20"/>
      <w:lang w:eastAsia="it-IT"/>
    </w:rPr>
  </w:style>
  <w:style w:type="paragraph" w:styleId="Testofumetto">
    <w:name w:val="Balloon Text"/>
    <w:basedOn w:val="Normale"/>
    <w:link w:val="TestofumettoCarattere"/>
    <w:uiPriority w:val="99"/>
    <w:semiHidden/>
    <w:unhideWhenUsed/>
    <w:rsid w:val="00BE3FF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3FF8"/>
    <w:rPr>
      <w:rFonts w:ascii="Segoe UI" w:eastAsia="Times New Roman" w:hAnsi="Segoe UI" w:cs="Segoe UI"/>
      <w:sz w:val="18"/>
      <w:szCs w:val="18"/>
      <w:lang w:val="it-IT" w:eastAsia="it-IT"/>
    </w:rPr>
  </w:style>
  <w:style w:type="paragraph" w:styleId="Testonotaapidipagina">
    <w:name w:val="footnote text"/>
    <w:basedOn w:val="Normale"/>
    <w:link w:val="TestonotaapidipaginaCarattere"/>
    <w:semiHidden/>
    <w:rsid w:val="007E6BFC"/>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semiHidden/>
    <w:rsid w:val="007E6BFC"/>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7E6BFC"/>
    <w:rPr>
      <w:vertAlign w:val="superscript"/>
    </w:rPr>
  </w:style>
  <w:style w:type="paragraph" w:styleId="Corpodeltesto2">
    <w:name w:val="Body Text 2"/>
    <w:basedOn w:val="Normale"/>
    <w:link w:val="Corpodeltesto2Carattere"/>
    <w:uiPriority w:val="99"/>
    <w:semiHidden/>
    <w:unhideWhenUsed/>
    <w:rsid w:val="00451D15"/>
    <w:pPr>
      <w:spacing w:after="120" w:line="480" w:lineRule="auto"/>
    </w:pPr>
  </w:style>
  <w:style w:type="character" w:customStyle="1" w:styleId="Corpodeltesto2Carattere">
    <w:name w:val="Corpo del testo 2 Carattere"/>
    <w:basedOn w:val="Carpredefinitoparagrafo"/>
    <w:link w:val="Corpodeltesto2"/>
    <w:uiPriority w:val="99"/>
    <w:semiHidden/>
    <w:rsid w:val="00451D15"/>
    <w:rPr>
      <w:rFonts w:ascii="Arial" w:eastAsia="Times New Roman" w:hAnsi="Arial" w:cs="Times New Roman"/>
      <w:sz w:val="24"/>
      <w:szCs w:val="20"/>
      <w:lang w:val="it-IT" w:eastAsia="it-IT"/>
    </w:rPr>
  </w:style>
  <w:style w:type="table" w:styleId="Grigliatabella">
    <w:name w:val="Table Grid"/>
    <w:basedOn w:val="Tabellanormale"/>
    <w:rsid w:val="005B732A"/>
    <w:pPr>
      <w:spacing w:after="0" w:line="240" w:lineRule="auto"/>
    </w:pPr>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7CC0A-E0C1-4EB8-93DD-197D539B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2526</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2019-11-25T16:14:00Z</cp:lastPrinted>
  <dcterms:created xsi:type="dcterms:W3CDTF">2019-11-25T16:15:00Z</dcterms:created>
  <dcterms:modified xsi:type="dcterms:W3CDTF">2019-11-25T16:15:00Z</dcterms:modified>
</cp:coreProperties>
</file>