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09" w:rsidRPr="00E40B09" w:rsidRDefault="00E40B09" w:rsidP="00E40B09">
      <w:pPr>
        <w:spacing w:after="120"/>
        <w:jc w:val="both"/>
        <w:rPr>
          <w:rFonts w:cs="Arial"/>
          <w:b/>
          <w:szCs w:val="24"/>
        </w:rPr>
      </w:pPr>
      <w:r w:rsidRPr="00E40B09">
        <w:rPr>
          <w:rFonts w:cs="Arial"/>
          <w:b/>
          <w:szCs w:val="24"/>
        </w:rPr>
        <w:t>INTERPELLANZA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</w:p>
    <w:p w:rsidR="00E40B09" w:rsidRPr="00E40B09" w:rsidRDefault="00E40B09" w:rsidP="00E40B09">
      <w:pPr>
        <w:jc w:val="both"/>
        <w:rPr>
          <w:rFonts w:cs="Arial"/>
          <w:b/>
          <w:szCs w:val="24"/>
          <w:u w:val="single"/>
        </w:rPr>
      </w:pPr>
      <w:r w:rsidRPr="00E40B09">
        <w:rPr>
          <w:rFonts w:cs="Arial"/>
          <w:b/>
          <w:szCs w:val="24"/>
          <w:u w:val="single"/>
        </w:rPr>
        <w:t>Anticipo dell’attenuazione della doppia imposizione al 1.1.2009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</w:p>
    <w:p w:rsidR="00E40B09" w:rsidRPr="00E40B09" w:rsidRDefault="00E40B09" w:rsidP="00E40B09">
      <w:pPr>
        <w:spacing w:after="120"/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del 22 ottobre 2008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Il popolo svizzero, compreso quello ticinese, ha accettato in votazione popolare lo scorso mese di febbraio il principio dell’attenuazione della doppia imposizione degli utili aziendali e dei dividendi distribuiti.</w:t>
      </w:r>
    </w:p>
    <w:p w:rsidR="00E40B09" w:rsidRPr="00E40B09" w:rsidRDefault="00E40B09" w:rsidP="00E40B09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bidi="it-IT"/>
        </w:rPr>
      </w:pPr>
      <w:r w:rsidRPr="00E40B09">
        <w:rPr>
          <w:rFonts w:cs="Arial"/>
          <w:szCs w:val="24"/>
          <w:lang w:bidi="it-IT"/>
        </w:rPr>
        <w:t>La riforma II sgrava le imprese nell'ambito dell'imposizione dei dividendi. Numerosi Cantoni seguivano già questo principio prima della votazione sulla riforma II.</w:t>
      </w:r>
    </w:p>
    <w:p w:rsidR="00E40B09" w:rsidRPr="00E40B09" w:rsidRDefault="00E40B09" w:rsidP="00E40B09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bidi="it-IT"/>
        </w:rPr>
      </w:pPr>
      <w:r w:rsidRPr="00E40B09">
        <w:rPr>
          <w:rFonts w:cs="Arial"/>
          <w:szCs w:val="24"/>
          <w:lang w:bidi="it-IT"/>
        </w:rPr>
        <w:t>L’attenuazione della doppia imposizione economica, ovvero un'imposizione parziale dei dividendi, sgrava sensibilmente gli investimenti e il capitale di rischio. Lo scopo è premiare gli imprenditori disposti ad assumere rischi e responsabilità.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Se da un lato quasi tutti i Cantoni hanno da tempo già adeguato le rispettive leggi tributarie, il nostro Consiglio di Stato, per motivi finanziari, con il messaggio n. 6123 propone di rimandare l’entrata in vigore a partire dal 1° gennaio 2010.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Secondo il Consiglio di Stato la perdita di gettito sarebbe di 25 milioni, onere non previsto a Preventivo 2009.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Ritardare di un anno l’entrata in vigore equivale a ritardare ulteriormente la distribuzione di dividendi ac</w:t>
      </w:r>
      <w:smartTag w:uri="urn:schemas-microsoft-com:office:smarttags" w:element="PersonName">
        <w:r w:rsidRPr="00E40B09">
          <w:rPr>
            <w:rFonts w:cs="Arial"/>
            <w:szCs w:val="24"/>
          </w:rPr>
          <w:t>can</w:t>
        </w:r>
      </w:smartTag>
      <w:r w:rsidRPr="00E40B09">
        <w:rPr>
          <w:rFonts w:cs="Arial"/>
          <w:szCs w:val="24"/>
        </w:rPr>
        <w:t>tonati, togliendo dal ciclo economico importanti risorse.</w:t>
      </w:r>
    </w:p>
    <w:p w:rsidR="00E40B09" w:rsidRPr="00E40B09" w:rsidRDefault="00E40B09" w:rsidP="00E40B09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bidi="it-IT"/>
        </w:rPr>
      </w:pPr>
      <w:r w:rsidRPr="00E40B09">
        <w:rPr>
          <w:rFonts w:cs="Arial"/>
          <w:szCs w:val="24"/>
          <w:lang w:bidi="it-IT"/>
        </w:rPr>
        <w:t xml:space="preserve">La riforma II dell'imposizione delle imprese è parte della strategia fiscale di Consiglio federale e Parlamento. Grazie alla prima riforma del </w:t>
      </w:r>
      <w:smartTag w:uri="urn:schemas-microsoft-com:office:smarttags" w:element="metricconverter">
        <w:smartTagPr>
          <w:attr w:name="ProductID" w:val="1998 in"/>
        </w:smartTagPr>
        <w:r w:rsidRPr="00E40B09">
          <w:rPr>
            <w:rFonts w:cs="Arial"/>
            <w:szCs w:val="24"/>
            <w:lang w:bidi="it-IT"/>
          </w:rPr>
          <w:t>1998 in</w:t>
        </w:r>
      </w:smartTag>
      <w:r w:rsidRPr="00E40B09">
        <w:rPr>
          <w:rFonts w:cs="Arial"/>
          <w:szCs w:val="24"/>
          <w:lang w:bidi="it-IT"/>
        </w:rPr>
        <w:t xml:space="preserve"> Svizzera si sono insediate molte più imprese, sono stati creati nuovi posti di lavoro e le entrate fiscali sono aumentate. Dopo detta riforma </w:t>
      </w:r>
      <w:smartTag w:uri="urn:schemas-microsoft-com:office:smarttags" w:element="PersonName">
        <w:smartTagPr>
          <w:attr w:name="ProductID" w:val="la Svizzera"/>
        </w:smartTagPr>
        <w:r w:rsidRPr="00E40B09">
          <w:rPr>
            <w:rFonts w:cs="Arial"/>
            <w:szCs w:val="24"/>
            <w:lang w:bidi="it-IT"/>
          </w:rPr>
          <w:t>la Svizzera</w:t>
        </w:r>
      </w:smartTag>
      <w:r w:rsidRPr="00E40B09">
        <w:rPr>
          <w:rFonts w:cs="Arial"/>
          <w:szCs w:val="24"/>
          <w:lang w:bidi="it-IT"/>
        </w:rPr>
        <w:t xml:space="preserve"> è divenuta più attrattiva, in particolare per le società holding. Infatti, se negli anni 1990-1992 il numero di holding insediatesi in Svizzera era aumentato del 9%, nel periodo 1999-2001 era già passato al 59%. </w:t>
      </w:r>
    </w:p>
    <w:p w:rsidR="00E40B09" w:rsidRPr="00E40B09" w:rsidRDefault="00E40B09" w:rsidP="00E40B09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 xml:space="preserve">Siamo quindi convinti che la misura porterà a un aumento del gettito e va quindi implementata già nel 2009. </w:t>
      </w:r>
    </w:p>
    <w:p w:rsidR="00E40B09" w:rsidRPr="00E40B09" w:rsidRDefault="00E40B09" w:rsidP="00E40B09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bidi="it-IT"/>
        </w:rPr>
      </w:pPr>
      <w:r w:rsidRPr="00E40B09">
        <w:rPr>
          <w:rFonts w:cs="Arial"/>
          <w:szCs w:val="24"/>
          <w:lang w:bidi="it-IT"/>
        </w:rPr>
        <w:t>A livello finanziario le perdite fiscali sono sopportabili e, a lungo termine, la riforma è sinonimo di crescita. Di conseguenza bisogna attendersi nuove entrate fiscali che compenseranno in abbondante misura le imminenti minori entrate.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</w:p>
    <w:p w:rsidR="00E40B09" w:rsidRPr="00E40B09" w:rsidRDefault="00E40B09" w:rsidP="00E40B09">
      <w:pPr>
        <w:spacing w:after="120"/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Con la presente interpellanza chiediamo al Consiglio di Stato:</w:t>
      </w:r>
    </w:p>
    <w:p w:rsidR="00E40B09" w:rsidRPr="00E40B09" w:rsidRDefault="00E40B09" w:rsidP="00E40B09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come è stata calcolata la perdita di gettito di 25 milioni?</w:t>
      </w:r>
    </w:p>
    <w:p w:rsidR="00E40B09" w:rsidRPr="00E40B09" w:rsidRDefault="00E40B09" w:rsidP="00E40B09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ha proceduto a raffronti con altri Cantoni?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</w:p>
    <w:p w:rsidR="00E40B09" w:rsidRPr="00E40B09" w:rsidRDefault="00E40B09" w:rsidP="00E40B09">
      <w:pPr>
        <w:jc w:val="both"/>
        <w:rPr>
          <w:rFonts w:cs="Arial"/>
          <w:szCs w:val="24"/>
        </w:rPr>
      </w:pP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Rinaldo Gobbi e Monica Duca Widmer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 xml:space="preserve">Bacchetta-Cattori - Bobbià - Boneff - Bonoli - 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 xml:space="preserve">Caimi - Canepa - Dadò - Del Bufalo - Franscella - 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 xml:space="preserve">Gianoni - Giudici - Gobbi N. - Gysin - Pagani - 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  <w:r w:rsidRPr="00E40B09">
        <w:rPr>
          <w:rFonts w:cs="Arial"/>
          <w:szCs w:val="24"/>
        </w:rPr>
        <w:t>Pedrazzini - Polli - Ravi - Righinetti - Weber</w:t>
      </w:r>
    </w:p>
    <w:p w:rsidR="00E40B09" w:rsidRPr="00E40B09" w:rsidRDefault="00E40B09" w:rsidP="00E40B09">
      <w:pPr>
        <w:jc w:val="both"/>
        <w:rPr>
          <w:rFonts w:cs="Arial"/>
          <w:szCs w:val="24"/>
        </w:rPr>
      </w:pPr>
    </w:p>
    <w:p w:rsidR="000C2946" w:rsidRPr="000C2946" w:rsidRDefault="000C2946" w:rsidP="00E40B09">
      <w:bookmarkStart w:id="0" w:name="_GoBack"/>
      <w:bookmarkEnd w:id="0"/>
    </w:p>
    <w:sectPr w:rsidR="000C2946" w:rsidRPr="000C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2F25A1"/>
    <w:rsid w:val="00397EF6"/>
    <w:rsid w:val="004B2C1D"/>
    <w:rsid w:val="004E4104"/>
    <w:rsid w:val="005C2B97"/>
    <w:rsid w:val="00684E13"/>
    <w:rsid w:val="006B6342"/>
    <w:rsid w:val="006F0A92"/>
    <w:rsid w:val="007E6BFC"/>
    <w:rsid w:val="00A713E5"/>
    <w:rsid w:val="00B142E8"/>
    <w:rsid w:val="00BE3FF8"/>
    <w:rsid w:val="00C40042"/>
    <w:rsid w:val="00E40B09"/>
    <w:rsid w:val="00F851C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45A7-EADF-4694-8628-52391780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2019-11-25T15:43:00Z</cp:lastPrinted>
  <dcterms:created xsi:type="dcterms:W3CDTF">2019-11-25T15:44:00Z</dcterms:created>
  <dcterms:modified xsi:type="dcterms:W3CDTF">2019-11-25T15:44:00Z</dcterms:modified>
</cp:coreProperties>
</file>