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Pr="00323043" w:rsidRDefault="00323043" w:rsidP="00076E70">
      <w:pPr>
        <w:rPr>
          <w:sz w:val="40"/>
        </w:rPr>
      </w:pPr>
      <w:bookmarkStart w:id="0" w:name="_GoBack"/>
      <w:r w:rsidRPr="00323043">
        <w:rPr>
          <w:rFonts w:cs="Arial"/>
          <w:sz w:val="32"/>
          <w:szCs w:val="20"/>
        </w:rPr>
        <w:t>Rapporto</w:t>
      </w:r>
    </w:p>
    <w:bookmarkEnd w:id="0"/>
    <w:p w:rsidR="008B4137" w:rsidRDefault="008B4137">
      <w:pPr>
        <w:rPr>
          <w:rFonts w:cs="Arial"/>
          <w:szCs w:val="24"/>
        </w:rPr>
      </w:pPr>
    </w:p>
    <w:p w:rsidR="009D7ADE" w:rsidRDefault="009D7ADE">
      <w:pPr>
        <w:rPr>
          <w:rFonts w:cs="Arial"/>
          <w:szCs w:val="24"/>
        </w:rPr>
      </w:pPr>
    </w:p>
    <w:p w:rsidR="00076E70" w:rsidRDefault="00076E70">
      <w:pPr>
        <w:rPr>
          <w:rFonts w:cs="Arial"/>
          <w:szCs w:val="24"/>
        </w:rPr>
      </w:pPr>
    </w:p>
    <w:p w:rsidR="008B4137" w:rsidRDefault="00612B88" w:rsidP="006D7A3B">
      <w:pPr>
        <w:tabs>
          <w:tab w:val="left" w:pos="2098"/>
          <w:tab w:val="left" w:pos="4933"/>
        </w:tabs>
        <w:rPr>
          <w:rFonts w:cs="Arial"/>
          <w:szCs w:val="24"/>
        </w:rPr>
      </w:pPr>
      <w:r>
        <w:rPr>
          <w:rFonts w:cs="Arial"/>
          <w:b/>
          <w:sz w:val="32"/>
          <w:szCs w:val="32"/>
        </w:rPr>
        <w:t>7136</w:t>
      </w:r>
      <w:r w:rsidR="008B4137" w:rsidRPr="008B4137">
        <w:rPr>
          <w:rFonts w:cs="Arial"/>
          <w:b/>
          <w:sz w:val="32"/>
          <w:szCs w:val="32"/>
        </w:rPr>
        <w:t xml:space="preserve"> R</w:t>
      </w:r>
      <w:r w:rsidR="008B4137" w:rsidRPr="008B4137">
        <w:rPr>
          <w:rFonts w:cs="Arial"/>
          <w:sz w:val="28"/>
          <w:szCs w:val="28"/>
        </w:rPr>
        <w:tab/>
      </w:r>
      <w:r>
        <w:rPr>
          <w:rFonts w:cs="Arial"/>
          <w:sz w:val="28"/>
          <w:szCs w:val="28"/>
        </w:rPr>
        <w:t>29 settembre 2016</w:t>
      </w:r>
      <w:r w:rsidR="008B4137" w:rsidRPr="008B4137">
        <w:rPr>
          <w:rFonts w:cs="Arial"/>
          <w:sz w:val="28"/>
          <w:szCs w:val="28"/>
        </w:rPr>
        <w:tab/>
      </w:r>
      <w:r>
        <w:rPr>
          <w:rFonts w:cs="Arial"/>
          <w:sz w:val="28"/>
          <w:szCs w:val="28"/>
        </w:rPr>
        <w:t>SANITÀ E SOCIALITÀ</w:t>
      </w:r>
    </w:p>
    <w:p w:rsidR="008B4137" w:rsidRDefault="008B4137">
      <w:pPr>
        <w:rPr>
          <w:rFonts w:cs="Arial"/>
          <w:szCs w:val="24"/>
        </w:rPr>
      </w:pPr>
    </w:p>
    <w:p w:rsidR="009D7ADE" w:rsidRDefault="009D7ADE">
      <w:pPr>
        <w:rPr>
          <w:rFonts w:cs="Arial"/>
          <w:szCs w:val="24"/>
        </w:rPr>
      </w:pPr>
    </w:p>
    <w:p w:rsidR="008B4137" w:rsidRDefault="008B4137">
      <w:pPr>
        <w:rPr>
          <w:rFonts w:cs="Arial"/>
          <w:szCs w:val="24"/>
        </w:rPr>
      </w:pPr>
    </w:p>
    <w:p w:rsidR="00612B88" w:rsidRPr="00612B88" w:rsidRDefault="00612B88" w:rsidP="00612B88">
      <w:pPr>
        <w:rPr>
          <w:rFonts w:cs="Arial"/>
          <w:b/>
          <w:sz w:val="28"/>
          <w:szCs w:val="28"/>
        </w:rPr>
      </w:pPr>
      <w:r w:rsidRPr="00612B88">
        <w:rPr>
          <w:rFonts w:cs="Arial"/>
          <w:b/>
          <w:sz w:val="28"/>
          <w:szCs w:val="28"/>
        </w:rPr>
        <w:t>della Commissione speciale sanitaria</w:t>
      </w:r>
    </w:p>
    <w:p w:rsidR="00612B88" w:rsidRPr="00612B88" w:rsidRDefault="00612B88" w:rsidP="00612B88">
      <w:pPr>
        <w:rPr>
          <w:rFonts w:cs="Arial"/>
          <w:b/>
          <w:sz w:val="28"/>
          <w:szCs w:val="28"/>
        </w:rPr>
      </w:pPr>
      <w:r w:rsidRPr="00612B88">
        <w:rPr>
          <w:rFonts w:cs="Arial"/>
          <w:b/>
          <w:sz w:val="28"/>
          <w:szCs w:val="28"/>
        </w:rPr>
        <w:t>sul messaggio 3 novembre 2015 riguardante la Legge concernente l’autorizzazione delle attrezzature medico-tecniche di diagnosi e di cura a tecnologia avanzata o particolarmente</w:t>
      </w:r>
      <w:r w:rsidR="00562BC2">
        <w:rPr>
          <w:rFonts w:cs="Arial"/>
          <w:b/>
          <w:sz w:val="28"/>
          <w:szCs w:val="28"/>
        </w:rPr>
        <w:t xml:space="preserve"> costose (clausola del bisogno)</w:t>
      </w:r>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612B88" w:rsidRPr="001503E1" w:rsidRDefault="00612B88" w:rsidP="00045810">
      <w:pPr>
        <w:pStyle w:val="Titolo1"/>
      </w:pPr>
      <w:r w:rsidRPr="001503E1">
        <w:t>Premessa</w:t>
      </w:r>
    </w:p>
    <w:p w:rsidR="00612B88" w:rsidRDefault="00612B88" w:rsidP="00045810">
      <w:r w:rsidRPr="001503E1">
        <w:t xml:space="preserve">Nel dicembre 2015 questo Gran Consiglio ha approvato il rapporto </w:t>
      </w:r>
      <w:r w:rsidR="0005049E">
        <w:t xml:space="preserve">parziale n. </w:t>
      </w:r>
      <w:r w:rsidRPr="001503E1">
        <w:t>7136 R</w:t>
      </w:r>
      <w:r w:rsidRPr="0005049E">
        <w:rPr>
          <w:sz w:val="20"/>
          <w:szCs w:val="20"/>
        </w:rPr>
        <w:t>parz</w:t>
      </w:r>
      <w:r w:rsidR="0005049E">
        <w:t>.</w:t>
      </w:r>
      <w:r w:rsidRPr="001503E1">
        <w:t>1 per prorogare fino al 31 dicembre 2016 il decreto legislativo sulle attrezzature medico-tecniche di diagnosi e di cura a tecnologia avanzata o particolarmente costose che giungeva a scadenza a fine 2015.</w:t>
      </w:r>
    </w:p>
    <w:p w:rsidR="00045810" w:rsidRPr="001503E1" w:rsidRDefault="00045810" w:rsidP="00045810"/>
    <w:p w:rsidR="00612B88" w:rsidRDefault="00612B88" w:rsidP="00045810">
      <w:r w:rsidRPr="001503E1">
        <w:t xml:space="preserve">Questo decreto legislativo era entrato in vigore, la prima volta, il 25 maggio 2001. </w:t>
      </w:r>
      <w:r>
        <w:t xml:space="preserve">La sua dotazione era stata giustificata dal fatto che rispetto al resto della Svizzera in Ticino vi era una </w:t>
      </w:r>
      <w:proofErr w:type="spellStart"/>
      <w:r>
        <w:t>sovradotazione</w:t>
      </w:r>
      <w:proofErr w:type="spellEnd"/>
      <w:r>
        <w:t xml:space="preserve"> di strutture ospedaliere e di apparecchiature medico-tecniche sofisticate, la cui attività generava un preoccupante aumento dei costi a carico dell’assicurazione obbligatoria delle cure medico-sanitarie (+6,1% tra l’introduzione della </w:t>
      </w:r>
      <w:proofErr w:type="spellStart"/>
      <w:r>
        <w:t>LAMal</w:t>
      </w:r>
      <w:proofErr w:type="spellEnd"/>
      <w:r>
        <w:t xml:space="preserve"> nel 1996 e il 2000) e di conseguenza anche dei premi di cassa malati. </w:t>
      </w:r>
    </w:p>
    <w:p w:rsidR="00045810" w:rsidRDefault="00045810" w:rsidP="00045810"/>
    <w:p w:rsidR="00612B88" w:rsidRPr="001503E1" w:rsidRDefault="00612B88" w:rsidP="00045810">
      <w:r w:rsidRPr="001503E1">
        <w:t>Il decreto legislativo è poi stato sottoposto a verific</w:t>
      </w:r>
      <w:r>
        <w:t>he</w:t>
      </w:r>
      <w:r w:rsidRPr="001503E1">
        <w:t xml:space="preserve"> triennal</w:t>
      </w:r>
      <w:r>
        <w:t>i</w:t>
      </w:r>
      <w:r w:rsidRPr="001503E1">
        <w:t xml:space="preserve"> accompagnate da importanti modifiche</w:t>
      </w:r>
      <w:r>
        <w:t xml:space="preserve"> nel 2004 e nel 2010. Quest’ultima in particolare prevedeva</w:t>
      </w:r>
      <w:r w:rsidRPr="001503E1">
        <w:t>:</w:t>
      </w:r>
    </w:p>
    <w:p w:rsidR="00612B88" w:rsidRPr="001503E1" w:rsidRDefault="00612B88" w:rsidP="009D7ADE">
      <w:pPr>
        <w:pStyle w:val="Paragrafoelenco"/>
        <w:numPr>
          <w:ilvl w:val="0"/>
          <w:numId w:val="10"/>
        </w:numPr>
        <w:suppressAutoHyphens/>
        <w:autoSpaceDN w:val="0"/>
        <w:spacing w:before="80"/>
        <w:ind w:left="425" w:hanging="425"/>
        <w:textAlignment w:val="baseline"/>
        <w:rPr>
          <w:rFonts w:cs="Arial"/>
          <w:szCs w:val="24"/>
        </w:rPr>
      </w:pPr>
      <w:r w:rsidRPr="001503E1">
        <w:rPr>
          <w:rFonts w:cs="Arial"/>
          <w:szCs w:val="24"/>
        </w:rPr>
        <w:t>l’aggiornamento della lista delle apparecchiature sottoposte al DL</w:t>
      </w:r>
      <w:r w:rsidR="0005049E">
        <w:rPr>
          <w:rFonts w:cs="Arial"/>
          <w:szCs w:val="24"/>
        </w:rPr>
        <w:t>;</w:t>
      </w:r>
    </w:p>
    <w:p w:rsidR="00612B88" w:rsidRPr="001503E1" w:rsidRDefault="00612B88" w:rsidP="009D7ADE">
      <w:pPr>
        <w:pStyle w:val="Paragrafoelenco"/>
        <w:numPr>
          <w:ilvl w:val="0"/>
          <w:numId w:val="10"/>
        </w:numPr>
        <w:suppressAutoHyphens/>
        <w:autoSpaceDN w:val="0"/>
        <w:spacing w:before="80"/>
        <w:ind w:left="425" w:hanging="425"/>
        <w:textAlignment w:val="baseline"/>
        <w:rPr>
          <w:rFonts w:cs="Arial"/>
          <w:szCs w:val="24"/>
        </w:rPr>
      </w:pPr>
      <w:r w:rsidRPr="001503E1">
        <w:rPr>
          <w:rFonts w:cs="Arial"/>
          <w:szCs w:val="24"/>
        </w:rPr>
        <w:t>la precisazione dei criteri per il rilascio dell’autorizzazione, in particolar modo per quanto attiene alla determinazione del fabbisogno</w:t>
      </w:r>
      <w:r>
        <w:rPr>
          <w:rFonts w:cs="Arial"/>
          <w:szCs w:val="24"/>
        </w:rPr>
        <w:t>, tenendo conto delle indicazioni risultanti da tre sentenze emanate dal Tribunale cantonale amministrativo</w:t>
      </w:r>
      <w:r w:rsidR="0005049E">
        <w:rPr>
          <w:rFonts w:cs="Arial"/>
          <w:szCs w:val="24"/>
        </w:rPr>
        <w:t>;</w:t>
      </w:r>
    </w:p>
    <w:p w:rsidR="00612B88" w:rsidRPr="001503E1" w:rsidRDefault="00612B88" w:rsidP="009D7ADE">
      <w:pPr>
        <w:pStyle w:val="Paragrafoelenco"/>
        <w:numPr>
          <w:ilvl w:val="0"/>
          <w:numId w:val="10"/>
        </w:numPr>
        <w:suppressAutoHyphens/>
        <w:autoSpaceDN w:val="0"/>
        <w:spacing w:before="80"/>
        <w:ind w:left="425" w:hanging="425"/>
        <w:textAlignment w:val="baseline"/>
        <w:rPr>
          <w:rFonts w:cs="Arial"/>
          <w:szCs w:val="24"/>
        </w:rPr>
      </w:pPr>
      <w:r w:rsidRPr="001503E1">
        <w:rPr>
          <w:rFonts w:cs="Arial"/>
          <w:szCs w:val="24"/>
        </w:rPr>
        <w:t>la limitazione della durata dell’autorizzazione</w:t>
      </w:r>
      <w:r w:rsidR="0005049E">
        <w:rPr>
          <w:rFonts w:cs="Arial"/>
          <w:szCs w:val="24"/>
        </w:rPr>
        <w:t>;</w:t>
      </w:r>
    </w:p>
    <w:p w:rsidR="00612B88" w:rsidRPr="001503E1" w:rsidRDefault="00612B88" w:rsidP="009D7ADE">
      <w:pPr>
        <w:pStyle w:val="Paragrafoelenco"/>
        <w:numPr>
          <w:ilvl w:val="0"/>
          <w:numId w:val="10"/>
        </w:numPr>
        <w:suppressAutoHyphens/>
        <w:autoSpaceDN w:val="0"/>
        <w:spacing w:before="80"/>
        <w:ind w:left="425" w:hanging="425"/>
        <w:textAlignment w:val="baseline"/>
        <w:rPr>
          <w:rFonts w:cs="Arial"/>
          <w:szCs w:val="24"/>
        </w:rPr>
      </w:pPr>
      <w:r w:rsidRPr="001503E1">
        <w:rPr>
          <w:rFonts w:cs="Arial"/>
          <w:szCs w:val="24"/>
        </w:rPr>
        <w:t>l’introduzione di una norma specifica a maggior tutela del diritto di essere sentito</w:t>
      </w:r>
      <w:r w:rsidR="0005049E">
        <w:rPr>
          <w:rFonts w:cs="Arial"/>
          <w:szCs w:val="24"/>
        </w:rPr>
        <w:t>;</w:t>
      </w:r>
    </w:p>
    <w:p w:rsidR="00612B88" w:rsidRPr="001503E1" w:rsidRDefault="00612B88" w:rsidP="009D7ADE">
      <w:pPr>
        <w:pStyle w:val="Paragrafoelenco"/>
        <w:numPr>
          <w:ilvl w:val="0"/>
          <w:numId w:val="10"/>
        </w:numPr>
        <w:suppressAutoHyphens/>
        <w:autoSpaceDN w:val="0"/>
        <w:spacing w:before="80"/>
        <w:ind w:left="425" w:hanging="425"/>
        <w:textAlignment w:val="baseline"/>
        <w:rPr>
          <w:rFonts w:cs="Arial"/>
          <w:szCs w:val="24"/>
        </w:rPr>
      </w:pPr>
      <w:r w:rsidRPr="001503E1">
        <w:rPr>
          <w:rFonts w:cs="Arial"/>
          <w:szCs w:val="24"/>
        </w:rPr>
        <w:t>l’esplicito rinvio alla Legge di procedura per le contravvenzioni del 19 dicembre 1994 nell’ambito di eventuali multe emesse in violazione del DL</w:t>
      </w:r>
      <w:r w:rsidR="0005049E">
        <w:rPr>
          <w:rFonts w:cs="Arial"/>
          <w:szCs w:val="24"/>
        </w:rPr>
        <w:t>.</w:t>
      </w:r>
    </w:p>
    <w:p w:rsidR="00612B88" w:rsidRDefault="00612B88" w:rsidP="00045810"/>
    <w:p w:rsidR="00045810" w:rsidRPr="001503E1" w:rsidRDefault="00045810" w:rsidP="00045810"/>
    <w:p w:rsidR="00612B88" w:rsidRPr="001503E1" w:rsidRDefault="00612B88" w:rsidP="00045810">
      <w:pPr>
        <w:pStyle w:val="Titolo1"/>
      </w:pPr>
      <w:r w:rsidRPr="001503E1">
        <w:t>Il disegno di legge</w:t>
      </w:r>
    </w:p>
    <w:p w:rsidR="00612B88" w:rsidRPr="001503E1" w:rsidRDefault="00612B88" w:rsidP="00612B88">
      <w:pPr>
        <w:spacing w:after="120"/>
        <w:rPr>
          <w:rFonts w:cs="Arial"/>
          <w:szCs w:val="24"/>
        </w:rPr>
      </w:pPr>
      <w:r w:rsidRPr="001503E1">
        <w:rPr>
          <w:rFonts w:cs="Arial"/>
          <w:szCs w:val="24"/>
        </w:rPr>
        <w:t>La normativa proposta dal Governo riprende, con qualche affinamento, i contenuti del decreto legislativo di cui abbiamo elencato una breve cronistoria qui sopra. In sostanza rappresenta la trascrizione in un testo di legge della durata indeterminata dall’attuale regime autorizzativo.</w:t>
      </w:r>
    </w:p>
    <w:p w:rsidR="00612B88" w:rsidRPr="001503E1" w:rsidRDefault="00612B88" w:rsidP="00612B88">
      <w:pPr>
        <w:spacing w:after="120"/>
        <w:rPr>
          <w:rFonts w:cs="Arial"/>
          <w:szCs w:val="24"/>
        </w:rPr>
      </w:pPr>
      <w:r w:rsidRPr="001503E1">
        <w:rPr>
          <w:rFonts w:cs="Arial"/>
          <w:szCs w:val="24"/>
        </w:rPr>
        <w:t>Gli obiettivi del Consiglio di Stato sono quelli di consolidare e rafforzare ulteriormente uno strumento di vigilanza sul mercato della sanità e sulla qualità delle prestazioni, dimostratosi utile nel corso degli anni, senza ripercussioni per i pazienti.</w:t>
      </w:r>
    </w:p>
    <w:p w:rsidR="00612B88" w:rsidRPr="001503E1" w:rsidRDefault="00612B88" w:rsidP="00612B88">
      <w:pPr>
        <w:spacing w:after="120"/>
        <w:rPr>
          <w:rFonts w:cs="Arial"/>
          <w:szCs w:val="24"/>
        </w:rPr>
      </w:pPr>
      <w:r w:rsidRPr="001503E1">
        <w:rPr>
          <w:rFonts w:cs="Arial"/>
          <w:szCs w:val="24"/>
        </w:rPr>
        <w:lastRenderedPageBreak/>
        <w:t>Permetterebbe al nostro Cantone di dotarsi anche in futuro di uno dei rari e limitati mezzi a sua disposizione per esercitare un controllo sull’evoluzione della spesa sanitaria e filtrare le richieste ritenute inadeguate.</w:t>
      </w:r>
    </w:p>
    <w:p w:rsidR="00612B88" w:rsidRPr="001503E1" w:rsidRDefault="00612B88" w:rsidP="00612B88">
      <w:pPr>
        <w:spacing w:after="120"/>
        <w:rPr>
          <w:rFonts w:cs="Arial"/>
          <w:szCs w:val="24"/>
        </w:rPr>
      </w:pPr>
      <w:r w:rsidRPr="001503E1">
        <w:rPr>
          <w:rFonts w:cs="Arial"/>
          <w:szCs w:val="24"/>
        </w:rPr>
        <w:t xml:space="preserve">Un sistema analogo è in vigore già nei Cantoni di Neuchâtel, Giura e più recentemente è entrato in vigore nel Canton </w:t>
      </w:r>
      <w:proofErr w:type="spellStart"/>
      <w:r w:rsidRPr="001503E1">
        <w:rPr>
          <w:rFonts w:cs="Arial"/>
          <w:szCs w:val="24"/>
        </w:rPr>
        <w:t>Vaud</w:t>
      </w:r>
      <w:proofErr w:type="spellEnd"/>
      <w:r>
        <w:rPr>
          <w:rFonts w:cs="Arial"/>
          <w:szCs w:val="24"/>
        </w:rPr>
        <w:t xml:space="preserve"> e da ultimo nel Canton </w:t>
      </w:r>
      <w:proofErr w:type="spellStart"/>
      <w:r>
        <w:rPr>
          <w:rFonts w:cs="Arial"/>
          <w:szCs w:val="24"/>
        </w:rPr>
        <w:t>Friborgo</w:t>
      </w:r>
      <w:proofErr w:type="spellEnd"/>
      <w:r>
        <w:rPr>
          <w:rFonts w:cs="Arial"/>
          <w:szCs w:val="24"/>
        </w:rPr>
        <w:t>, in quest’ultimo caso con una moratoria fino a fine 2017 introdotta a marzo 2016</w:t>
      </w:r>
      <w:r w:rsidRPr="001503E1">
        <w:rPr>
          <w:rFonts w:cs="Arial"/>
          <w:szCs w:val="24"/>
        </w:rPr>
        <w:t>.</w:t>
      </w:r>
    </w:p>
    <w:p w:rsidR="00612B88" w:rsidRPr="001503E1" w:rsidRDefault="00612B88" w:rsidP="00612B88">
      <w:pPr>
        <w:spacing w:after="120"/>
        <w:rPr>
          <w:rFonts w:cs="Arial"/>
          <w:szCs w:val="24"/>
        </w:rPr>
      </w:pPr>
      <w:r w:rsidRPr="001503E1">
        <w:rPr>
          <w:rFonts w:cs="Arial"/>
          <w:szCs w:val="24"/>
        </w:rPr>
        <w:t>La legalità di questo strumento è stata inoltre recentemente confermata dal Tribunale federale con una sentenza riferita al testo vigente a Neuchâtel. L’</w:t>
      </w:r>
      <w:r>
        <w:rPr>
          <w:rFonts w:cs="Arial"/>
          <w:szCs w:val="24"/>
        </w:rPr>
        <w:t>A</w:t>
      </w:r>
      <w:r w:rsidRPr="001503E1">
        <w:rPr>
          <w:rFonts w:cs="Arial"/>
          <w:szCs w:val="24"/>
        </w:rPr>
        <w:t>lta corte ha stabilito che il regime autorizzativo introdotto da queste disposizioni rientra nelle competenze dei cantoni e persegue interessi pubblici legittimi al contenimento dei costi della salute e alla qualità e sicurezza delle prestazioni sanitarie erogate.</w:t>
      </w:r>
    </w:p>
    <w:p w:rsidR="00612B88" w:rsidRPr="001503E1" w:rsidRDefault="00612B88" w:rsidP="00612B88">
      <w:pPr>
        <w:spacing w:after="120"/>
        <w:rPr>
          <w:rFonts w:cs="Arial"/>
          <w:szCs w:val="24"/>
        </w:rPr>
      </w:pPr>
      <w:r w:rsidRPr="001503E1">
        <w:rPr>
          <w:rFonts w:cs="Arial"/>
          <w:szCs w:val="24"/>
        </w:rPr>
        <w:t xml:space="preserve">L’opportunità di confermare e consolidare il testo legislativo è data anche in considerazione del continuo aumento dei costi delle cure a carico dell’assicurazione malattia. Dall’introduzione della </w:t>
      </w:r>
      <w:proofErr w:type="spellStart"/>
      <w:r w:rsidRPr="001503E1">
        <w:rPr>
          <w:rFonts w:cs="Arial"/>
          <w:szCs w:val="24"/>
        </w:rPr>
        <w:t>LAMal</w:t>
      </w:r>
      <w:proofErr w:type="spellEnd"/>
      <w:r w:rsidRPr="001503E1">
        <w:rPr>
          <w:rFonts w:cs="Arial"/>
          <w:szCs w:val="24"/>
        </w:rPr>
        <w:t>, nel 1996, l’incremento del costo pro capite del</w:t>
      </w:r>
      <w:r w:rsidR="00660836">
        <w:rPr>
          <w:rFonts w:cs="Arial"/>
          <w:szCs w:val="24"/>
        </w:rPr>
        <w:t>le prestazioni è stato dell’80</w:t>
      </w:r>
      <w:r w:rsidRPr="001503E1">
        <w:rPr>
          <w:rFonts w:cs="Arial"/>
          <w:szCs w:val="24"/>
        </w:rPr>
        <w:t>% a livello cantonale.</w:t>
      </w:r>
    </w:p>
    <w:p w:rsidR="00612B88" w:rsidRPr="001503E1" w:rsidRDefault="00612B88" w:rsidP="00612B88">
      <w:pPr>
        <w:spacing w:after="120"/>
        <w:rPr>
          <w:rFonts w:cs="Arial"/>
          <w:szCs w:val="24"/>
        </w:rPr>
      </w:pPr>
      <w:r w:rsidRPr="001503E1">
        <w:rPr>
          <w:rFonts w:cs="Arial"/>
          <w:szCs w:val="24"/>
        </w:rPr>
        <w:t>Il regime autorizzativo rappresenta poi un sistema di controllo e vigilanza sul mercato della sanità e sulla qualità delle prestazioni e degli operatori che le offrono.</w:t>
      </w:r>
    </w:p>
    <w:p w:rsidR="00612B88" w:rsidRPr="001503E1" w:rsidRDefault="00612B88" w:rsidP="00612B88">
      <w:pPr>
        <w:spacing w:after="120"/>
        <w:rPr>
          <w:rFonts w:cs="Arial"/>
          <w:szCs w:val="24"/>
        </w:rPr>
      </w:pPr>
      <w:r w:rsidRPr="001503E1">
        <w:rPr>
          <w:rFonts w:cs="Arial"/>
          <w:szCs w:val="24"/>
        </w:rPr>
        <w:t xml:space="preserve">L’ammissibilità costituzionale del sistema è stata confermata dal Tribunale federale con la </w:t>
      </w:r>
      <w:r>
        <w:rPr>
          <w:rFonts w:cs="Arial"/>
          <w:szCs w:val="24"/>
        </w:rPr>
        <w:t xml:space="preserve">già citata </w:t>
      </w:r>
      <w:r w:rsidRPr="001503E1">
        <w:rPr>
          <w:rFonts w:cs="Arial"/>
          <w:szCs w:val="24"/>
        </w:rPr>
        <w:t xml:space="preserve">sentenza </w:t>
      </w:r>
      <w:r>
        <w:rPr>
          <w:rFonts w:cs="Arial"/>
          <w:szCs w:val="24"/>
        </w:rPr>
        <w:t xml:space="preserve">sulla normativa </w:t>
      </w:r>
      <w:proofErr w:type="spellStart"/>
      <w:r>
        <w:rPr>
          <w:rFonts w:cs="Arial"/>
          <w:szCs w:val="24"/>
        </w:rPr>
        <w:t>neocastellana</w:t>
      </w:r>
      <w:proofErr w:type="spellEnd"/>
      <w:r>
        <w:rPr>
          <w:rFonts w:cs="Arial"/>
          <w:szCs w:val="24"/>
        </w:rPr>
        <w:t xml:space="preserve"> </w:t>
      </w:r>
      <w:r w:rsidRPr="001503E1">
        <w:rPr>
          <w:rFonts w:cs="Arial"/>
          <w:szCs w:val="24"/>
        </w:rPr>
        <w:t>del 16 dicembre 2013 e quindi sarebbe ora paradossale non tramutare il decreto in una legge formale.</w:t>
      </w:r>
    </w:p>
    <w:p w:rsidR="00612B88" w:rsidRPr="001503E1" w:rsidRDefault="00612B88" w:rsidP="00612B88">
      <w:pPr>
        <w:spacing w:after="120"/>
        <w:rPr>
          <w:rFonts w:cs="Arial"/>
          <w:szCs w:val="24"/>
        </w:rPr>
      </w:pPr>
      <w:r>
        <w:rPr>
          <w:rFonts w:cs="Arial"/>
          <w:szCs w:val="24"/>
        </w:rPr>
        <w:t>Rispetto al testo in vigore, i</w:t>
      </w:r>
      <w:r w:rsidRPr="001503E1">
        <w:rPr>
          <w:rFonts w:cs="Arial"/>
          <w:szCs w:val="24"/>
        </w:rPr>
        <w:t xml:space="preserve">l Governo propone la modifica dell’art 2 (definizione delle attrezzature) per tenere conto dell’evoluzione della tecnica e della pratica intervenuta negli ultimi anni e dell’esperienza acquisita dalla Commissione consultiva. Viene rivisto l’elenco delle apparecchiature in considerazione del fatto che talune non possono più essere annoverate come attrezzature a tecnologia avanzata o particolarmente costose. Altre invece sfuggono ormai alla possibilità di una regolamentazione cantonale, in quanto destinate all’adempimento di mandati disciplinati dalla Convenzione </w:t>
      </w:r>
      <w:proofErr w:type="spellStart"/>
      <w:r w:rsidRPr="001503E1">
        <w:rPr>
          <w:rFonts w:cs="Arial"/>
          <w:szCs w:val="24"/>
        </w:rPr>
        <w:t>intercantonale</w:t>
      </w:r>
      <w:proofErr w:type="spellEnd"/>
      <w:r w:rsidRPr="001503E1">
        <w:rPr>
          <w:rFonts w:cs="Arial"/>
          <w:szCs w:val="24"/>
        </w:rPr>
        <w:t xml:space="preserve"> del </w:t>
      </w:r>
      <w:r w:rsidR="00660836">
        <w:rPr>
          <w:rFonts w:cs="Arial"/>
          <w:szCs w:val="24"/>
        </w:rPr>
        <w:br/>
      </w:r>
      <w:r w:rsidRPr="001503E1">
        <w:rPr>
          <w:rFonts w:cs="Arial"/>
          <w:szCs w:val="24"/>
        </w:rPr>
        <w:t>14 marzo 2008 sulla medicina altamente specializzata.</w:t>
      </w:r>
    </w:p>
    <w:p w:rsidR="00612B88" w:rsidRPr="001503E1" w:rsidRDefault="00612B88" w:rsidP="00612B88">
      <w:pPr>
        <w:spacing w:after="120"/>
        <w:rPr>
          <w:rFonts w:cs="Arial"/>
          <w:szCs w:val="24"/>
        </w:rPr>
      </w:pPr>
      <w:r w:rsidRPr="001503E1">
        <w:rPr>
          <w:rFonts w:cs="Arial"/>
          <w:szCs w:val="24"/>
        </w:rPr>
        <w:t xml:space="preserve">Agli articoli 3 e 4 </w:t>
      </w:r>
      <w:r>
        <w:rPr>
          <w:rFonts w:cs="Arial"/>
          <w:szCs w:val="24"/>
        </w:rPr>
        <w:t>il Messaggio propone</w:t>
      </w:r>
      <w:r w:rsidRPr="001503E1">
        <w:rPr>
          <w:rFonts w:cs="Arial"/>
          <w:szCs w:val="24"/>
        </w:rPr>
        <w:t xml:space="preserve"> semplici modifiche formali.</w:t>
      </w:r>
    </w:p>
    <w:p w:rsidR="00612B88" w:rsidRPr="001503E1" w:rsidRDefault="00612B88" w:rsidP="00045810">
      <w:r w:rsidRPr="001503E1">
        <w:t>La modifica dell’art</w:t>
      </w:r>
      <w:r>
        <w:t>.</w:t>
      </w:r>
      <w:r w:rsidRPr="001503E1">
        <w:t xml:space="preserve"> 5 </w:t>
      </w:r>
      <w:r>
        <w:t xml:space="preserve">prospettata dal Governo </w:t>
      </w:r>
      <w:r w:rsidR="0005049E">
        <w:t>comporta l</w:t>
      </w:r>
      <w:r w:rsidRPr="001503E1">
        <w:t>a riduzione da 2 anni a 1 anno della validità dell’autorizzazione prima della messa in esercizio di un’attrezzatura, con lo scopo di ridurre l’effetto temporale in presenza di istanze puramente cautelative.</w:t>
      </w:r>
    </w:p>
    <w:p w:rsidR="00612B88" w:rsidRDefault="00612B88" w:rsidP="00045810"/>
    <w:p w:rsidR="00045810" w:rsidRPr="001503E1" w:rsidRDefault="00045810" w:rsidP="00045810"/>
    <w:p w:rsidR="00612B88" w:rsidRPr="001503E1" w:rsidRDefault="00612B88" w:rsidP="00045810">
      <w:pPr>
        <w:pStyle w:val="Titolo1"/>
      </w:pPr>
      <w:r w:rsidRPr="001503E1">
        <w:t>La casistica di applicazione del decreto legislativo</w:t>
      </w:r>
    </w:p>
    <w:p w:rsidR="00612B88" w:rsidRPr="001503E1" w:rsidRDefault="00612B88" w:rsidP="00612B88">
      <w:pPr>
        <w:spacing w:after="120"/>
        <w:rPr>
          <w:rFonts w:cs="Arial"/>
          <w:szCs w:val="24"/>
        </w:rPr>
      </w:pPr>
      <w:r w:rsidRPr="001503E1">
        <w:rPr>
          <w:rFonts w:cs="Arial"/>
          <w:szCs w:val="24"/>
        </w:rPr>
        <w:t xml:space="preserve">Dall’entrata in vigore nel 2001 le richieste inoltrate e oggetto di una decisione del Consiglio di Stato sono state 80 tra le quali 5 negative. In un caso non è stato interposto ricorso mentre 4 sono state oggetto di sentenza del Tribunale cantonale amministrativo. Per </w:t>
      </w:r>
      <w:r w:rsidR="009D7ADE">
        <w:rPr>
          <w:rFonts w:cs="Arial"/>
          <w:szCs w:val="24"/>
        </w:rPr>
        <w:t>0</w:t>
      </w:r>
      <w:r w:rsidR="009D7ADE">
        <w:rPr>
          <w:rFonts w:cs="Arial"/>
          <w:szCs w:val="24"/>
        </w:rPr>
        <w:br/>
      </w:r>
      <w:r w:rsidRPr="001503E1">
        <w:rPr>
          <w:rFonts w:cs="Arial"/>
          <w:szCs w:val="24"/>
        </w:rPr>
        <w:t>3 casi il ricorso è stato accolto.</w:t>
      </w:r>
    </w:p>
    <w:p w:rsidR="00612B88" w:rsidRPr="001503E1" w:rsidRDefault="00612B88" w:rsidP="00612B88">
      <w:pPr>
        <w:spacing w:after="120"/>
        <w:rPr>
          <w:rFonts w:cs="Arial"/>
          <w:szCs w:val="24"/>
        </w:rPr>
      </w:pPr>
      <w:r w:rsidRPr="001503E1">
        <w:rPr>
          <w:rFonts w:cs="Arial"/>
          <w:szCs w:val="24"/>
        </w:rPr>
        <w:t>In definita le decisioni negative sono state solamente 2.</w:t>
      </w:r>
    </w:p>
    <w:p w:rsidR="00612B88" w:rsidRPr="00045810" w:rsidRDefault="00612B88" w:rsidP="00045810">
      <w:r w:rsidRPr="001503E1">
        <w:t xml:space="preserve">A prima vista l’efficacia dello strumento legislativo può sembrare </w:t>
      </w:r>
      <w:r>
        <w:t>dubbia</w:t>
      </w:r>
      <w:r w:rsidRPr="001503E1">
        <w:t xml:space="preserve">. Sicuramente però il regime autorizzativo ha funto da deterrente nei confronti di richieste d’acquisto inutili o inadeguate. In ogni caso permette un controllo sulla diffusione delle attrezzature e sulle </w:t>
      </w:r>
      <w:r w:rsidRPr="00045810">
        <w:t>qualifiche degli istanti e del personale chiamato ad impiegarle.</w:t>
      </w:r>
    </w:p>
    <w:p w:rsidR="00612B88" w:rsidRDefault="00612B88" w:rsidP="00045810"/>
    <w:p w:rsidR="009D7ADE" w:rsidRPr="001503E1" w:rsidRDefault="009D7ADE" w:rsidP="00045810"/>
    <w:p w:rsidR="00612B88" w:rsidRPr="001503E1" w:rsidRDefault="00612B88" w:rsidP="00045810">
      <w:pPr>
        <w:pStyle w:val="Titolo1"/>
      </w:pPr>
      <w:r w:rsidRPr="001503E1">
        <w:lastRenderedPageBreak/>
        <w:t>Considerazioni commissionali</w:t>
      </w:r>
    </w:p>
    <w:p w:rsidR="00612B88" w:rsidRPr="001503E1" w:rsidRDefault="00612B88" w:rsidP="00612B88">
      <w:pPr>
        <w:spacing w:after="120"/>
        <w:rPr>
          <w:rFonts w:cs="Arial"/>
          <w:szCs w:val="24"/>
        </w:rPr>
      </w:pPr>
      <w:r w:rsidRPr="001503E1">
        <w:rPr>
          <w:rFonts w:cs="Arial"/>
          <w:szCs w:val="24"/>
        </w:rPr>
        <w:t>Il 14 aprile 2016 la Commissione ha sentito l’Avv. Paolo Bianchi, coordinatore del Dipartimento della sanità e della socialità e direttore della Divisione della salute pubblica al quale sono stati sottoposti tutta una serie di interrogativi.</w:t>
      </w:r>
    </w:p>
    <w:p w:rsidR="00612B88" w:rsidRPr="001503E1" w:rsidRDefault="00612B88" w:rsidP="00612B88">
      <w:pPr>
        <w:spacing w:after="120"/>
        <w:rPr>
          <w:rFonts w:cs="Arial"/>
          <w:szCs w:val="24"/>
        </w:rPr>
      </w:pPr>
      <w:r w:rsidRPr="001503E1">
        <w:rPr>
          <w:rFonts w:cs="Arial"/>
          <w:szCs w:val="24"/>
        </w:rPr>
        <w:t xml:space="preserve">Alla domanda se fosse possibile una distinzione tra apparecchiature necessarie allo svolgimento dell’attività stazionaria o ambulatoriale </w:t>
      </w:r>
      <w:r>
        <w:rPr>
          <w:rFonts w:cs="Arial"/>
          <w:szCs w:val="24"/>
        </w:rPr>
        <w:t xml:space="preserve">pubblica o d’interesse pubblico </w:t>
      </w:r>
      <w:r w:rsidRPr="001503E1">
        <w:rPr>
          <w:rFonts w:cs="Arial"/>
          <w:szCs w:val="24"/>
        </w:rPr>
        <w:t xml:space="preserve">da quelle a supporto di un’attività ambulatoriale privata ha precisato la necessità di </w:t>
      </w:r>
      <w:r>
        <w:rPr>
          <w:rFonts w:cs="Arial"/>
          <w:szCs w:val="24"/>
        </w:rPr>
        <w:t>garantire la parità di trattamento tra i diversi fornitori di prestazioni</w:t>
      </w:r>
      <w:r w:rsidRPr="001503E1">
        <w:rPr>
          <w:rFonts w:cs="Arial"/>
          <w:szCs w:val="24"/>
        </w:rPr>
        <w:t>. Si è comunque dichiarato d’accordo per un’eventuale aggiunta all’art</w:t>
      </w:r>
      <w:r w:rsidR="00377C94">
        <w:rPr>
          <w:rFonts w:cs="Arial"/>
          <w:szCs w:val="24"/>
        </w:rPr>
        <w:t>.</w:t>
      </w:r>
      <w:r w:rsidRPr="001503E1">
        <w:rPr>
          <w:rFonts w:cs="Arial"/>
          <w:szCs w:val="24"/>
        </w:rPr>
        <w:t xml:space="preserve"> 3</w:t>
      </w:r>
      <w:r w:rsidR="00377C94">
        <w:rPr>
          <w:rFonts w:cs="Arial"/>
          <w:szCs w:val="24"/>
        </w:rPr>
        <w:t xml:space="preserve"> cpv. 4</w:t>
      </w:r>
      <w:r w:rsidRPr="001503E1">
        <w:rPr>
          <w:rFonts w:cs="Arial"/>
          <w:szCs w:val="24"/>
        </w:rPr>
        <w:t xml:space="preserve"> del criterio “finalità di utilizzo dell’apparecchiatura”</w:t>
      </w:r>
      <w:r>
        <w:rPr>
          <w:rFonts w:cs="Arial"/>
          <w:szCs w:val="24"/>
        </w:rPr>
        <w:t>, che possa per certi versi recepire questa distinzione seppur in termini generali</w:t>
      </w:r>
      <w:r w:rsidRPr="001503E1">
        <w:rPr>
          <w:rFonts w:cs="Arial"/>
          <w:szCs w:val="24"/>
        </w:rPr>
        <w:t>.</w:t>
      </w:r>
    </w:p>
    <w:p w:rsidR="00612B88" w:rsidRDefault="00612B88" w:rsidP="00612B88">
      <w:pPr>
        <w:spacing w:after="120"/>
        <w:rPr>
          <w:rFonts w:cs="Arial"/>
          <w:szCs w:val="24"/>
        </w:rPr>
      </w:pPr>
      <w:r w:rsidRPr="001503E1">
        <w:rPr>
          <w:rFonts w:cs="Arial"/>
          <w:szCs w:val="24"/>
        </w:rPr>
        <w:t>Alla possibilità di valutare il fabbisogno in funzione anche dei volumi di attività e dell’occupazione delle macchine</w:t>
      </w:r>
      <w:r>
        <w:rPr>
          <w:rFonts w:cs="Arial"/>
          <w:szCs w:val="24"/>
        </w:rPr>
        <w:t>,</w:t>
      </w:r>
      <w:r w:rsidRPr="001503E1">
        <w:rPr>
          <w:rFonts w:cs="Arial"/>
          <w:szCs w:val="24"/>
        </w:rPr>
        <w:t xml:space="preserve"> l’Avv. Bianchi ha</w:t>
      </w:r>
      <w:r>
        <w:rPr>
          <w:rFonts w:cs="Arial"/>
          <w:szCs w:val="24"/>
        </w:rPr>
        <w:t xml:space="preserve"> riconosciuto che il criterio della densità di apparecchiature è più generico ed imperfetto. Ha però osservato che anche le altre regolamentazioni cantonali si basano su questo parametro generale, ciò che nemmeno il TF ha criticato. Ha inoltre precisato che l’occupazione delle macchine è già un criterio secondo la definizione dell’art. 4 </w:t>
      </w:r>
      <w:proofErr w:type="spellStart"/>
      <w:r>
        <w:rPr>
          <w:rFonts w:cs="Arial"/>
          <w:szCs w:val="24"/>
        </w:rPr>
        <w:t>lett</w:t>
      </w:r>
      <w:proofErr w:type="spellEnd"/>
      <w:r>
        <w:rPr>
          <w:rFonts w:cs="Arial"/>
          <w:szCs w:val="24"/>
        </w:rPr>
        <w:t>. i</w:t>
      </w:r>
      <w:r w:rsidR="00B01EB7">
        <w:rPr>
          <w:rFonts w:cs="Arial"/>
          <w:szCs w:val="24"/>
        </w:rPr>
        <w:t>)</w:t>
      </w:r>
      <w:r>
        <w:rPr>
          <w:rFonts w:cs="Arial"/>
          <w:szCs w:val="24"/>
        </w:rPr>
        <w:t xml:space="preserve">, che impone agli istanti di documentare il grado di utilizzazione e i tempi di attesa per l’utenza, ed ha ricordato, proprio in quest’ottica, le indagini svolte presso altre strutture prima di autorizzare nuove macchine. In ogni caso, il </w:t>
      </w:r>
      <w:r w:rsidRPr="00045810">
        <w:rPr>
          <w:rFonts w:cs="Arial"/>
          <w:szCs w:val="24"/>
        </w:rPr>
        <w:t>nuovo art. 3 cpv</w:t>
      </w:r>
      <w:r w:rsidR="00045810" w:rsidRPr="00045810">
        <w:rPr>
          <w:rFonts w:cs="Arial"/>
          <w:szCs w:val="24"/>
        </w:rPr>
        <w:t>.</w:t>
      </w:r>
      <w:r w:rsidRPr="00045810">
        <w:rPr>
          <w:rFonts w:cs="Arial"/>
          <w:szCs w:val="24"/>
        </w:rPr>
        <w:t xml:space="preserve"> </w:t>
      </w:r>
      <w:r w:rsidR="00953DDE">
        <w:rPr>
          <w:rFonts w:cs="Arial"/>
          <w:szCs w:val="24"/>
        </w:rPr>
        <w:t>6</w:t>
      </w:r>
      <w:r>
        <w:rPr>
          <w:rFonts w:cs="Arial"/>
          <w:szCs w:val="24"/>
        </w:rPr>
        <w:t xml:space="preserve"> permette di subordinare l’autorizzazione alla partecipazione alla raccolta dati. </w:t>
      </w:r>
    </w:p>
    <w:p w:rsidR="00612B88" w:rsidRPr="001503E1" w:rsidRDefault="00612B88" w:rsidP="00612B88">
      <w:pPr>
        <w:spacing w:after="120"/>
        <w:rPr>
          <w:rFonts w:cs="Arial"/>
          <w:szCs w:val="24"/>
        </w:rPr>
      </w:pPr>
      <w:r w:rsidRPr="001503E1">
        <w:rPr>
          <w:rFonts w:cs="Arial"/>
          <w:szCs w:val="24"/>
        </w:rPr>
        <w:t xml:space="preserve">Per quanto riguarda l’ipotesi dell’attribuzione delle apparecchiature in funzione delle differenze tariffali e l’introduzione del principio di comunità tariffale ha risposto che le negoziazioni tariffali e la relativa determinazione del </w:t>
      </w:r>
      <w:r>
        <w:rPr>
          <w:rFonts w:cs="Arial"/>
          <w:szCs w:val="24"/>
        </w:rPr>
        <w:t xml:space="preserve">valore del </w:t>
      </w:r>
      <w:r w:rsidRPr="001503E1">
        <w:rPr>
          <w:rFonts w:cs="Arial"/>
          <w:szCs w:val="24"/>
        </w:rPr>
        <w:t>punto è di competenza primaria degli assicuratori malattia e dei fornitori di prestazione. La problematica è molto più ampia ed investe tutta l’attività ambulatoriale.</w:t>
      </w:r>
    </w:p>
    <w:p w:rsidR="00612B88" w:rsidRPr="00045810" w:rsidRDefault="00612B88" w:rsidP="00612B88">
      <w:pPr>
        <w:spacing w:after="120"/>
        <w:rPr>
          <w:rFonts w:cs="Arial"/>
          <w:b/>
          <w:sz w:val="23"/>
          <w:szCs w:val="23"/>
        </w:rPr>
      </w:pPr>
      <w:r w:rsidRPr="00D84DC7">
        <w:rPr>
          <w:rFonts w:cs="Arial"/>
          <w:b/>
          <w:sz w:val="23"/>
          <w:szCs w:val="23"/>
        </w:rPr>
        <w:t>In questo cont</w:t>
      </w:r>
      <w:r w:rsidR="00953DDE" w:rsidRPr="00D84DC7">
        <w:rPr>
          <w:rFonts w:cs="Arial"/>
          <w:b/>
          <w:sz w:val="23"/>
          <w:szCs w:val="23"/>
        </w:rPr>
        <w:t xml:space="preserve">esto la Commissione auspica </w:t>
      </w:r>
      <w:r w:rsidRPr="00D84DC7">
        <w:rPr>
          <w:rFonts w:cs="Arial"/>
          <w:b/>
          <w:sz w:val="23"/>
          <w:szCs w:val="23"/>
        </w:rPr>
        <w:t xml:space="preserve">che tutte le attrezzature sottoposte ad autorizzazione siano soggette a tariffe comuni. </w:t>
      </w:r>
      <w:r w:rsidR="00953DDE" w:rsidRPr="00D84DC7">
        <w:rPr>
          <w:rFonts w:cs="Arial"/>
          <w:b/>
          <w:sz w:val="23"/>
          <w:szCs w:val="23"/>
        </w:rPr>
        <w:t>Se fino al 2015</w:t>
      </w:r>
      <w:r w:rsidRPr="00D84DC7">
        <w:rPr>
          <w:rFonts w:cs="Arial"/>
          <w:b/>
          <w:sz w:val="23"/>
          <w:szCs w:val="23"/>
        </w:rPr>
        <w:t>, in ambito ambulatoriale, un esame TAC in una struttura EOC costa</w:t>
      </w:r>
      <w:r w:rsidR="00953DDE" w:rsidRPr="00D84DC7">
        <w:rPr>
          <w:rFonts w:cs="Arial"/>
          <w:b/>
          <w:sz w:val="23"/>
          <w:szCs w:val="23"/>
        </w:rPr>
        <w:t>va</w:t>
      </w:r>
      <w:r w:rsidRPr="00D84DC7">
        <w:rPr>
          <w:rFonts w:cs="Arial"/>
          <w:b/>
          <w:sz w:val="23"/>
          <w:szCs w:val="23"/>
        </w:rPr>
        <w:t xml:space="preserve"> il </w:t>
      </w:r>
      <w:r w:rsidR="00953DDE" w:rsidRPr="00D84DC7">
        <w:rPr>
          <w:rFonts w:cs="Arial"/>
          <w:b/>
          <w:sz w:val="23"/>
          <w:szCs w:val="23"/>
        </w:rPr>
        <w:t>6.6</w:t>
      </w:r>
      <w:r w:rsidRPr="00D84DC7">
        <w:rPr>
          <w:rFonts w:cs="Arial"/>
          <w:b/>
          <w:sz w:val="23"/>
          <w:szCs w:val="23"/>
        </w:rPr>
        <w:t>% in meno che in una clinica privata</w:t>
      </w:r>
      <w:r w:rsidR="00953DDE" w:rsidRPr="00D84DC7">
        <w:rPr>
          <w:rFonts w:cs="Arial"/>
          <w:b/>
          <w:sz w:val="23"/>
          <w:szCs w:val="23"/>
        </w:rPr>
        <w:t xml:space="preserve"> (valore del punto 0.75 </w:t>
      </w:r>
      <w:proofErr w:type="spellStart"/>
      <w:r w:rsidR="00953DDE" w:rsidRPr="00D84DC7">
        <w:rPr>
          <w:rFonts w:cs="Arial"/>
          <w:b/>
          <w:sz w:val="23"/>
          <w:szCs w:val="23"/>
        </w:rPr>
        <w:t>cts</w:t>
      </w:r>
      <w:proofErr w:type="spellEnd"/>
      <w:r w:rsidR="00953DDE" w:rsidRPr="00D84DC7">
        <w:rPr>
          <w:rFonts w:cs="Arial"/>
          <w:b/>
          <w:sz w:val="23"/>
          <w:szCs w:val="23"/>
        </w:rPr>
        <w:t xml:space="preserve"> vs. 0.80 </w:t>
      </w:r>
      <w:proofErr w:type="spellStart"/>
      <w:r w:rsidR="00953DDE" w:rsidRPr="00D84DC7">
        <w:rPr>
          <w:rFonts w:cs="Arial"/>
          <w:b/>
          <w:sz w:val="23"/>
          <w:szCs w:val="23"/>
        </w:rPr>
        <w:t>cts</w:t>
      </w:r>
      <w:proofErr w:type="spellEnd"/>
      <w:r w:rsidR="00953DDE" w:rsidRPr="00D84DC7">
        <w:rPr>
          <w:rFonts w:cs="Arial"/>
          <w:b/>
          <w:sz w:val="23"/>
          <w:szCs w:val="23"/>
        </w:rPr>
        <w:t>)</w:t>
      </w:r>
      <w:r w:rsidRPr="00D84DC7">
        <w:rPr>
          <w:rFonts w:cs="Arial"/>
          <w:b/>
          <w:sz w:val="23"/>
          <w:szCs w:val="23"/>
        </w:rPr>
        <w:t xml:space="preserve">, </w:t>
      </w:r>
      <w:r w:rsidR="00953DDE" w:rsidRPr="00D84DC7">
        <w:rPr>
          <w:rFonts w:cs="Arial"/>
          <w:b/>
          <w:sz w:val="23"/>
          <w:szCs w:val="23"/>
        </w:rPr>
        <w:t xml:space="preserve">con il progressivo adeguamento del valore del punto presso l’EOC, dal 2017 l’importo sarà analogo presso le strutture ospedaliere pubbliche e private (per entrambe, valore del punto 0.80 </w:t>
      </w:r>
      <w:proofErr w:type="spellStart"/>
      <w:r w:rsidR="00953DDE" w:rsidRPr="00D84DC7">
        <w:rPr>
          <w:rFonts w:cs="Arial"/>
          <w:b/>
          <w:sz w:val="23"/>
          <w:szCs w:val="23"/>
        </w:rPr>
        <w:t>cts</w:t>
      </w:r>
      <w:proofErr w:type="spellEnd"/>
      <w:r w:rsidR="00953DDE" w:rsidRPr="00D84DC7">
        <w:rPr>
          <w:rFonts w:cs="Arial"/>
          <w:b/>
          <w:sz w:val="23"/>
          <w:szCs w:val="23"/>
        </w:rPr>
        <w:t>)</w:t>
      </w:r>
      <w:r w:rsidRPr="00D84DC7">
        <w:rPr>
          <w:rFonts w:cs="Arial"/>
          <w:b/>
          <w:sz w:val="23"/>
          <w:szCs w:val="23"/>
        </w:rPr>
        <w:t xml:space="preserve">. </w:t>
      </w:r>
      <w:r w:rsidR="00953DDE" w:rsidRPr="00D84DC7">
        <w:rPr>
          <w:rFonts w:cs="Arial"/>
          <w:b/>
          <w:sz w:val="23"/>
          <w:szCs w:val="23"/>
        </w:rPr>
        <w:t>La prestazione costerà</w:t>
      </w:r>
      <w:r w:rsidR="00DF7250" w:rsidRPr="00D84DC7">
        <w:rPr>
          <w:rFonts w:cs="Arial"/>
          <w:b/>
          <w:sz w:val="23"/>
          <w:szCs w:val="23"/>
        </w:rPr>
        <w:t xml:space="preserve"> tuttavia il 16% in meno della medesima TAC eseguita in un Istituto privato di radiologia (valore del punto presso gli studi medici 0.93 </w:t>
      </w:r>
      <w:proofErr w:type="spellStart"/>
      <w:r w:rsidR="00DF7250" w:rsidRPr="00D84DC7">
        <w:rPr>
          <w:rFonts w:cs="Arial"/>
          <w:b/>
          <w:sz w:val="23"/>
          <w:szCs w:val="23"/>
        </w:rPr>
        <w:t>cts</w:t>
      </w:r>
      <w:proofErr w:type="spellEnd"/>
      <w:r w:rsidR="00DF7250" w:rsidRPr="00D84DC7">
        <w:rPr>
          <w:rFonts w:cs="Arial"/>
          <w:b/>
          <w:sz w:val="23"/>
          <w:szCs w:val="23"/>
        </w:rPr>
        <w:t>).</w:t>
      </w:r>
    </w:p>
    <w:p w:rsidR="00612B88" w:rsidRDefault="00612B88" w:rsidP="00612B88">
      <w:pPr>
        <w:spacing w:after="120"/>
        <w:rPr>
          <w:rFonts w:cs="Arial"/>
          <w:szCs w:val="24"/>
        </w:rPr>
      </w:pPr>
      <w:r>
        <w:rPr>
          <w:rFonts w:cs="Arial"/>
          <w:szCs w:val="24"/>
        </w:rPr>
        <w:t xml:space="preserve">Sempre a livello tariffale la Commissione condivide l’auspicio che la revisione sul piano nazionale del </w:t>
      </w:r>
      <w:proofErr w:type="spellStart"/>
      <w:r>
        <w:rPr>
          <w:rFonts w:cs="Arial"/>
          <w:szCs w:val="24"/>
        </w:rPr>
        <w:t>Tarmed</w:t>
      </w:r>
      <w:proofErr w:type="spellEnd"/>
      <w:r>
        <w:rPr>
          <w:rFonts w:cs="Arial"/>
          <w:szCs w:val="24"/>
        </w:rPr>
        <w:t xml:space="preserve">, in corso da anni ed ora apparentemente infine in dirittura d’arrivo, possa contribuire a rendere meno attrattive le prestazioni di radiologia, e quindi anche la messa in esercizio delle principali apparecchiature oggetto del regime di autorizzazione, cioè TAC e risonanza magnetica. E’ in effetti facilmente comprensibile che rispetto a una dozzina di anni or sono quando è stato introdotto il tariffario, la retribuzione di queste prestazioni risulti sovrastimata, vista la riduzione dei tempi degli esami, oltre che dei prezzi dei macchinari intervenuti nel frattempo. </w:t>
      </w:r>
    </w:p>
    <w:p w:rsidR="00612B88" w:rsidRPr="001503E1" w:rsidRDefault="00612B88" w:rsidP="00612B88">
      <w:pPr>
        <w:spacing w:after="120"/>
        <w:rPr>
          <w:rFonts w:cs="Arial"/>
          <w:szCs w:val="24"/>
        </w:rPr>
      </w:pPr>
      <w:r w:rsidRPr="001503E1">
        <w:rPr>
          <w:rFonts w:cs="Arial"/>
          <w:szCs w:val="24"/>
        </w:rPr>
        <w:t>Circa la possibilità di rilascio dell’autorizzazione solo in caso di sottoscrizione di una convenzione che preveda il rispetto di indicatori di prestazione</w:t>
      </w:r>
      <w:r>
        <w:rPr>
          <w:rFonts w:cs="Arial"/>
          <w:szCs w:val="24"/>
        </w:rPr>
        <w:t>,</w:t>
      </w:r>
      <w:r w:rsidRPr="001503E1">
        <w:rPr>
          <w:rFonts w:cs="Arial"/>
          <w:szCs w:val="24"/>
        </w:rPr>
        <w:t xml:space="preserve"> </w:t>
      </w:r>
      <w:r w:rsidRPr="009F274E">
        <w:rPr>
          <w:rFonts w:cs="Arial"/>
          <w:szCs w:val="24"/>
        </w:rPr>
        <w:t>il Direttore della divisione ha segnalato che</w:t>
      </w:r>
      <w:r w:rsidRPr="001503E1">
        <w:rPr>
          <w:rFonts w:cs="Arial"/>
          <w:szCs w:val="24"/>
        </w:rPr>
        <w:t xml:space="preserve"> il </w:t>
      </w:r>
      <w:r w:rsidRPr="00045810">
        <w:rPr>
          <w:rFonts w:cs="Arial"/>
          <w:szCs w:val="24"/>
        </w:rPr>
        <w:t xml:space="preserve">nuovo art. 3 cpv. </w:t>
      </w:r>
      <w:r w:rsidR="00DF7250">
        <w:rPr>
          <w:rFonts w:cs="Arial"/>
          <w:szCs w:val="24"/>
        </w:rPr>
        <w:t>6</w:t>
      </w:r>
      <w:r>
        <w:rPr>
          <w:rFonts w:cs="Arial"/>
          <w:szCs w:val="24"/>
        </w:rPr>
        <w:t>, ovvero l’obbligo di partecipare alla raccolta di dati e all’osservanza di protocolli,</w:t>
      </w:r>
      <w:r w:rsidRPr="001503E1">
        <w:rPr>
          <w:rFonts w:cs="Arial"/>
          <w:szCs w:val="24"/>
        </w:rPr>
        <w:t xml:space="preserve"> dovrebbe consentire di verificare l’adeguatezza delle prestazioni. Si tratta di un affinamento sicuramente importante e innovativo </w:t>
      </w:r>
      <w:r>
        <w:rPr>
          <w:rFonts w:cs="Arial"/>
          <w:szCs w:val="24"/>
        </w:rPr>
        <w:t>per rapporto agli altri Cantoni</w:t>
      </w:r>
      <w:r w:rsidRPr="001503E1">
        <w:rPr>
          <w:rFonts w:cs="Arial"/>
          <w:szCs w:val="24"/>
        </w:rPr>
        <w:t>.</w:t>
      </w:r>
    </w:p>
    <w:p w:rsidR="00612B88" w:rsidRPr="001503E1" w:rsidRDefault="00612B88" w:rsidP="00612B88">
      <w:pPr>
        <w:spacing w:after="120"/>
        <w:rPr>
          <w:rFonts w:cs="Arial"/>
          <w:szCs w:val="24"/>
        </w:rPr>
      </w:pPr>
      <w:r w:rsidRPr="001503E1">
        <w:rPr>
          <w:rFonts w:cs="Arial"/>
          <w:szCs w:val="24"/>
        </w:rPr>
        <w:lastRenderedPageBreak/>
        <w:t>Sulla possibilità di fare chiarezza sul detentore dell’autorizzazione e sulle relative competenze professionali l’Avv. Bianchi ha fatto riferimento all’art.</w:t>
      </w:r>
      <w:r w:rsidR="00DF7250">
        <w:rPr>
          <w:rFonts w:cs="Arial"/>
          <w:szCs w:val="24"/>
        </w:rPr>
        <w:t xml:space="preserve"> </w:t>
      </w:r>
      <w:r w:rsidRPr="001503E1">
        <w:rPr>
          <w:rFonts w:cs="Arial"/>
          <w:szCs w:val="24"/>
        </w:rPr>
        <w:t xml:space="preserve">3 cpv. 1 lettera b che </w:t>
      </w:r>
      <w:r>
        <w:rPr>
          <w:rFonts w:cs="Arial"/>
          <w:szCs w:val="24"/>
        </w:rPr>
        <w:t>stabilisce</w:t>
      </w:r>
      <w:r w:rsidRPr="001503E1">
        <w:rPr>
          <w:rFonts w:cs="Arial"/>
          <w:szCs w:val="24"/>
        </w:rPr>
        <w:t xml:space="preserve"> che chi intende utilizzare l’attrezzatura (istituto o s</w:t>
      </w:r>
      <w:r>
        <w:rPr>
          <w:rFonts w:cs="Arial"/>
          <w:szCs w:val="24"/>
        </w:rPr>
        <w:t xml:space="preserve">ingolo operatore) deve possedere </w:t>
      </w:r>
      <w:r w:rsidRPr="001503E1">
        <w:rPr>
          <w:rFonts w:cs="Arial"/>
          <w:szCs w:val="24"/>
        </w:rPr>
        <w:t>le qualifiche necessarie.</w:t>
      </w:r>
      <w:r>
        <w:rPr>
          <w:rFonts w:cs="Arial"/>
          <w:szCs w:val="24"/>
        </w:rPr>
        <w:t xml:space="preserve"> Rileva inoltre che</w:t>
      </w:r>
      <w:r w:rsidRPr="001503E1">
        <w:rPr>
          <w:rFonts w:cs="Arial"/>
          <w:szCs w:val="24"/>
        </w:rPr>
        <w:t xml:space="preserve"> </w:t>
      </w:r>
      <w:r>
        <w:rPr>
          <w:rFonts w:cs="Arial"/>
          <w:szCs w:val="24"/>
        </w:rPr>
        <w:t>a</w:t>
      </w:r>
      <w:r w:rsidRPr="001503E1">
        <w:rPr>
          <w:rFonts w:cs="Arial"/>
          <w:szCs w:val="24"/>
        </w:rPr>
        <w:t xml:space="preserve"> questo proposito</w:t>
      </w:r>
      <w:r>
        <w:rPr>
          <w:rFonts w:cs="Arial"/>
          <w:szCs w:val="24"/>
        </w:rPr>
        <w:t xml:space="preserve"> un paio di anni or sono un parere allestito dal </w:t>
      </w:r>
      <w:r w:rsidRPr="001503E1">
        <w:rPr>
          <w:rFonts w:cs="Arial"/>
          <w:szCs w:val="24"/>
        </w:rPr>
        <w:t xml:space="preserve">Consulente giuridico del Consiglio di Stato </w:t>
      </w:r>
      <w:r>
        <w:rPr>
          <w:rFonts w:cs="Arial"/>
          <w:szCs w:val="24"/>
        </w:rPr>
        <w:t>ha confermato la</w:t>
      </w:r>
      <w:r w:rsidRPr="001503E1">
        <w:rPr>
          <w:rFonts w:cs="Arial"/>
          <w:szCs w:val="24"/>
        </w:rPr>
        <w:t xml:space="preserve"> titolarità dell’autorizzazione a chi dispone delle competenze tecnico-diagnostiche.</w:t>
      </w:r>
      <w:r>
        <w:rPr>
          <w:rFonts w:cs="Arial"/>
          <w:szCs w:val="24"/>
        </w:rPr>
        <w:t xml:space="preserve"> Osserva infine che il </w:t>
      </w:r>
      <w:r w:rsidRPr="001503E1">
        <w:rPr>
          <w:rFonts w:cs="Arial"/>
          <w:szCs w:val="24"/>
        </w:rPr>
        <w:t xml:space="preserve"> nuovo art. 4 cpv. 2</w:t>
      </w:r>
      <w:r>
        <w:rPr>
          <w:rFonts w:cs="Arial"/>
          <w:szCs w:val="24"/>
        </w:rPr>
        <w:t>, cioè l’obbligo di trasmettere generalità e qualifiche professionali degli addetti,</w:t>
      </w:r>
      <w:r w:rsidRPr="001503E1">
        <w:rPr>
          <w:rFonts w:cs="Arial"/>
          <w:szCs w:val="24"/>
        </w:rPr>
        <w:t xml:space="preserve"> dovrebbe accrescere il controllo sulle competenze professionali del personale preposto all’utilizzo.</w:t>
      </w:r>
    </w:p>
    <w:p w:rsidR="00612B88" w:rsidRPr="00660836" w:rsidRDefault="00612B88" w:rsidP="00660836">
      <w:r w:rsidRPr="00660836">
        <w:t>La Commissione si è poi chinata sulla proposta del collega Raoul Ghisletta che ritiene importante completare la legge con l’indicazione che l’autorizzazione dovrebbe soggiacere al rispetto di condizioni usuali di lavoro del settore. Gli ospedali e le cliniche sottostanno ad un articolo di legge in cui si precisa che le condizioni di lavoro devono essere analoghe.</w:t>
      </w:r>
    </w:p>
    <w:p w:rsidR="00612B88" w:rsidRPr="001503E1" w:rsidRDefault="00612B88" w:rsidP="00660836"/>
    <w:p w:rsidR="00612B88" w:rsidRPr="00D30C2D" w:rsidRDefault="00612B88" w:rsidP="00612B88">
      <w:pPr>
        <w:spacing w:after="120"/>
        <w:rPr>
          <w:rFonts w:cs="Arial"/>
          <w:b/>
          <w:sz w:val="23"/>
          <w:szCs w:val="23"/>
        </w:rPr>
      </w:pPr>
      <w:r w:rsidRPr="00D30C2D">
        <w:rPr>
          <w:rFonts w:cs="Arial"/>
          <w:b/>
          <w:sz w:val="23"/>
          <w:szCs w:val="23"/>
        </w:rPr>
        <w:t>La Commissione propone di modificare l’art 3 del disegno di Legge nel modo seguente:</w:t>
      </w:r>
    </w:p>
    <w:p w:rsidR="00612B88" w:rsidRPr="00660836" w:rsidRDefault="00612B88" w:rsidP="00612B88">
      <w:pPr>
        <w:spacing w:after="120"/>
        <w:rPr>
          <w:rFonts w:cs="Arial"/>
          <w:b/>
          <w:i/>
          <w:sz w:val="22"/>
        </w:rPr>
      </w:pPr>
      <w:r w:rsidRPr="00660836">
        <w:rPr>
          <w:rFonts w:cs="Arial"/>
          <w:b/>
          <w:i/>
          <w:sz w:val="22"/>
        </w:rPr>
        <w:t>cpv. 5 (nuovo)</w:t>
      </w:r>
    </w:p>
    <w:p w:rsidR="0023398D" w:rsidRPr="00660836" w:rsidRDefault="0023398D" w:rsidP="00660836">
      <w:pPr>
        <w:tabs>
          <w:tab w:val="left" w:pos="426"/>
        </w:tabs>
        <w:spacing w:before="80"/>
        <w:rPr>
          <w:rFonts w:cs="Arial"/>
          <w:i/>
          <w:sz w:val="22"/>
        </w:rPr>
      </w:pPr>
      <w:r w:rsidRPr="00660836">
        <w:rPr>
          <w:rFonts w:cs="Arial"/>
          <w:i/>
          <w:sz w:val="22"/>
        </w:rPr>
        <w:t>L’autorizzazione presuppone inoltre che:</w:t>
      </w:r>
    </w:p>
    <w:p w:rsidR="00612B88" w:rsidRPr="00D30C2D" w:rsidRDefault="00612B88" w:rsidP="00660836">
      <w:pPr>
        <w:pStyle w:val="Paragrafoelenco"/>
        <w:numPr>
          <w:ilvl w:val="0"/>
          <w:numId w:val="12"/>
        </w:numPr>
        <w:tabs>
          <w:tab w:val="left" w:pos="426"/>
        </w:tabs>
        <w:suppressAutoHyphens/>
        <w:autoSpaceDN w:val="0"/>
        <w:spacing w:before="80"/>
        <w:ind w:left="426" w:hanging="426"/>
        <w:textAlignment w:val="baseline"/>
        <w:rPr>
          <w:rFonts w:cs="Arial"/>
          <w:i/>
          <w:sz w:val="22"/>
        </w:rPr>
      </w:pPr>
      <w:r w:rsidRPr="00D30C2D">
        <w:rPr>
          <w:rFonts w:cs="Arial"/>
          <w:i/>
          <w:sz w:val="22"/>
        </w:rPr>
        <w:t>il personale impiegato è al beneficio delle medesime condizioni di lavoro in uso nel settore sanitario</w:t>
      </w:r>
    </w:p>
    <w:p w:rsidR="00612B88" w:rsidRPr="00D30C2D" w:rsidRDefault="00612B88" w:rsidP="00660836">
      <w:pPr>
        <w:pStyle w:val="Paragrafoelenco"/>
        <w:numPr>
          <w:ilvl w:val="0"/>
          <w:numId w:val="12"/>
        </w:numPr>
        <w:tabs>
          <w:tab w:val="left" w:pos="426"/>
        </w:tabs>
        <w:suppressAutoHyphens/>
        <w:autoSpaceDN w:val="0"/>
        <w:spacing w:before="80"/>
        <w:ind w:left="426" w:hanging="426"/>
        <w:textAlignment w:val="baseline"/>
        <w:rPr>
          <w:rFonts w:cs="Arial"/>
          <w:i/>
          <w:sz w:val="22"/>
        </w:rPr>
      </w:pPr>
      <w:r w:rsidRPr="00D30C2D">
        <w:rPr>
          <w:rFonts w:cs="Arial"/>
          <w:i/>
          <w:sz w:val="22"/>
        </w:rPr>
        <w:t>il richiedente contribuisce alla formazione di personale sociosanitario offrendo un numero adeguato di posti di stage e/o di apprendistato</w:t>
      </w:r>
    </w:p>
    <w:p w:rsidR="00612B88" w:rsidRPr="00D30C2D" w:rsidRDefault="00612B88" w:rsidP="00660836">
      <w:pPr>
        <w:pStyle w:val="Paragrafoelenco"/>
        <w:numPr>
          <w:ilvl w:val="0"/>
          <w:numId w:val="12"/>
        </w:numPr>
        <w:tabs>
          <w:tab w:val="left" w:pos="426"/>
        </w:tabs>
        <w:suppressAutoHyphens/>
        <w:autoSpaceDN w:val="0"/>
        <w:spacing w:before="80"/>
        <w:ind w:left="426" w:hanging="426"/>
        <w:textAlignment w:val="baseline"/>
        <w:rPr>
          <w:rFonts w:cs="Arial"/>
          <w:i/>
          <w:sz w:val="22"/>
        </w:rPr>
      </w:pPr>
      <w:r w:rsidRPr="00D30C2D">
        <w:rPr>
          <w:rFonts w:cs="Arial"/>
          <w:i/>
          <w:sz w:val="22"/>
        </w:rPr>
        <w:t>dopo aver ottenuto l’autorizzazione</w:t>
      </w:r>
      <w:r w:rsidR="00D84DC7">
        <w:rPr>
          <w:rFonts w:cs="Arial"/>
          <w:i/>
          <w:sz w:val="22"/>
        </w:rPr>
        <w:t>,</w:t>
      </w:r>
      <w:r w:rsidRPr="00D30C2D">
        <w:rPr>
          <w:rFonts w:cs="Arial"/>
          <w:i/>
          <w:sz w:val="22"/>
        </w:rPr>
        <w:t xml:space="preserve"> il richiedente certifica </w:t>
      </w:r>
      <w:r w:rsidR="00D84DC7">
        <w:rPr>
          <w:rFonts w:cs="Arial"/>
          <w:i/>
          <w:sz w:val="22"/>
        </w:rPr>
        <w:t>ulteriormente</w:t>
      </w:r>
      <w:r w:rsidRPr="00D30C2D">
        <w:rPr>
          <w:rFonts w:cs="Arial"/>
          <w:i/>
          <w:sz w:val="22"/>
        </w:rPr>
        <w:t xml:space="preserve"> la situazione</w:t>
      </w:r>
      <w:r w:rsidR="00D84DC7">
        <w:rPr>
          <w:rFonts w:cs="Arial"/>
          <w:i/>
          <w:sz w:val="22"/>
        </w:rPr>
        <w:t xml:space="preserve"> su richiesta della Commissione consultiva</w:t>
      </w:r>
      <w:r w:rsidRPr="00D30C2D">
        <w:rPr>
          <w:rFonts w:cs="Arial"/>
          <w:i/>
          <w:sz w:val="22"/>
        </w:rPr>
        <w:t>, fornendo la documentazione a comprova</w:t>
      </w:r>
    </w:p>
    <w:p w:rsidR="00612B88" w:rsidRPr="00D30C2D" w:rsidRDefault="00612B88" w:rsidP="00D30C2D"/>
    <w:p w:rsidR="00612B88" w:rsidRPr="00D30C2D" w:rsidRDefault="00612B88" w:rsidP="00612B88">
      <w:pPr>
        <w:spacing w:after="120"/>
        <w:rPr>
          <w:rFonts w:cs="Arial"/>
          <w:b/>
          <w:sz w:val="23"/>
          <w:szCs w:val="23"/>
        </w:rPr>
      </w:pPr>
      <w:r w:rsidRPr="00D30C2D">
        <w:rPr>
          <w:rFonts w:cs="Arial"/>
          <w:b/>
          <w:sz w:val="23"/>
          <w:szCs w:val="23"/>
        </w:rPr>
        <w:t>e di modificare l’art. 9 cpv. 1 con l’aggiunta della seguente frase:</w:t>
      </w:r>
    </w:p>
    <w:p w:rsidR="00612B88" w:rsidRPr="00D30C2D" w:rsidRDefault="00612B88" w:rsidP="00612B88">
      <w:pPr>
        <w:spacing w:after="120"/>
        <w:rPr>
          <w:rFonts w:cs="Arial"/>
          <w:i/>
          <w:sz w:val="22"/>
        </w:rPr>
      </w:pPr>
      <w:r w:rsidRPr="00D30C2D">
        <w:rPr>
          <w:rFonts w:cs="Arial"/>
          <w:i/>
          <w:sz w:val="22"/>
        </w:rPr>
        <w:t>Analogamente è punita la mancata trasmissione della documentazione indicata all’art. 3 cpv. 5.</w:t>
      </w:r>
    </w:p>
    <w:p w:rsidR="00612B88" w:rsidRPr="001503E1" w:rsidRDefault="00612B88" w:rsidP="00660836"/>
    <w:p w:rsidR="00612B88" w:rsidRPr="001503E1" w:rsidRDefault="00612B88" w:rsidP="00660836">
      <w:r w:rsidRPr="001503E1">
        <w:t xml:space="preserve">La Commissione ritiene </w:t>
      </w:r>
      <w:r>
        <w:t xml:space="preserve">altresì </w:t>
      </w:r>
      <w:r w:rsidRPr="001503E1">
        <w:t>necessaria una distinzione tra apparecchiature necessarie allo svolgimento dell’attività stazionaria (es. supporto alle sale operatorie) o ambulatoriale (es. diagnostica urgente) da quelle a supporto di un’attività ambulatoriale privata.</w:t>
      </w:r>
    </w:p>
    <w:p w:rsidR="00612B88" w:rsidRPr="001503E1" w:rsidRDefault="00612B88" w:rsidP="00660836"/>
    <w:p w:rsidR="00612B88" w:rsidRPr="00D30C2D" w:rsidRDefault="00612B88" w:rsidP="00660836">
      <w:pPr>
        <w:spacing w:after="120"/>
        <w:rPr>
          <w:rFonts w:cs="Arial"/>
          <w:b/>
          <w:sz w:val="23"/>
          <w:szCs w:val="23"/>
        </w:rPr>
      </w:pPr>
      <w:r w:rsidRPr="00D30C2D">
        <w:rPr>
          <w:rFonts w:cs="Arial"/>
          <w:b/>
          <w:sz w:val="23"/>
          <w:szCs w:val="23"/>
        </w:rPr>
        <w:t>Per questo motivo propone di modificare l’art</w:t>
      </w:r>
      <w:r w:rsidR="004D5A16">
        <w:rPr>
          <w:rFonts w:cs="Arial"/>
          <w:b/>
          <w:sz w:val="23"/>
          <w:szCs w:val="23"/>
        </w:rPr>
        <w:t>.</w:t>
      </w:r>
      <w:r w:rsidRPr="00D30C2D">
        <w:rPr>
          <w:rFonts w:cs="Arial"/>
          <w:b/>
          <w:sz w:val="23"/>
          <w:szCs w:val="23"/>
        </w:rPr>
        <w:t xml:space="preserve"> 3</w:t>
      </w:r>
      <w:r w:rsidR="004D5A16">
        <w:rPr>
          <w:rFonts w:cs="Arial"/>
          <w:b/>
          <w:sz w:val="23"/>
          <w:szCs w:val="23"/>
        </w:rPr>
        <w:t xml:space="preserve"> cpv. 4</w:t>
      </w:r>
      <w:r w:rsidRPr="00D30C2D">
        <w:rPr>
          <w:rFonts w:cs="Arial"/>
          <w:b/>
          <w:sz w:val="23"/>
          <w:szCs w:val="23"/>
        </w:rPr>
        <w:t xml:space="preserve"> del disegno di Legge nel modo seguente:</w:t>
      </w:r>
    </w:p>
    <w:p w:rsidR="00612B88" w:rsidRPr="00660836" w:rsidRDefault="00612B88" w:rsidP="00612B88">
      <w:pPr>
        <w:spacing w:after="120"/>
        <w:rPr>
          <w:rFonts w:cs="Arial"/>
          <w:b/>
          <w:i/>
          <w:sz w:val="22"/>
        </w:rPr>
      </w:pPr>
      <w:r w:rsidRPr="00660836">
        <w:rPr>
          <w:rFonts w:cs="Arial"/>
          <w:b/>
          <w:i/>
          <w:sz w:val="22"/>
        </w:rPr>
        <w:t xml:space="preserve">cpv. </w:t>
      </w:r>
      <w:r w:rsidR="0005049E" w:rsidRPr="00660836">
        <w:rPr>
          <w:rFonts w:cs="Arial"/>
          <w:b/>
          <w:i/>
          <w:sz w:val="22"/>
        </w:rPr>
        <w:t xml:space="preserve">4 </w:t>
      </w:r>
      <w:proofErr w:type="spellStart"/>
      <w:r w:rsidR="0005049E" w:rsidRPr="00660836">
        <w:rPr>
          <w:rFonts w:cs="Arial"/>
          <w:b/>
          <w:i/>
          <w:sz w:val="22"/>
        </w:rPr>
        <w:t>lett</w:t>
      </w:r>
      <w:proofErr w:type="spellEnd"/>
      <w:r w:rsidR="0005049E" w:rsidRPr="00660836">
        <w:rPr>
          <w:rFonts w:cs="Arial"/>
          <w:b/>
          <w:i/>
          <w:sz w:val="22"/>
        </w:rPr>
        <w:t>. h (nuova</w:t>
      </w:r>
      <w:r w:rsidRPr="00660836">
        <w:rPr>
          <w:rFonts w:cs="Arial"/>
          <w:b/>
          <w:i/>
          <w:sz w:val="22"/>
        </w:rPr>
        <w:t>)</w:t>
      </w:r>
    </w:p>
    <w:p w:rsidR="00612B88" w:rsidRPr="0005049E" w:rsidRDefault="00612B88" w:rsidP="00612B88">
      <w:pPr>
        <w:spacing w:after="120"/>
        <w:rPr>
          <w:rFonts w:cs="Arial"/>
          <w:i/>
          <w:sz w:val="22"/>
        </w:rPr>
      </w:pPr>
      <w:r w:rsidRPr="0005049E">
        <w:rPr>
          <w:rFonts w:cs="Arial"/>
          <w:i/>
          <w:sz w:val="22"/>
        </w:rPr>
        <w:t xml:space="preserve">h) </w:t>
      </w:r>
      <w:r w:rsidR="0005049E" w:rsidRPr="0005049E">
        <w:rPr>
          <w:rFonts w:cs="Arial"/>
          <w:i/>
          <w:sz w:val="22"/>
        </w:rPr>
        <w:t xml:space="preserve"> </w:t>
      </w:r>
      <w:r w:rsidRPr="0005049E">
        <w:rPr>
          <w:rFonts w:cs="Arial"/>
          <w:i/>
          <w:sz w:val="22"/>
        </w:rPr>
        <w:t>finalità di utilizzo delle apparecchiature</w:t>
      </w:r>
    </w:p>
    <w:p w:rsidR="00612B88" w:rsidRPr="00D30C2D" w:rsidRDefault="00612B88" w:rsidP="00D30C2D"/>
    <w:p w:rsidR="00612B88" w:rsidRPr="001503E1" w:rsidRDefault="00612B88" w:rsidP="00612B88">
      <w:pPr>
        <w:spacing w:after="120"/>
        <w:rPr>
          <w:rFonts w:cs="Arial"/>
          <w:szCs w:val="24"/>
        </w:rPr>
      </w:pPr>
      <w:r w:rsidRPr="001503E1">
        <w:rPr>
          <w:rFonts w:cs="Arial"/>
          <w:szCs w:val="24"/>
        </w:rPr>
        <w:t>La Commissione ha altresì esaminato la proposta del collega Simone Ghisla che chiede di inserire nel nuovo testo di legge una precisazione volta a sopperire alla presunta mancanza da parte dei medici che hanno ottenuto un titolo di perfezionamento professionale all’estero delle competenze acquisite attraverso un corso di formazione specifico in radioprotezione, previsto invece nell’ambito dei programmi di perfezionamento professionali svizzeri.</w:t>
      </w:r>
    </w:p>
    <w:p w:rsidR="00612B88" w:rsidRPr="001503E1" w:rsidRDefault="00612B88" w:rsidP="00612B88">
      <w:pPr>
        <w:spacing w:after="120"/>
        <w:rPr>
          <w:rFonts w:cs="Arial"/>
          <w:szCs w:val="24"/>
        </w:rPr>
      </w:pPr>
      <w:r w:rsidRPr="001503E1">
        <w:rPr>
          <w:rFonts w:cs="Arial"/>
          <w:szCs w:val="24"/>
        </w:rPr>
        <w:t>Il relativo approfondimento giuridico ha permesso di stabilire che in materia di protezione dalle radiazioni ionizzanti e di riconoscimento di formazioni in radioprotezione concluse all’estero, la competenza è esclusivamente</w:t>
      </w:r>
      <w:r w:rsidR="00660836">
        <w:rPr>
          <w:rFonts w:cs="Arial"/>
          <w:szCs w:val="24"/>
        </w:rPr>
        <w:t xml:space="preserve"> della Confederazione (art 118 </w:t>
      </w:r>
      <w:r w:rsidRPr="001503E1">
        <w:rPr>
          <w:rFonts w:cs="Arial"/>
          <w:szCs w:val="24"/>
        </w:rPr>
        <w:t>della Costituzione federale). In virtù di questa competenza, sono state emanate in particolare la legge federale sulla radioprotezione e la relativa ordinanza, oltre a tutta una serie di prescrizioni specifiche che regolano nel dettaglio il settore. I Cantoni non hanno dunque la competenza di emanare ulteriori disposizioni e porre requisiti supplementari.</w:t>
      </w:r>
    </w:p>
    <w:p w:rsidR="00045810" w:rsidRDefault="00045810" w:rsidP="00660836"/>
    <w:p w:rsidR="00612B88" w:rsidRPr="002A6608" w:rsidRDefault="00612B88" w:rsidP="00660836">
      <w:pPr>
        <w:spacing w:after="120"/>
        <w:rPr>
          <w:szCs w:val="24"/>
        </w:rPr>
      </w:pPr>
      <w:r w:rsidRPr="001503E1">
        <w:t xml:space="preserve">La Commissione speciale sanitaria comunque </w:t>
      </w:r>
      <w:r w:rsidRPr="002A6608">
        <w:rPr>
          <w:b/>
          <w:sz w:val="23"/>
          <w:szCs w:val="23"/>
        </w:rPr>
        <w:t>propone di modificare l’art. 3 del disegno di Legge nel modo seguente</w:t>
      </w:r>
      <w:r w:rsidRPr="002A6608">
        <w:rPr>
          <w:szCs w:val="24"/>
        </w:rPr>
        <w:t>:</w:t>
      </w:r>
    </w:p>
    <w:p w:rsidR="00612B88" w:rsidRPr="00071B9F" w:rsidRDefault="00612B88" w:rsidP="00612B88">
      <w:pPr>
        <w:spacing w:after="120"/>
        <w:rPr>
          <w:rFonts w:cs="Arial"/>
          <w:b/>
          <w:i/>
          <w:sz w:val="22"/>
        </w:rPr>
      </w:pPr>
      <w:r w:rsidRPr="00071B9F">
        <w:rPr>
          <w:rFonts w:cs="Arial"/>
          <w:b/>
          <w:i/>
          <w:sz w:val="22"/>
        </w:rPr>
        <w:t>cpv. 2 (nuovo)</w:t>
      </w:r>
    </w:p>
    <w:p w:rsidR="00612B88" w:rsidRPr="00D30C2D" w:rsidRDefault="00612B88" w:rsidP="00612B88">
      <w:pPr>
        <w:spacing w:after="120"/>
        <w:rPr>
          <w:rFonts w:cs="Arial"/>
          <w:i/>
          <w:sz w:val="22"/>
        </w:rPr>
      </w:pPr>
      <w:r w:rsidRPr="00D30C2D">
        <w:rPr>
          <w:rFonts w:cs="Arial"/>
          <w:i/>
          <w:sz w:val="22"/>
        </w:rPr>
        <w:t>Chi intende utilizzare un’attrezzatura che soggiace alla legislazione sulla radioprotezione deve dimostrare di adempire i requisiti per il rilascio della relativa licenza imposta dalla legislazione federale.</w:t>
      </w:r>
    </w:p>
    <w:p w:rsidR="00612B88" w:rsidRDefault="00612B88" w:rsidP="00045810"/>
    <w:p w:rsidR="00045810" w:rsidRDefault="00660836" w:rsidP="00045810">
      <w:r>
        <w:t>Per il resto la C</w:t>
      </w:r>
      <w:r w:rsidR="008074ED" w:rsidRPr="007655C6">
        <w:t>ommissione condivide pure le modifiche proposte dal Messaggio governativo per rapporto al testo dell’attuale decreto legislativo.</w:t>
      </w:r>
    </w:p>
    <w:p w:rsidR="008074ED" w:rsidRDefault="008074ED" w:rsidP="00045810"/>
    <w:p w:rsidR="00071B9F" w:rsidRDefault="00071B9F" w:rsidP="00045810"/>
    <w:p w:rsidR="004D5A16" w:rsidRPr="001503E1" w:rsidRDefault="004D5A16" w:rsidP="00045810"/>
    <w:p w:rsidR="00612B88" w:rsidRPr="001503E1" w:rsidRDefault="00612B88" w:rsidP="00045810">
      <w:pPr>
        <w:pStyle w:val="Titolo1"/>
      </w:pPr>
      <w:r w:rsidRPr="001503E1">
        <w:t>Conclusioni</w:t>
      </w:r>
    </w:p>
    <w:p w:rsidR="00612B88" w:rsidRPr="001503E1" w:rsidRDefault="00612B88" w:rsidP="00045810">
      <w:r w:rsidRPr="001503E1">
        <w:t xml:space="preserve">Per i motivi suesposti la Commissione speciale sanitaria invita il Gran Consiglio ad approvare il Messaggio </w:t>
      </w:r>
      <w:r w:rsidR="00045810">
        <w:t xml:space="preserve">n. </w:t>
      </w:r>
      <w:r w:rsidRPr="001503E1">
        <w:t xml:space="preserve">7136 </w:t>
      </w:r>
      <w:r w:rsidR="00045810">
        <w:t xml:space="preserve">riguardante </w:t>
      </w:r>
      <w:r w:rsidRPr="001503E1">
        <w:t>la Legge concernente l’autorizzazione delle attrezzature medico-tecniche di diagnosi e di cura a tecnologia avanzata o particolarmente costose (clausola del bisogno) e le relative modifiche proposte al disegno di Legge dalla Commissione agli art 3 e 9.</w:t>
      </w:r>
    </w:p>
    <w:p w:rsidR="00076E70" w:rsidRP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076E70" w:rsidRPr="00076E70" w:rsidRDefault="00045810" w:rsidP="00076E70">
      <w:pPr>
        <w:rPr>
          <w:rFonts w:cs="Arial"/>
          <w:szCs w:val="24"/>
        </w:rPr>
      </w:pPr>
      <w:r>
        <w:rPr>
          <w:rFonts w:cs="Arial"/>
          <w:szCs w:val="24"/>
        </w:rPr>
        <w:t>Giorgio Galusero</w:t>
      </w:r>
      <w:r w:rsidR="00076E70" w:rsidRPr="00076E70">
        <w:rPr>
          <w:rFonts w:cs="Arial"/>
          <w:szCs w:val="24"/>
        </w:rPr>
        <w:t>, relatore</w:t>
      </w:r>
    </w:p>
    <w:p w:rsidR="00E5432B" w:rsidRDefault="00E5432B" w:rsidP="00E5432B">
      <w:r>
        <w:t xml:space="preserve">Crugnola - Ghisla - Ghisletta - Guscio - </w:t>
      </w:r>
    </w:p>
    <w:p w:rsidR="00401A10" w:rsidRDefault="00E5432B" w:rsidP="00E5432B">
      <w:r>
        <w:t xml:space="preserve">Jelmini - La Mantia - Pagani G. - </w:t>
      </w:r>
    </w:p>
    <w:p w:rsidR="00E5432B" w:rsidRDefault="00401A10" w:rsidP="00E5432B">
      <w:r>
        <w:t xml:space="preserve">Pagani L. (con riserva) - </w:t>
      </w:r>
      <w:r w:rsidR="00E5432B">
        <w:t xml:space="preserve">Polli - </w:t>
      </w:r>
    </w:p>
    <w:p w:rsidR="00E5432B" w:rsidRDefault="00E5432B" w:rsidP="00E5432B">
      <w:r>
        <w:t>Robbiani - Sanvido - Terraneo</w:t>
      </w:r>
    </w:p>
    <w:p w:rsidR="00045810" w:rsidRPr="00076E70" w:rsidRDefault="00045810" w:rsidP="00076E70">
      <w:pPr>
        <w:rPr>
          <w:rFonts w:cs="Arial"/>
          <w:szCs w:val="24"/>
        </w:rPr>
      </w:pPr>
    </w:p>
    <w:p w:rsidR="00612B88" w:rsidRDefault="00612B88">
      <w:pPr>
        <w:rPr>
          <w:rFonts w:cs="Arial"/>
          <w:szCs w:val="24"/>
        </w:rPr>
      </w:pPr>
      <w:r>
        <w:rPr>
          <w:rFonts w:cs="Arial"/>
          <w:szCs w:val="24"/>
        </w:rPr>
        <w:br w:type="page"/>
      </w:r>
    </w:p>
    <w:p w:rsidR="00612B88" w:rsidRDefault="00612B88" w:rsidP="00612B88">
      <w:pPr>
        <w:jc w:val="left"/>
      </w:pPr>
      <w:r>
        <w:lastRenderedPageBreak/>
        <w:t>Disegno di</w:t>
      </w:r>
    </w:p>
    <w:p w:rsidR="00612B88" w:rsidRDefault="00612B88" w:rsidP="00612B88"/>
    <w:p w:rsidR="00612B88" w:rsidRPr="00804A2A" w:rsidRDefault="00612B88" w:rsidP="00612B88">
      <w:pPr>
        <w:spacing w:before="120"/>
        <w:rPr>
          <w:b/>
        </w:rPr>
      </w:pPr>
      <w:r w:rsidRPr="00804A2A">
        <w:rPr>
          <w:b/>
        </w:rPr>
        <w:t>LEGGE</w:t>
      </w:r>
    </w:p>
    <w:p w:rsidR="00612B88" w:rsidRPr="00804A2A" w:rsidRDefault="00612B88" w:rsidP="00612B88">
      <w:pPr>
        <w:spacing w:before="120"/>
        <w:rPr>
          <w:b/>
        </w:rPr>
      </w:pPr>
      <w:r>
        <w:rPr>
          <w:b/>
        </w:rPr>
        <w:t>concernente l’autorizzazione</w:t>
      </w:r>
      <w:r w:rsidRPr="00804A2A">
        <w:rPr>
          <w:b/>
        </w:rPr>
        <w:t xml:space="preserve"> delle attrezzature medico-tecniche di diagnosi o di cura a tecnologia avanzata o particolarmente </w:t>
      </w:r>
      <w:r>
        <w:rPr>
          <w:b/>
        </w:rPr>
        <w:t>costosa (clausola del bisogno)</w:t>
      </w:r>
    </w:p>
    <w:p w:rsidR="00612B88" w:rsidRPr="009D7ADE" w:rsidRDefault="00612B88" w:rsidP="00612B88">
      <w:pPr>
        <w:rPr>
          <w:sz w:val="20"/>
          <w:szCs w:val="20"/>
        </w:rPr>
      </w:pPr>
    </w:p>
    <w:p w:rsidR="00612B88" w:rsidRPr="009D7ADE" w:rsidRDefault="00612B88" w:rsidP="00612B88">
      <w:pPr>
        <w:rPr>
          <w:sz w:val="20"/>
          <w:szCs w:val="20"/>
        </w:rPr>
      </w:pPr>
    </w:p>
    <w:p w:rsidR="00612B88" w:rsidRDefault="00612B88" w:rsidP="00612B88">
      <w:r>
        <w:t>Il Gran Consiglio</w:t>
      </w:r>
    </w:p>
    <w:p w:rsidR="00612B88" w:rsidRDefault="00612B88" w:rsidP="00612B88">
      <w:r>
        <w:t>della Repubblica e Cantone Ticino</w:t>
      </w:r>
    </w:p>
    <w:p w:rsidR="00612B88" w:rsidRDefault="00612B88" w:rsidP="00612B88"/>
    <w:p w:rsidR="00612B88" w:rsidRDefault="00612B88" w:rsidP="00E5432B">
      <w:pPr>
        <w:pStyle w:val="Paragrafoelenco"/>
        <w:numPr>
          <w:ilvl w:val="0"/>
          <w:numId w:val="11"/>
        </w:numPr>
        <w:ind w:left="284" w:hanging="284"/>
      </w:pPr>
      <w:r>
        <w:t>visto il messaggio 3 novembre 2015</w:t>
      </w:r>
      <w:r w:rsidR="00E5432B">
        <w:t xml:space="preserve"> n. 7136 del Consiglio di Stato;</w:t>
      </w:r>
    </w:p>
    <w:p w:rsidR="00E5432B" w:rsidRDefault="00E5432B" w:rsidP="00E5432B">
      <w:pPr>
        <w:pStyle w:val="Paragrafoelenco"/>
        <w:numPr>
          <w:ilvl w:val="0"/>
          <w:numId w:val="11"/>
        </w:numPr>
        <w:spacing w:before="100"/>
        <w:ind w:left="284" w:hanging="284"/>
      </w:pPr>
      <w:r>
        <w:t>visto il rapporto 29 settembre 2016 n. 7136R della Commissione speciale sanitaria,</w:t>
      </w:r>
    </w:p>
    <w:p w:rsidR="00612B88" w:rsidRPr="009D7ADE" w:rsidRDefault="00612B88" w:rsidP="00612B88">
      <w:pPr>
        <w:rPr>
          <w:sz w:val="20"/>
          <w:szCs w:val="20"/>
        </w:rPr>
      </w:pPr>
    </w:p>
    <w:p w:rsidR="00612B88" w:rsidRPr="009D7ADE" w:rsidRDefault="00612B88" w:rsidP="00612B88">
      <w:pPr>
        <w:rPr>
          <w:sz w:val="20"/>
          <w:szCs w:val="20"/>
        </w:rPr>
      </w:pPr>
    </w:p>
    <w:p w:rsidR="00612B88" w:rsidRPr="00804A2A" w:rsidRDefault="00612B88" w:rsidP="00612B88">
      <w:pPr>
        <w:rPr>
          <w:b/>
        </w:rPr>
      </w:pPr>
      <w:r w:rsidRPr="00804A2A">
        <w:rPr>
          <w:b/>
        </w:rPr>
        <w:t>d e c r e t a</w:t>
      </w:r>
      <w:r>
        <w:rPr>
          <w:b/>
        </w:rPr>
        <w:t xml:space="preserve"> </w:t>
      </w:r>
      <w:r w:rsidRPr="00804A2A">
        <w:rPr>
          <w:b/>
        </w:rPr>
        <w:t>:</w:t>
      </w:r>
    </w:p>
    <w:p w:rsidR="00612B88" w:rsidRPr="009D7ADE" w:rsidRDefault="00612B88" w:rsidP="00612B88">
      <w:pPr>
        <w:rPr>
          <w:sz w:val="20"/>
          <w:szCs w:val="20"/>
        </w:rPr>
      </w:pPr>
    </w:p>
    <w:p w:rsidR="00612B88" w:rsidRPr="009D7ADE" w:rsidRDefault="00612B88" w:rsidP="00612B88">
      <w:pPr>
        <w:rPr>
          <w:sz w:val="20"/>
          <w:szCs w:val="20"/>
        </w:rPr>
      </w:pPr>
    </w:p>
    <w:tbl>
      <w:tblPr>
        <w:tblW w:w="0" w:type="auto"/>
        <w:tblLayout w:type="fixed"/>
        <w:tblCellMar>
          <w:left w:w="70" w:type="dxa"/>
          <w:right w:w="70" w:type="dxa"/>
        </w:tblCellMar>
        <w:tblLook w:val="0000" w:firstRow="0" w:lastRow="0" w:firstColumn="0" w:lastColumn="0" w:noHBand="0" w:noVBand="0"/>
      </w:tblPr>
      <w:tblGrid>
        <w:gridCol w:w="2339"/>
        <w:gridCol w:w="7370"/>
      </w:tblGrid>
      <w:tr w:rsidR="00612B88" w:rsidRPr="00047633" w:rsidTr="00D62279">
        <w:tc>
          <w:tcPr>
            <w:tcW w:w="2339" w:type="dxa"/>
          </w:tcPr>
          <w:p w:rsidR="00612B88" w:rsidRPr="00562BC2" w:rsidRDefault="00612B88" w:rsidP="00D62279">
            <w:pPr>
              <w:jc w:val="left"/>
              <w:rPr>
                <w:sz w:val="20"/>
              </w:rPr>
            </w:pPr>
          </w:p>
          <w:p w:rsidR="00612B88" w:rsidRPr="00562BC2" w:rsidRDefault="00612B88" w:rsidP="00D62279">
            <w:pPr>
              <w:jc w:val="left"/>
              <w:rPr>
                <w:sz w:val="20"/>
              </w:rPr>
            </w:pPr>
          </w:p>
          <w:p w:rsidR="00612B88" w:rsidRPr="00454850" w:rsidRDefault="00612B88" w:rsidP="00D62279">
            <w:pPr>
              <w:jc w:val="left"/>
              <w:rPr>
                <w:sz w:val="20"/>
              </w:rPr>
            </w:pPr>
            <w:r w:rsidRPr="00454850">
              <w:rPr>
                <w:b/>
                <w:sz w:val="20"/>
              </w:rPr>
              <w:t>Principio</w:t>
            </w:r>
          </w:p>
        </w:tc>
        <w:tc>
          <w:tcPr>
            <w:tcW w:w="7370" w:type="dxa"/>
          </w:tcPr>
          <w:p w:rsidR="00612B88" w:rsidRPr="00454850" w:rsidRDefault="00612B88" w:rsidP="00D62279">
            <w:pPr>
              <w:tabs>
                <w:tab w:val="left" w:pos="426"/>
                <w:tab w:val="right" w:pos="7230"/>
              </w:tabs>
              <w:rPr>
                <w:rFonts w:cs="Arial"/>
                <w:b/>
                <w:bCs/>
                <w:sz w:val="22"/>
              </w:rPr>
            </w:pPr>
            <w:r w:rsidRPr="00454850">
              <w:rPr>
                <w:rFonts w:cs="Arial"/>
                <w:b/>
                <w:bCs/>
                <w:sz w:val="22"/>
              </w:rPr>
              <w:t>Art. 1</w:t>
            </w:r>
          </w:p>
          <w:p w:rsidR="00612B88" w:rsidRPr="00454850" w:rsidRDefault="00612B88" w:rsidP="00D62279">
            <w:pPr>
              <w:tabs>
                <w:tab w:val="left" w:pos="426"/>
                <w:tab w:val="right" w:pos="7230"/>
              </w:tabs>
              <w:rPr>
                <w:rFonts w:cs="Arial"/>
                <w:bCs/>
                <w:sz w:val="22"/>
              </w:rPr>
            </w:pPr>
          </w:p>
          <w:p w:rsidR="00612B88" w:rsidRPr="00454850" w:rsidRDefault="00612B88" w:rsidP="00D62279">
            <w:pPr>
              <w:rPr>
                <w:rFonts w:cs="Arial"/>
                <w:sz w:val="22"/>
              </w:rPr>
            </w:pPr>
            <w:r w:rsidRPr="00454850">
              <w:rPr>
                <w:rFonts w:cs="Arial"/>
                <w:sz w:val="22"/>
                <w:vertAlign w:val="superscript"/>
              </w:rPr>
              <w:t>1</w:t>
            </w:r>
            <w:r w:rsidRPr="00454850">
              <w:rPr>
                <w:rFonts w:cs="Arial"/>
                <w:sz w:val="22"/>
              </w:rPr>
              <w:t>Allo scopo di contenere i costi della salute e di tutelare l’interesse pubblico preponderante, la qualità e l’adeguatezza degli interventi, è subordinata ad autorizzazione del Consiglio di Stato ogni messa in esercizio di attrezzature medico-tecniche di diagnosi o di cura a tecnologia avanzata o particolarmente costose (di seguito: attrezzature a tecnologia avanzata), siano esse mobili o fisse.</w:t>
            </w:r>
          </w:p>
          <w:p w:rsidR="00612B88" w:rsidRPr="009D7ADE" w:rsidRDefault="00612B88" w:rsidP="00D62279">
            <w:pPr>
              <w:rPr>
                <w:rFonts w:cs="Arial"/>
                <w:sz w:val="20"/>
                <w:szCs w:val="20"/>
              </w:rPr>
            </w:pPr>
          </w:p>
          <w:p w:rsidR="00612B88" w:rsidRPr="00454850" w:rsidRDefault="00612B88" w:rsidP="00D62279">
            <w:pPr>
              <w:rPr>
                <w:rFonts w:cs="Arial"/>
                <w:sz w:val="22"/>
              </w:rPr>
            </w:pPr>
            <w:r w:rsidRPr="00454850">
              <w:rPr>
                <w:rFonts w:cs="Arial"/>
                <w:sz w:val="22"/>
                <w:vertAlign w:val="superscript"/>
              </w:rPr>
              <w:t>2</w:t>
            </w:r>
            <w:r w:rsidRPr="00454850">
              <w:rPr>
                <w:rFonts w:cs="Arial"/>
                <w:sz w:val="22"/>
              </w:rPr>
              <w:t>Il cpv. 1 si applica sia al settore pubblico che a quello privato e comprende le prestazioni stazionarie e ambulatoriali.</w:t>
            </w:r>
          </w:p>
          <w:p w:rsidR="00612B88" w:rsidRPr="009D7ADE" w:rsidRDefault="00612B88" w:rsidP="00D62279">
            <w:pPr>
              <w:rPr>
                <w:rFonts w:cs="Arial"/>
                <w:sz w:val="20"/>
                <w:szCs w:val="20"/>
              </w:rPr>
            </w:pPr>
          </w:p>
          <w:p w:rsidR="00612B88" w:rsidRPr="00454850" w:rsidRDefault="00612B88" w:rsidP="00D62279">
            <w:pPr>
              <w:rPr>
                <w:rFonts w:cs="Arial"/>
                <w:sz w:val="22"/>
              </w:rPr>
            </w:pPr>
            <w:r w:rsidRPr="00454850">
              <w:rPr>
                <w:rFonts w:cs="Arial"/>
                <w:sz w:val="22"/>
                <w:vertAlign w:val="superscript"/>
              </w:rPr>
              <w:t>3</w:t>
            </w:r>
            <w:r w:rsidRPr="00454850">
              <w:rPr>
                <w:rFonts w:cs="Arial"/>
                <w:sz w:val="22"/>
              </w:rPr>
              <w:t>È considerata messa in esercizio ai sensi del cpv. 1 anche la sostituzione importante di attrezzature esistenti al momento dell’entrata in vigore della legge.</w:t>
            </w:r>
          </w:p>
          <w:p w:rsidR="00612B88" w:rsidRPr="00454850" w:rsidRDefault="00612B88" w:rsidP="00D62279">
            <w:pPr>
              <w:rPr>
                <w:rFonts w:cs="Arial"/>
                <w:sz w:val="22"/>
              </w:rPr>
            </w:pPr>
          </w:p>
          <w:p w:rsidR="00612B88" w:rsidRPr="00454850" w:rsidRDefault="00612B88" w:rsidP="00D62279">
            <w:pPr>
              <w:tabs>
                <w:tab w:val="left" w:pos="426"/>
              </w:tabs>
              <w:rPr>
                <w:rFonts w:cs="Arial"/>
                <w:sz w:val="22"/>
              </w:rPr>
            </w:pPr>
          </w:p>
        </w:tc>
      </w:tr>
      <w:tr w:rsidR="00612B88" w:rsidRPr="00047633" w:rsidTr="00D62279">
        <w:tc>
          <w:tcPr>
            <w:tcW w:w="2339" w:type="dxa"/>
          </w:tcPr>
          <w:p w:rsidR="00612B88" w:rsidRPr="00562BC2" w:rsidRDefault="00612B88" w:rsidP="00D62279">
            <w:pPr>
              <w:jc w:val="left"/>
              <w:rPr>
                <w:sz w:val="20"/>
              </w:rPr>
            </w:pPr>
          </w:p>
          <w:p w:rsidR="00612B88" w:rsidRPr="00562BC2" w:rsidRDefault="00612B88" w:rsidP="00D62279">
            <w:pPr>
              <w:jc w:val="left"/>
              <w:rPr>
                <w:sz w:val="20"/>
              </w:rPr>
            </w:pPr>
          </w:p>
          <w:p w:rsidR="00612B88" w:rsidRPr="00454850" w:rsidRDefault="00612B88" w:rsidP="00D62279">
            <w:pPr>
              <w:jc w:val="left"/>
              <w:rPr>
                <w:sz w:val="20"/>
              </w:rPr>
            </w:pPr>
            <w:r w:rsidRPr="00454850">
              <w:rPr>
                <w:b/>
                <w:sz w:val="20"/>
              </w:rPr>
              <w:t>Definizione delle attrezzature</w:t>
            </w:r>
          </w:p>
        </w:tc>
        <w:tc>
          <w:tcPr>
            <w:tcW w:w="7370" w:type="dxa"/>
          </w:tcPr>
          <w:p w:rsidR="00612B88" w:rsidRPr="00454850" w:rsidRDefault="00612B88" w:rsidP="00D62279">
            <w:pPr>
              <w:tabs>
                <w:tab w:val="left" w:pos="426"/>
              </w:tabs>
              <w:rPr>
                <w:rFonts w:cs="Arial"/>
                <w:b/>
                <w:bCs/>
                <w:sz w:val="22"/>
              </w:rPr>
            </w:pPr>
            <w:r w:rsidRPr="00454850">
              <w:rPr>
                <w:rFonts w:cs="Arial"/>
                <w:b/>
                <w:bCs/>
                <w:sz w:val="22"/>
              </w:rPr>
              <w:t>Art. 2</w:t>
            </w:r>
          </w:p>
          <w:p w:rsidR="00612B88" w:rsidRPr="009D7ADE" w:rsidRDefault="00612B88" w:rsidP="00D62279">
            <w:pPr>
              <w:tabs>
                <w:tab w:val="left" w:pos="426"/>
              </w:tabs>
              <w:rPr>
                <w:rFonts w:cs="Arial"/>
                <w:bCs/>
                <w:sz w:val="20"/>
                <w:szCs w:val="20"/>
              </w:rPr>
            </w:pPr>
          </w:p>
          <w:p w:rsidR="00612B88" w:rsidRPr="00454850" w:rsidRDefault="00612B88" w:rsidP="00D62279">
            <w:pPr>
              <w:tabs>
                <w:tab w:val="left" w:pos="426"/>
              </w:tabs>
              <w:rPr>
                <w:rFonts w:cs="Arial"/>
                <w:sz w:val="22"/>
              </w:rPr>
            </w:pPr>
            <w:r w:rsidRPr="00454850">
              <w:rPr>
                <w:rFonts w:cs="Arial"/>
                <w:sz w:val="22"/>
                <w:vertAlign w:val="superscript"/>
              </w:rPr>
              <w:t>1</w:t>
            </w:r>
            <w:r w:rsidRPr="00454850">
              <w:rPr>
                <w:rFonts w:cs="Arial"/>
                <w:sz w:val="22"/>
              </w:rPr>
              <w:t>Sono considerate attrezzature a tecnologia avanzata quelle che alternativamente:</w:t>
            </w:r>
          </w:p>
          <w:p w:rsidR="00612B88" w:rsidRPr="00454850" w:rsidRDefault="00562BC2" w:rsidP="00562BC2">
            <w:pPr>
              <w:tabs>
                <w:tab w:val="left" w:pos="355"/>
              </w:tabs>
              <w:spacing w:before="60"/>
              <w:ind w:left="355" w:hanging="355"/>
              <w:rPr>
                <w:rFonts w:cs="Arial"/>
                <w:sz w:val="22"/>
              </w:rPr>
            </w:pPr>
            <w:r>
              <w:rPr>
                <w:rFonts w:cs="Arial"/>
                <w:sz w:val="22"/>
              </w:rPr>
              <w:t>a)</w:t>
            </w:r>
            <w:r w:rsidR="00612B88" w:rsidRPr="00454850">
              <w:rPr>
                <w:rFonts w:cs="Arial"/>
                <w:sz w:val="22"/>
              </w:rPr>
              <w:tab/>
              <w:t>sono particolarmente costose o la cui manutenzione o esercizio</w:t>
            </w:r>
            <w:r w:rsidR="00612B88">
              <w:rPr>
                <w:rFonts w:cs="Arial"/>
                <w:sz w:val="22"/>
              </w:rPr>
              <w:t xml:space="preserve"> </w:t>
            </w:r>
            <w:r w:rsidR="00612B88" w:rsidRPr="00454850">
              <w:rPr>
                <w:rFonts w:cs="Arial"/>
                <w:sz w:val="22"/>
              </w:rPr>
              <w:t>generano costi particolarmente elevati;</w:t>
            </w:r>
          </w:p>
          <w:p w:rsidR="00612B88" w:rsidRPr="00454850" w:rsidRDefault="00562BC2" w:rsidP="00562BC2">
            <w:pPr>
              <w:tabs>
                <w:tab w:val="left" w:pos="355"/>
              </w:tabs>
              <w:spacing w:before="60"/>
              <w:rPr>
                <w:rFonts w:cs="Arial"/>
                <w:sz w:val="22"/>
              </w:rPr>
            </w:pPr>
            <w:r>
              <w:rPr>
                <w:rFonts w:cs="Arial"/>
                <w:sz w:val="22"/>
              </w:rPr>
              <w:t>b)</w:t>
            </w:r>
            <w:r w:rsidR="00612B88" w:rsidRPr="00454850">
              <w:rPr>
                <w:rFonts w:cs="Arial"/>
                <w:sz w:val="22"/>
              </w:rPr>
              <w:tab/>
              <w:t>non fanno parte della dotazione ordinaria di una struttura;</w:t>
            </w:r>
          </w:p>
          <w:p w:rsidR="00612B88" w:rsidRPr="00454850" w:rsidRDefault="00562BC2" w:rsidP="00562BC2">
            <w:pPr>
              <w:tabs>
                <w:tab w:val="left" w:pos="355"/>
              </w:tabs>
              <w:spacing w:before="60"/>
              <w:ind w:left="355" w:hanging="355"/>
              <w:rPr>
                <w:rFonts w:cs="Arial"/>
                <w:sz w:val="22"/>
              </w:rPr>
            </w:pPr>
            <w:r>
              <w:rPr>
                <w:rFonts w:cs="Arial"/>
                <w:sz w:val="22"/>
              </w:rPr>
              <w:t>c)</w:t>
            </w:r>
            <w:r w:rsidR="00612B88" w:rsidRPr="00454850">
              <w:rPr>
                <w:rFonts w:cs="Arial"/>
                <w:sz w:val="22"/>
              </w:rPr>
              <w:tab/>
              <w:t>necessitano di personale particolarmente qualificato per il loro</w:t>
            </w:r>
            <w:r w:rsidR="00612B88">
              <w:rPr>
                <w:rFonts w:cs="Arial"/>
                <w:sz w:val="22"/>
              </w:rPr>
              <w:t xml:space="preserve"> </w:t>
            </w:r>
            <w:r w:rsidR="00612B88" w:rsidRPr="00454850">
              <w:rPr>
                <w:rFonts w:cs="Arial"/>
                <w:sz w:val="22"/>
              </w:rPr>
              <w:t>impiego.</w:t>
            </w:r>
          </w:p>
          <w:p w:rsidR="00612B88" w:rsidRPr="009D7ADE" w:rsidRDefault="00612B88" w:rsidP="00D62279">
            <w:pPr>
              <w:tabs>
                <w:tab w:val="left" w:pos="355"/>
              </w:tabs>
              <w:rPr>
                <w:rFonts w:cs="Arial"/>
                <w:sz w:val="20"/>
                <w:szCs w:val="20"/>
              </w:rPr>
            </w:pPr>
          </w:p>
          <w:p w:rsidR="00612B88" w:rsidRPr="00454850" w:rsidRDefault="00612B88" w:rsidP="00D62279">
            <w:pPr>
              <w:rPr>
                <w:rFonts w:cs="Arial"/>
                <w:sz w:val="22"/>
              </w:rPr>
            </w:pPr>
            <w:r w:rsidRPr="00454850">
              <w:rPr>
                <w:rFonts w:cs="Arial"/>
                <w:sz w:val="22"/>
                <w:vertAlign w:val="superscript"/>
              </w:rPr>
              <w:t>2</w:t>
            </w:r>
            <w:r w:rsidRPr="00454850">
              <w:rPr>
                <w:rFonts w:cs="Arial"/>
                <w:sz w:val="22"/>
              </w:rPr>
              <w:t xml:space="preserve">Sono in ogni caso considerate attrezzature a tecnologia avanzata: </w:t>
            </w:r>
          </w:p>
          <w:p w:rsidR="00612B88" w:rsidRPr="00454850" w:rsidRDefault="00612B88" w:rsidP="00562BC2">
            <w:pPr>
              <w:tabs>
                <w:tab w:val="left" w:pos="357"/>
              </w:tabs>
              <w:spacing w:before="60"/>
              <w:rPr>
                <w:rFonts w:cs="Arial"/>
                <w:sz w:val="22"/>
              </w:rPr>
            </w:pPr>
            <w:r w:rsidRPr="00454850">
              <w:rPr>
                <w:rFonts w:cs="Arial"/>
                <w:sz w:val="22"/>
              </w:rPr>
              <w:t>a)</w:t>
            </w:r>
            <w:r w:rsidRPr="00454850">
              <w:rPr>
                <w:rFonts w:cs="Arial"/>
                <w:sz w:val="22"/>
              </w:rPr>
              <w:tab/>
              <w:t xml:space="preserve">la RMI (risonanza magnetica per immagini); </w:t>
            </w:r>
          </w:p>
          <w:p w:rsidR="00612B88" w:rsidRPr="00454850" w:rsidRDefault="00612B88" w:rsidP="00562BC2">
            <w:pPr>
              <w:tabs>
                <w:tab w:val="left" w:pos="357"/>
              </w:tabs>
              <w:spacing w:before="60"/>
              <w:rPr>
                <w:rFonts w:cs="Arial"/>
                <w:sz w:val="22"/>
              </w:rPr>
            </w:pPr>
            <w:r w:rsidRPr="00454850">
              <w:rPr>
                <w:rFonts w:cs="Arial"/>
                <w:sz w:val="22"/>
              </w:rPr>
              <w:t>b)</w:t>
            </w:r>
            <w:r w:rsidRPr="00454850">
              <w:rPr>
                <w:rFonts w:cs="Arial"/>
                <w:sz w:val="22"/>
              </w:rPr>
              <w:tab/>
              <w:t>la TAC (tomografia assiale computerizzata) e la TAC ad</w:t>
            </w:r>
            <w:r>
              <w:rPr>
                <w:rFonts w:cs="Arial"/>
                <w:sz w:val="22"/>
              </w:rPr>
              <w:t xml:space="preserve"> </w:t>
            </w:r>
            <w:r w:rsidRPr="00454850">
              <w:rPr>
                <w:rFonts w:cs="Arial"/>
                <w:sz w:val="22"/>
              </w:rPr>
              <w:t xml:space="preserve">elettroni; </w:t>
            </w:r>
          </w:p>
          <w:p w:rsidR="00612B88" w:rsidRPr="00454850" w:rsidRDefault="00612B88" w:rsidP="00562BC2">
            <w:pPr>
              <w:tabs>
                <w:tab w:val="left" w:pos="357"/>
              </w:tabs>
              <w:spacing w:before="60"/>
              <w:rPr>
                <w:rFonts w:cs="Arial"/>
                <w:sz w:val="22"/>
              </w:rPr>
            </w:pPr>
            <w:r w:rsidRPr="00454850">
              <w:rPr>
                <w:rFonts w:cs="Arial"/>
                <w:sz w:val="22"/>
              </w:rPr>
              <w:t>c)</w:t>
            </w:r>
            <w:r w:rsidRPr="00454850">
              <w:rPr>
                <w:rFonts w:cs="Arial"/>
                <w:sz w:val="22"/>
              </w:rPr>
              <w:tab/>
              <w:t xml:space="preserve">l’angiografia digitalizzata; </w:t>
            </w:r>
          </w:p>
          <w:p w:rsidR="00612B88" w:rsidRPr="00454850" w:rsidRDefault="00612B88" w:rsidP="00562BC2">
            <w:pPr>
              <w:tabs>
                <w:tab w:val="left" w:pos="357"/>
              </w:tabs>
              <w:spacing w:before="60"/>
              <w:rPr>
                <w:rFonts w:cs="Arial"/>
                <w:sz w:val="22"/>
              </w:rPr>
            </w:pPr>
            <w:r w:rsidRPr="00454850">
              <w:rPr>
                <w:rFonts w:cs="Arial"/>
                <w:sz w:val="22"/>
              </w:rPr>
              <w:t>d)</w:t>
            </w:r>
            <w:r w:rsidRPr="00454850">
              <w:rPr>
                <w:rFonts w:cs="Arial"/>
                <w:sz w:val="22"/>
              </w:rPr>
              <w:tab/>
              <w:t>la PET (</w:t>
            </w:r>
            <w:proofErr w:type="spellStart"/>
            <w:r w:rsidRPr="00454850">
              <w:rPr>
                <w:rFonts w:cs="Arial"/>
                <w:sz w:val="22"/>
              </w:rPr>
              <w:t>positron</w:t>
            </w:r>
            <w:proofErr w:type="spellEnd"/>
            <w:r w:rsidRPr="00454850">
              <w:rPr>
                <w:rFonts w:cs="Arial"/>
                <w:sz w:val="22"/>
              </w:rPr>
              <w:t xml:space="preserve"> </w:t>
            </w:r>
            <w:proofErr w:type="spellStart"/>
            <w:r w:rsidRPr="00454850">
              <w:rPr>
                <w:rFonts w:cs="Arial"/>
                <w:sz w:val="22"/>
              </w:rPr>
              <w:t>emission</w:t>
            </w:r>
            <w:proofErr w:type="spellEnd"/>
            <w:r w:rsidRPr="00454850">
              <w:rPr>
                <w:rFonts w:cs="Arial"/>
                <w:sz w:val="22"/>
              </w:rPr>
              <w:t xml:space="preserve"> </w:t>
            </w:r>
            <w:proofErr w:type="spellStart"/>
            <w:r w:rsidRPr="00454850">
              <w:rPr>
                <w:rFonts w:cs="Arial"/>
                <w:sz w:val="22"/>
              </w:rPr>
              <w:t>tomography</w:t>
            </w:r>
            <w:proofErr w:type="spellEnd"/>
            <w:r w:rsidRPr="00454850">
              <w:rPr>
                <w:rFonts w:cs="Arial"/>
                <w:sz w:val="22"/>
              </w:rPr>
              <w:t xml:space="preserve">); </w:t>
            </w:r>
          </w:p>
          <w:p w:rsidR="00612B88" w:rsidRPr="00EA1F58" w:rsidRDefault="00612B88" w:rsidP="00562BC2">
            <w:pPr>
              <w:tabs>
                <w:tab w:val="left" w:pos="357"/>
              </w:tabs>
              <w:spacing w:before="60"/>
              <w:rPr>
                <w:rFonts w:cs="Arial"/>
                <w:sz w:val="22"/>
                <w:lang w:val="en-US"/>
              </w:rPr>
            </w:pPr>
            <w:r w:rsidRPr="00EA1F58">
              <w:rPr>
                <w:rFonts w:cs="Arial"/>
                <w:sz w:val="22"/>
                <w:lang w:val="en-US"/>
              </w:rPr>
              <w:t>e)</w:t>
            </w:r>
            <w:r w:rsidRPr="00EA1F58">
              <w:rPr>
                <w:rFonts w:cs="Arial"/>
                <w:sz w:val="22"/>
                <w:lang w:val="en-US"/>
              </w:rPr>
              <w:tab/>
              <w:t>la SPECT (single photon emission computed tomography);</w:t>
            </w:r>
          </w:p>
          <w:p w:rsidR="00612B88" w:rsidRPr="00454850" w:rsidRDefault="00612B88" w:rsidP="00562BC2">
            <w:pPr>
              <w:tabs>
                <w:tab w:val="left" w:pos="357"/>
              </w:tabs>
              <w:spacing w:before="60"/>
              <w:rPr>
                <w:rFonts w:cs="Arial"/>
                <w:sz w:val="22"/>
              </w:rPr>
            </w:pPr>
            <w:r w:rsidRPr="00454850">
              <w:rPr>
                <w:rFonts w:cs="Arial"/>
                <w:sz w:val="22"/>
              </w:rPr>
              <w:t>f)</w:t>
            </w:r>
            <w:r w:rsidRPr="00454850">
              <w:rPr>
                <w:rFonts w:cs="Arial"/>
                <w:sz w:val="22"/>
              </w:rPr>
              <w:tab/>
              <w:t xml:space="preserve">le apparecchiature di radioterapia; </w:t>
            </w:r>
          </w:p>
          <w:p w:rsidR="00612B88" w:rsidRPr="00454850" w:rsidRDefault="00612B88" w:rsidP="00562BC2">
            <w:pPr>
              <w:tabs>
                <w:tab w:val="left" w:pos="357"/>
                <w:tab w:val="left" w:pos="426"/>
              </w:tabs>
              <w:spacing w:before="60"/>
              <w:rPr>
                <w:rFonts w:cs="Arial"/>
                <w:sz w:val="22"/>
                <w:highlight w:val="red"/>
              </w:rPr>
            </w:pPr>
            <w:r w:rsidRPr="00454850">
              <w:rPr>
                <w:rFonts w:cs="Arial"/>
                <w:sz w:val="22"/>
              </w:rPr>
              <w:t>g)</w:t>
            </w:r>
            <w:r w:rsidRPr="00454850">
              <w:rPr>
                <w:rFonts w:cs="Arial"/>
                <w:sz w:val="22"/>
              </w:rPr>
              <w:tab/>
              <w:t xml:space="preserve">le sale operatorie, nei limiti previsti dal </w:t>
            </w:r>
            <w:proofErr w:type="spellStart"/>
            <w:r w:rsidRPr="00454850">
              <w:rPr>
                <w:rFonts w:cs="Arial"/>
                <w:sz w:val="22"/>
              </w:rPr>
              <w:t>Tarmed</w:t>
            </w:r>
            <w:proofErr w:type="spellEnd"/>
            <w:r w:rsidRPr="00454850">
              <w:rPr>
                <w:rFonts w:cs="Arial"/>
                <w:sz w:val="22"/>
              </w:rPr>
              <w:t>;</w:t>
            </w:r>
          </w:p>
          <w:p w:rsidR="00612B88" w:rsidRPr="00454850" w:rsidRDefault="00612B88" w:rsidP="00562BC2">
            <w:pPr>
              <w:tabs>
                <w:tab w:val="left" w:pos="357"/>
              </w:tabs>
              <w:spacing w:before="60"/>
              <w:rPr>
                <w:rFonts w:cs="Arial"/>
                <w:sz w:val="22"/>
              </w:rPr>
            </w:pPr>
            <w:r w:rsidRPr="00454850">
              <w:rPr>
                <w:rFonts w:cs="Arial"/>
                <w:sz w:val="22"/>
              </w:rPr>
              <w:t>h)</w:t>
            </w:r>
            <w:r w:rsidRPr="00454850">
              <w:rPr>
                <w:rFonts w:cs="Arial"/>
                <w:sz w:val="22"/>
              </w:rPr>
              <w:tab/>
              <w:t>la chirurgia robot-assistita.</w:t>
            </w:r>
          </w:p>
          <w:p w:rsidR="00612B88" w:rsidRPr="009D7ADE" w:rsidRDefault="00612B88" w:rsidP="00D62279">
            <w:pPr>
              <w:tabs>
                <w:tab w:val="left" w:pos="355"/>
              </w:tabs>
              <w:rPr>
                <w:rFonts w:cs="Arial"/>
                <w:sz w:val="12"/>
                <w:szCs w:val="12"/>
              </w:rPr>
            </w:pPr>
          </w:p>
          <w:p w:rsidR="00612B88" w:rsidRPr="00454850" w:rsidRDefault="00612B88" w:rsidP="00D62279">
            <w:pPr>
              <w:rPr>
                <w:rFonts w:cs="Arial"/>
                <w:sz w:val="22"/>
              </w:rPr>
            </w:pPr>
            <w:r w:rsidRPr="00454850">
              <w:rPr>
                <w:rFonts w:cs="Arial"/>
                <w:sz w:val="22"/>
                <w:vertAlign w:val="superscript"/>
              </w:rPr>
              <w:lastRenderedPageBreak/>
              <w:t>3</w:t>
            </w:r>
            <w:r w:rsidRPr="00454850">
              <w:rPr>
                <w:rFonts w:cs="Arial"/>
                <w:sz w:val="22"/>
              </w:rPr>
              <w:t>Sono inoltre considerate attrezzature a tecnologia avanzata le attrezzature, le apparecchiature o le istallazioni il cui costo di acquisizione a nuovo, indipendentemente dalle modalità di finanziamento previste, è superiore a 1 milione di franchi.</w:t>
            </w:r>
          </w:p>
          <w:p w:rsidR="00612B88" w:rsidRPr="00454850" w:rsidRDefault="00612B88" w:rsidP="00D62279">
            <w:pPr>
              <w:rPr>
                <w:rFonts w:cs="Arial"/>
                <w:sz w:val="22"/>
              </w:rPr>
            </w:pPr>
          </w:p>
          <w:p w:rsidR="00612B88" w:rsidRPr="00454850" w:rsidRDefault="00612B88" w:rsidP="00D62279">
            <w:pPr>
              <w:rPr>
                <w:rFonts w:cs="Arial"/>
                <w:sz w:val="22"/>
              </w:rPr>
            </w:pPr>
            <w:r w:rsidRPr="00454850">
              <w:rPr>
                <w:rFonts w:cs="Arial"/>
                <w:sz w:val="22"/>
                <w:vertAlign w:val="superscript"/>
              </w:rPr>
              <w:t>4</w:t>
            </w:r>
            <w:r w:rsidRPr="00454850">
              <w:rPr>
                <w:rFonts w:cs="Arial"/>
                <w:sz w:val="22"/>
              </w:rPr>
              <w:t>In tale importo non sono da computare le spese di trasporto e montaggio, di posa e istallazione di cablaggi elettrici, informatici o similari, di trattamento e condizionamento d’aria o acqua, nonché quelle per la messa in esercizio delle apparecchiature.</w:t>
            </w:r>
          </w:p>
          <w:p w:rsidR="00612B88" w:rsidRPr="00454850" w:rsidRDefault="00612B88" w:rsidP="00D62279">
            <w:pPr>
              <w:rPr>
                <w:rFonts w:cs="Arial"/>
                <w:sz w:val="22"/>
              </w:rPr>
            </w:pPr>
          </w:p>
          <w:p w:rsidR="00612B88" w:rsidRPr="00454850" w:rsidRDefault="00612B88" w:rsidP="00D62279">
            <w:pPr>
              <w:tabs>
                <w:tab w:val="left" w:pos="426"/>
              </w:tabs>
              <w:rPr>
                <w:rFonts w:cs="Arial"/>
                <w:sz w:val="22"/>
              </w:rPr>
            </w:pPr>
          </w:p>
        </w:tc>
      </w:tr>
      <w:tr w:rsidR="00612B88" w:rsidRPr="00B917F2" w:rsidTr="00D62279">
        <w:tc>
          <w:tcPr>
            <w:tcW w:w="2339" w:type="dxa"/>
          </w:tcPr>
          <w:p w:rsidR="00612B88" w:rsidRPr="00562BC2" w:rsidRDefault="00612B88" w:rsidP="00D62279">
            <w:pPr>
              <w:jc w:val="left"/>
              <w:rPr>
                <w:sz w:val="20"/>
              </w:rPr>
            </w:pPr>
          </w:p>
          <w:p w:rsidR="00612B88" w:rsidRPr="00562BC2" w:rsidRDefault="00612B88" w:rsidP="00D62279">
            <w:pPr>
              <w:jc w:val="left"/>
              <w:rPr>
                <w:sz w:val="20"/>
              </w:rPr>
            </w:pPr>
          </w:p>
          <w:p w:rsidR="00612B88" w:rsidRPr="00454850" w:rsidRDefault="00612B88" w:rsidP="00D62279">
            <w:pPr>
              <w:jc w:val="left"/>
              <w:rPr>
                <w:sz w:val="20"/>
              </w:rPr>
            </w:pPr>
            <w:r w:rsidRPr="00454850">
              <w:rPr>
                <w:b/>
                <w:sz w:val="20"/>
              </w:rPr>
              <w:t>Criteri per il rilascio dell’autorizzazione</w:t>
            </w:r>
          </w:p>
        </w:tc>
        <w:tc>
          <w:tcPr>
            <w:tcW w:w="7370" w:type="dxa"/>
          </w:tcPr>
          <w:p w:rsidR="00612B88" w:rsidRPr="00454850" w:rsidRDefault="00612B88" w:rsidP="00D62279">
            <w:pPr>
              <w:tabs>
                <w:tab w:val="left" w:pos="426"/>
                <w:tab w:val="right" w:pos="7230"/>
              </w:tabs>
              <w:rPr>
                <w:rFonts w:cs="Arial"/>
                <w:b/>
                <w:bCs/>
                <w:sz w:val="22"/>
              </w:rPr>
            </w:pPr>
            <w:r w:rsidRPr="00454850">
              <w:rPr>
                <w:rFonts w:cs="Arial"/>
                <w:b/>
                <w:bCs/>
                <w:sz w:val="22"/>
              </w:rPr>
              <w:t>Art. 3</w:t>
            </w:r>
          </w:p>
          <w:p w:rsidR="00612B88" w:rsidRPr="00454850" w:rsidRDefault="00612B88" w:rsidP="00D62279">
            <w:pPr>
              <w:tabs>
                <w:tab w:val="left" w:pos="426"/>
                <w:tab w:val="right" w:pos="7230"/>
              </w:tabs>
              <w:rPr>
                <w:rFonts w:cs="Arial"/>
                <w:bCs/>
                <w:sz w:val="22"/>
              </w:rPr>
            </w:pPr>
          </w:p>
          <w:p w:rsidR="00612B88" w:rsidRPr="00454850" w:rsidRDefault="00612B88" w:rsidP="00D62279">
            <w:pPr>
              <w:rPr>
                <w:rFonts w:cs="Arial"/>
                <w:sz w:val="22"/>
              </w:rPr>
            </w:pPr>
            <w:r w:rsidRPr="00454850">
              <w:rPr>
                <w:rFonts w:cs="Arial"/>
                <w:sz w:val="22"/>
                <w:vertAlign w:val="superscript"/>
              </w:rPr>
              <w:t>1</w:t>
            </w:r>
            <w:r w:rsidRPr="00454850">
              <w:rPr>
                <w:rFonts w:cs="Arial"/>
                <w:sz w:val="22"/>
              </w:rPr>
              <w:t>L’autorizzazione è concessa unicamente se:</w:t>
            </w:r>
          </w:p>
          <w:p w:rsidR="00612B88" w:rsidRPr="00454850" w:rsidRDefault="00562BC2" w:rsidP="00562BC2">
            <w:pPr>
              <w:tabs>
                <w:tab w:val="left" w:pos="357"/>
              </w:tabs>
              <w:spacing w:before="60"/>
              <w:rPr>
                <w:rFonts w:cs="Arial"/>
                <w:sz w:val="22"/>
              </w:rPr>
            </w:pPr>
            <w:r>
              <w:rPr>
                <w:rFonts w:cs="Arial"/>
                <w:sz w:val="22"/>
              </w:rPr>
              <w:t>a)</w:t>
            </w:r>
            <w:r w:rsidR="00612B88" w:rsidRPr="00454850">
              <w:rPr>
                <w:rFonts w:cs="Arial"/>
                <w:sz w:val="22"/>
              </w:rPr>
              <w:tab/>
              <w:t>è dimostrata l’idoneità tecnica dell’attrezzatura;</w:t>
            </w:r>
          </w:p>
          <w:p w:rsidR="00612B88" w:rsidRDefault="00562BC2" w:rsidP="00562BC2">
            <w:pPr>
              <w:tabs>
                <w:tab w:val="left" w:pos="357"/>
              </w:tabs>
              <w:spacing w:before="60"/>
              <w:ind w:left="384" w:hanging="384"/>
              <w:rPr>
                <w:rFonts w:cs="Arial"/>
                <w:sz w:val="22"/>
              </w:rPr>
            </w:pPr>
            <w:r>
              <w:rPr>
                <w:rFonts w:cs="Arial"/>
                <w:sz w:val="22"/>
              </w:rPr>
              <w:t>b)</w:t>
            </w:r>
            <w:r w:rsidR="00612B88" w:rsidRPr="00454850">
              <w:rPr>
                <w:rFonts w:cs="Arial"/>
                <w:sz w:val="22"/>
              </w:rPr>
              <w:tab/>
              <w:t>chi intende utilizzare l’attrezzatura (istituto o singolo operatore)</w:t>
            </w:r>
            <w:r w:rsidR="00612B88">
              <w:rPr>
                <w:rFonts w:cs="Arial"/>
                <w:sz w:val="22"/>
              </w:rPr>
              <w:t xml:space="preserve"> </w:t>
            </w:r>
            <w:r w:rsidR="00612B88" w:rsidRPr="00454850">
              <w:rPr>
                <w:rFonts w:cs="Arial"/>
                <w:sz w:val="22"/>
              </w:rPr>
              <w:t>possiede le qualifiche professionali necessarie.</w:t>
            </w:r>
          </w:p>
          <w:p w:rsidR="00612B88" w:rsidRDefault="00612B88" w:rsidP="00D62279">
            <w:pPr>
              <w:tabs>
                <w:tab w:val="left" w:pos="384"/>
              </w:tabs>
              <w:spacing w:before="60"/>
              <w:ind w:left="384" w:hanging="384"/>
              <w:rPr>
                <w:rFonts w:cs="Arial"/>
                <w:sz w:val="22"/>
              </w:rPr>
            </w:pPr>
          </w:p>
          <w:p w:rsidR="00612B88" w:rsidRDefault="00E5432B" w:rsidP="00D62279">
            <w:pPr>
              <w:tabs>
                <w:tab w:val="left" w:pos="384"/>
              </w:tabs>
              <w:rPr>
                <w:rFonts w:cs="Arial"/>
                <w:sz w:val="22"/>
              </w:rPr>
            </w:pPr>
            <w:r w:rsidRPr="00530817">
              <w:rPr>
                <w:rFonts w:cs="Arial"/>
                <w:sz w:val="22"/>
                <w:vertAlign w:val="superscript"/>
              </w:rPr>
              <w:t>2</w:t>
            </w:r>
            <w:r w:rsidR="00612B88" w:rsidRPr="00530817">
              <w:rPr>
                <w:rFonts w:cs="Arial"/>
                <w:sz w:val="22"/>
                <w:vertAlign w:val="superscript"/>
              </w:rPr>
              <w:t>(nuovo)</w:t>
            </w:r>
            <w:r w:rsidR="00612B88" w:rsidRPr="00530817">
              <w:rPr>
                <w:rFonts w:cs="Arial"/>
                <w:sz w:val="22"/>
              </w:rPr>
              <w:t>Chi intende utilizzare un’apparecchiatura che soggiace alla legislazione sulla radioprotezione deve dimostrare di adempiere i requisiti per il rilascio della relativa licenza imposta dalla legislazione federale.</w:t>
            </w:r>
          </w:p>
          <w:p w:rsidR="00612B88" w:rsidRPr="00454850" w:rsidRDefault="00612B88" w:rsidP="00D62279">
            <w:pPr>
              <w:tabs>
                <w:tab w:val="left" w:pos="384"/>
              </w:tabs>
              <w:rPr>
                <w:rFonts w:cs="Arial"/>
                <w:sz w:val="22"/>
              </w:rPr>
            </w:pPr>
          </w:p>
          <w:p w:rsidR="00612B88" w:rsidRPr="00454850" w:rsidRDefault="00612B88" w:rsidP="00D62279">
            <w:pPr>
              <w:tabs>
                <w:tab w:val="left" w:pos="384"/>
              </w:tabs>
              <w:rPr>
                <w:rFonts w:cs="Arial"/>
                <w:sz w:val="22"/>
              </w:rPr>
            </w:pPr>
            <w:r>
              <w:rPr>
                <w:rFonts w:cs="Arial"/>
                <w:sz w:val="22"/>
                <w:vertAlign w:val="superscript"/>
              </w:rPr>
              <w:t>3</w:t>
            </w:r>
            <w:r w:rsidRPr="00454850">
              <w:rPr>
                <w:rFonts w:cs="Arial"/>
                <w:sz w:val="22"/>
              </w:rPr>
              <w:t xml:space="preserve">Per le attrezzature i cui costi sono a carico della </w:t>
            </w:r>
            <w:proofErr w:type="spellStart"/>
            <w:r w:rsidRPr="00454850">
              <w:rPr>
                <w:rFonts w:cs="Arial"/>
                <w:sz w:val="22"/>
              </w:rPr>
              <w:t>LAMal</w:t>
            </w:r>
            <w:proofErr w:type="spellEnd"/>
            <w:r w:rsidRPr="00454850">
              <w:rPr>
                <w:rFonts w:cs="Arial"/>
                <w:sz w:val="22"/>
              </w:rPr>
              <w:t xml:space="preserve"> l’autorizzazione è concessa unicamente se esiste un fabbisogno non sufficientemente coperto.</w:t>
            </w:r>
          </w:p>
          <w:p w:rsidR="00612B88" w:rsidRPr="00454850" w:rsidRDefault="00612B88" w:rsidP="00D62279">
            <w:pPr>
              <w:tabs>
                <w:tab w:val="left" w:pos="384"/>
              </w:tabs>
              <w:rPr>
                <w:rFonts w:cs="Arial"/>
                <w:sz w:val="22"/>
              </w:rPr>
            </w:pPr>
          </w:p>
          <w:p w:rsidR="00612B88" w:rsidRPr="00454850" w:rsidRDefault="00612B88" w:rsidP="00D62279">
            <w:pPr>
              <w:tabs>
                <w:tab w:val="left" w:pos="384"/>
              </w:tabs>
              <w:rPr>
                <w:rFonts w:cs="Arial"/>
                <w:sz w:val="22"/>
              </w:rPr>
            </w:pPr>
            <w:r>
              <w:rPr>
                <w:rFonts w:cs="Arial"/>
                <w:sz w:val="22"/>
                <w:vertAlign w:val="superscript"/>
              </w:rPr>
              <w:t>4</w:t>
            </w:r>
            <w:r w:rsidRPr="00454850">
              <w:rPr>
                <w:rFonts w:cs="Arial"/>
                <w:sz w:val="22"/>
              </w:rPr>
              <w:t xml:space="preserve">Il fabbisogno </w:t>
            </w:r>
            <w:r>
              <w:rPr>
                <w:rFonts w:cs="Arial"/>
                <w:sz w:val="22"/>
              </w:rPr>
              <w:t>-</w:t>
            </w:r>
            <w:r w:rsidRPr="00454850">
              <w:rPr>
                <w:rFonts w:cs="Arial"/>
                <w:sz w:val="22"/>
              </w:rPr>
              <w:t xml:space="preserve"> tenuto anche conto della data d’inoltro della domanda di autorizzazione </w:t>
            </w:r>
            <w:r>
              <w:rPr>
                <w:rFonts w:cs="Arial"/>
                <w:sz w:val="22"/>
              </w:rPr>
              <w:t>-</w:t>
            </w:r>
            <w:r w:rsidRPr="00454850">
              <w:rPr>
                <w:rFonts w:cs="Arial"/>
                <w:sz w:val="22"/>
              </w:rPr>
              <w:t xml:space="preserve"> può essere determinato, segnatamente, in base ai seguenti criteri:</w:t>
            </w:r>
          </w:p>
          <w:p w:rsidR="00612B88" w:rsidRPr="00454850" w:rsidRDefault="00562BC2" w:rsidP="00562BC2">
            <w:pPr>
              <w:tabs>
                <w:tab w:val="left" w:pos="357"/>
              </w:tabs>
              <w:spacing w:before="60"/>
              <w:rPr>
                <w:rFonts w:cs="Arial"/>
                <w:sz w:val="22"/>
              </w:rPr>
            </w:pPr>
            <w:r>
              <w:rPr>
                <w:rFonts w:cs="Arial"/>
                <w:sz w:val="22"/>
              </w:rPr>
              <w:t>a)</w:t>
            </w:r>
            <w:r w:rsidR="00612B88" w:rsidRPr="00454850">
              <w:rPr>
                <w:rFonts w:cs="Arial"/>
                <w:sz w:val="22"/>
              </w:rPr>
              <w:tab/>
              <w:t>copertura e diffusione territoriale;</w:t>
            </w:r>
          </w:p>
          <w:p w:rsidR="00612B88" w:rsidRPr="00454850" w:rsidRDefault="00562BC2" w:rsidP="00562BC2">
            <w:pPr>
              <w:tabs>
                <w:tab w:val="left" w:pos="357"/>
              </w:tabs>
              <w:spacing w:before="60"/>
              <w:rPr>
                <w:rFonts w:cs="Arial"/>
                <w:sz w:val="22"/>
              </w:rPr>
            </w:pPr>
            <w:r>
              <w:rPr>
                <w:rFonts w:cs="Arial"/>
                <w:sz w:val="22"/>
              </w:rPr>
              <w:t>b)</w:t>
            </w:r>
            <w:r w:rsidR="00612B88" w:rsidRPr="00454850">
              <w:rPr>
                <w:rFonts w:cs="Arial"/>
                <w:sz w:val="22"/>
              </w:rPr>
              <w:tab/>
              <w:t>confronto con standard nazionali o internazionali;</w:t>
            </w:r>
          </w:p>
          <w:p w:rsidR="00612B88" w:rsidRPr="00454850" w:rsidRDefault="00562BC2" w:rsidP="00562BC2">
            <w:pPr>
              <w:tabs>
                <w:tab w:val="left" w:pos="357"/>
              </w:tabs>
              <w:spacing w:before="60"/>
              <w:rPr>
                <w:rFonts w:cs="Arial"/>
                <w:sz w:val="22"/>
              </w:rPr>
            </w:pPr>
            <w:r>
              <w:rPr>
                <w:rFonts w:cs="Arial"/>
                <w:sz w:val="22"/>
              </w:rPr>
              <w:t>c)</w:t>
            </w:r>
            <w:r w:rsidR="00612B88" w:rsidRPr="00454850">
              <w:rPr>
                <w:rFonts w:cs="Arial"/>
                <w:sz w:val="22"/>
              </w:rPr>
              <w:tab/>
              <w:t>definizione quantitativa;</w:t>
            </w:r>
          </w:p>
          <w:p w:rsidR="00612B88" w:rsidRPr="00454850" w:rsidRDefault="00562BC2" w:rsidP="00562BC2">
            <w:pPr>
              <w:tabs>
                <w:tab w:val="left" w:pos="357"/>
              </w:tabs>
              <w:spacing w:before="60"/>
              <w:rPr>
                <w:rFonts w:cs="Arial"/>
                <w:sz w:val="22"/>
              </w:rPr>
            </w:pPr>
            <w:r>
              <w:rPr>
                <w:rFonts w:cs="Arial"/>
                <w:sz w:val="22"/>
              </w:rPr>
              <w:t>d)</w:t>
            </w:r>
            <w:r w:rsidR="00612B88" w:rsidRPr="00454850">
              <w:rPr>
                <w:rFonts w:cs="Arial"/>
                <w:sz w:val="22"/>
              </w:rPr>
              <w:tab/>
              <w:t>stato ed evoluzione della tecnologia medica;</w:t>
            </w:r>
          </w:p>
          <w:p w:rsidR="00612B88" w:rsidRPr="00454850" w:rsidRDefault="00562BC2" w:rsidP="00562BC2">
            <w:pPr>
              <w:tabs>
                <w:tab w:val="left" w:pos="357"/>
              </w:tabs>
              <w:spacing w:before="60"/>
              <w:rPr>
                <w:rFonts w:cs="Arial"/>
                <w:sz w:val="22"/>
              </w:rPr>
            </w:pPr>
            <w:r>
              <w:rPr>
                <w:rFonts w:cs="Arial"/>
                <w:sz w:val="22"/>
              </w:rPr>
              <w:t>e)</w:t>
            </w:r>
            <w:r w:rsidR="00612B88" w:rsidRPr="00454850">
              <w:rPr>
                <w:rFonts w:cs="Arial"/>
                <w:sz w:val="22"/>
              </w:rPr>
              <w:tab/>
              <w:t>possibilità di collaborazioni in rete;</w:t>
            </w:r>
          </w:p>
          <w:p w:rsidR="00612B88" w:rsidRPr="00454850" w:rsidRDefault="00562BC2" w:rsidP="00562BC2">
            <w:pPr>
              <w:tabs>
                <w:tab w:val="left" w:pos="357"/>
              </w:tabs>
              <w:spacing w:before="60"/>
              <w:rPr>
                <w:rFonts w:cs="Arial"/>
                <w:sz w:val="22"/>
              </w:rPr>
            </w:pPr>
            <w:r>
              <w:rPr>
                <w:rFonts w:cs="Arial"/>
                <w:sz w:val="22"/>
              </w:rPr>
              <w:t>f)</w:t>
            </w:r>
            <w:r w:rsidR="00612B88" w:rsidRPr="00454850">
              <w:rPr>
                <w:rFonts w:cs="Arial"/>
                <w:sz w:val="22"/>
              </w:rPr>
              <w:tab/>
              <w:t>valutazione dei tempi di attesa per l’utilizzo di una stessa</w:t>
            </w:r>
            <w:r w:rsidR="00612B88">
              <w:rPr>
                <w:rFonts w:cs="Arial"/>
                <w:sz w:val="22"/>
              </w:rPr>
              <w:t xml:space="preserve"> </w:t>
            </w:r>
            <w:r w:rsidR="00612B88" w:rsidRPr="00454850">
              <w:rPr>
                <w:rFonts w:cs="Arial"/>
                <w:sz w:val="22"/>
              </w:rPr>
              <w:t>attrezzatura;</w:t>
            </w:r>
          </w:p>
          <w:p w:rsidR="00612B88" w:rsidRDefault="00562BC2" w:rsidP="00562BC2">
            <w:pPr>
              <w:tabs>
                <w:tab w:val="left" w:pos="357"/>
              </w:tabs>
              <w:spacing w:before="60"/>
              <w:rPr>
                <w:rFonts w:cs="Arial"/>
                <w:sz w:val="22"/>
              </w:rPr>
            </w:pPr>
            <w:r>
              <w:rPr>
                <w:rFonts w:cs="Arial"/>
                <w:sz w:val="22"/>
              </w:rPr>
              <w:t>g)</w:t>
            </w:r>
            <w:r w:rsidR="00612B88" w:rsidRPr="00454850">
              <w:rPr>
                <w:rFonts w:cs="Arial"/>
                <w:sz w:val="22"/>
              </w:rPr>
              <w:tab/>
              <w:t>economicità</w:t>
            </w:r>
          </w:p>
          <w:p w:rsidR="00612B88" w:rsidRPr="00530817" w:rsidRDefault="00612B88" w:rsidP="00562BC2">
            <w:pPr>
              <w:tabs>
                <w:tab w:val="left" w:pos="357"/>
              </w:tabs>
              <w:spacing w:before="60"/>
              <w:rPr>
                <w:rFonts w:cs="Arial"/>
                <w:sz w:val="22"/>
              </w:rPr>
            </w:pPr>
            <w:r w:rsidRPr="00530817">
              <w:rPr>
                <w:rFonts w:cs="Arial"/>
                <w:sz w:val="22"/>
              </w:rPr>
              <w:t>h)</w:t>
            </w:r>
            <w:r w:rsidR="00E5432B" w:rsidRPr="00530817">
              <w:rPr>
                <w:rFonts w:cs="Arial"/>
                <w:sz w:val="22"/>
              </w:rPr>
              <w:tab/>
            </w:r>
            <w:r w:rsidRPr="00530817">
              <w:rPr>
                <w:rFonts w:cs="Arial"/>
                <w:sz w:val="22"/>
              </w:rPr>
              <w:t>finalità e utilizzo delle apparecchiature.</w:t>
            </w:r>
          </w:p>
          <w:p w:rsidR="00612B88" w:rsidRPr="00530817" w:rsidRDefault="00612B88" w:rsidP="00D62279">
            <w:pPr>
              <w:tabs>
                <w:tab w:val="left" w:pos="384"/>
              </w:tabs>
              <w:rPr>
                <w:rFonts w:cs="Arial"/>
                <w:sz w:val="22"/>
              </w:rPr>
            </w:pPr>
          </w:p>
          <w:p w:rsidR="00612B88" w:rsidRPr="00530817" w:rsidRDefault="00612B88" w:rsidP="00D62279">
            <w:pPr>
              <w:tabs>
                <w:tab w:val="left" w:pos="384"/>
              </w:tabs>
              <w:rPr>
                <w:rFonts w:cs="Arial"/>
                <w:sz w:val="22"/>
              </w:rPr>
            </w:pPr>
            <w:r w:rsidRPr="00530817">
              <w:rPr>
                <w:rFonts w:cs="Arial"/>
                <w:sz w:val="22"/>
                <w:vertAlign w:val="superscript"/>
              </w:rPr>
              <w:t xml:space="preserve">5(nuovo) </w:t>
            </w:r>
            <w:r w:rsidR="008074ED" w:rsidRPr="00530817">
              <w:rPr>
                <w:rFonts w:cs="Arial"/>
                <w:sz w:val="22"/>
              </w:rPr>
              <w:t>L’autorizzazione presuppone inoltre che:</w:t>
            </w:r>
          </w:p>
          <w:p w:rsidR="00612B88" w:rsidRPr="00530817" w:rsidRDefault="002A6608" w:rsidP="00562BC2">
            <w:pPr>
              <w:pStyle w:val="Paragrafoelenco"/>
              <w:numPr>
                <w:ilvl w:val="0"/>
                <w:numId w:val="13"/>
              </w:numPr>
              <w:tabs>
                <w:tab w:val="left" w:pos="355"/>
              </w:tabs>
              <w:spacing w:before="60"/>
              <w:ind w:left="357" w:hanging="357"/>
              <w:rPr>
                <w:rFonts w:cs="Arial"/>
                <w:sz w:val="22"/>
              </w:rPr>
            </w:pPr>
            <w:r>
              <w:rPr>
                <w:rFonts w:cs="Arial"/>
                <w:sz w:val="22"/>
              </w:rPr>
              <w:t>i</w:t>
            </w:r>
            <w:r w:rsidR="00612B88" w:rsidRPr="00530817">
              <w:rPr>
                <w:rFonts w:cs="Arial"/>
                <w:sz w:val="22"/>
              </w:rPr>
              <w:t>l personale impiegato è al beneficio delle medesime condizioni di lavoro in uso nel settore sanitario</w:t>
            </w:r>
            <w:r>
              <w:rPr>
                <w:rFonts w:cs="Arial"/>
                <w:sz w:val="22"/>
              </w:rPr>
              <w:t>;</w:t>
            </w:r>
          </w:p>
          <w:p w:rsidR="00612B88" w:rsidRPr="00530817" w:rsidRDefault="002A6608" w:rsidP="00562BC2">
            <w:pPr>
              <w:pStyle w:val="Paragrafoelenco"/>
              <w:numPr>
                <w:ilvl w:val="0"/>
                <w:numId w:val="13"/>
              </w:numPr>
              <w:tabs>
                <w:tab w:val="left" w:pos="355"/>
              </w:tabs>
              <w:spacing w:before="60"/>
              <w:ind w:left="357" w:hanging="357"/>
              <w:rPr>
                <w:rFonts w:cs="Arial"/>
                <w:sz w:val="22"/>
              </w:rPr>
            </w:pPr>
            <w:r>
              <w:rPr>
                <w:rFonts w:cs="Arial"/>
                <w:sz w:val="22"/>
              </w:rPr>
              <w:t>i</w:t>
            </w:r>
            <w:r w:rsidR="00860916" w:rsidRPr="00530817">
              <w:rPr>
                <w:rFonts w:cs="Arial"/>
                <w:sz w:val="22"/>
              </w:rPr>
              <w:t>l richiedente c</w:t>
            </w:r>
            <w:r w:rsidR="00612B88" w:rsidRPr="00530817">
              <w:rPr>
                <w:rFonts w:cs="Arial"/>
                <w:sz w:val="22"/>
              </w:rPr>
              <w:t>ontribuisce alla formazione di personale sociosanitario offrendo un numero adeguato di stage e/o apprendistato</w:t>
            </w:r>
            <w:r>
              <w:rPr>
                <w:rFonts w:cs="Arial"/>
                <w:sz w:val="22"/>
              </w:rPr>
              <w:t>;</w:t>
            </w:r>
          </w:p>
          <w:p w:rsidR="00612B88" w:rsidRPr="00530817" w:rsidRDefault="002A6608" w:rsidP="00562BC2">
            <w:pPr>
              <w:pStyle w:val="Paragrafoelenco"/>
              <w:numPr>
                <w:ilvl w:val="0"/>
                <w:numId w:val="13"/>
              </w:numPr>
              <w:tabs>
                <w:tab w:val="left" w:pos="355"/>
              </w:tabs>
              <w:spacing w:before="60"/>
              <w:ind w:left="357" w:hanging="357"/>
              <w:rPr>
                <w:rFonts w:cs="Arial"/>
                <w:sz w:val="22"/>
              </w:rPr>
            </w:pPr>
            <w:r>
              <w:rPr>
                <w:rFonts w:cs="Arial"/>
                <w:sz w:val="22"/>
              </w:rPr>
              <w:t>d</w:t>
            </w:r>
            <w:r w:rsidR="00612B88" w:rsidRPr="00530817">
              <w:rPr>
                <w:rFonts w:cs="Arial"/>
                <w:sz w:val="22"/>
              </w:rPr>
              <w:t>opo avere ottenuto l’autorizzazione</w:t>
            </w:r>
            <w:r w:rsidR="007655C6">
              <w:rPr>
                <w:rFonts w:cs="Arial"/>
                <w:sz w:val="22"/>
              </w:rPr>
              <w:t>,</w:t>
            </w:r>
            <w:r w:rsidR="00612B88" w:rsidRPr="00530817">
              <w:rPr>
                <w:rFonts w:cs="Arial"/>
                <w:sz w:val="22"/>
              </w:rPr>
              <w:t xml:space="preserve"> il richiedente certifica </w:t>
            </w:r>
            <w:r w:rsidR="007655C6">
              <w:rPr>
                <w:rFonts w:cs="Arial"/>
                <w:sz w:val="22"/>
              </w:rPr>
              <w:t>ulteriormente</w:t>
            </w:r>
            <w:r w:rsidR="00612B88" w:rsidRPr="00530817">
              <w:rPr>
                <w:rFonts w:cs="Arial"/>
                <w:sz w:val="22"/>
              </w:rPr>
              <w:t xml:space="preserve"> la situazione</w:t>
            </w:r>
            <w:r w:rsidR="007655C6">
              <w:rPr>
                <w:rFonts w:cs="Arial"/>
                <w:sz w:val="22"/>
              </w:rPr>
              <w:t xml:space="preserve"> su richiesta della Commissione consultiva, </w:t>
            </w:r>
            <w:r w:rsidR="00612B88" w:rsidRPr="00530817">
              <w:rPr>
                <w:rFonts w:cs="Arial"/>
                <w:sz w:val="22"/>
              </w:rPr>
              <w:t>fornendo la documentazione a comprova</w:t>
            </w:r>
            <w:r w:rsidR="00401A10" w:rsidRPr="00530817">
              <w:rPr>
                <w:rFonts w:cs="Arial"/>
                <w:sz w:val="22"/>
              </w:rPr>
              <w:t>.</w:t>
            </w:r>
          </w:p>
          <w:p w:rsidR="00612B88" w:rsidRPr="00454850" w:rsidRDefault="00612B88" w:rsidP="00D62279">
            <w:pPr>
              <w:tabs>
                <w:tab w:val="left" w:pos="384"/>
              </w:tabs>
              <w:rPr>
                <w:rFonts w:cs="Arial"/>
                <w:sz w:val="22"/>
              </w:rPr>
            </w:pPr>
          </w:p>
          <w:p w:rsidR="00612B88" w:rsidRPr="0097093E" w:rsidRDefault="00612B88" w:rsidP="00D62279">
            <w:pPr>
              <w:rPr>
                <w:rFonts w:cs="Arial"/>
                <w:sz w:val="22"/>
                <w:vertAlign w:val="superscript"/>
              </w:rPr>
            </w:pPr>
            <w:r>
              <w:rPr>
                <w:rFonts w:cs="Arial"/>
                <w:sz w:val="22"/>
                <w:vertAlign w:val="superscript"/>
              </w:rPr>
              <w:t>6</w:t>
            </w:r>
            <w:r w:rsidRPr="00454850">
              <w:rPr>
                <w:rFonts w:cs="Arial"/>
                <w:sz w:val="22"/>
              </w:rPr>
              <w:t>L’autorizzazione può anche essere subordinata alla stipulazione di una convenzione tra soggetti pubblici e privati nonché alla partecipazione alla raccolta di dati e all’osservanza di protocolli utili per verificare l’adeguatezza delle prestazioni, secondo le modalità definite dal Dipartimento della sanità e della socialità (in seguito Dipartimento).</w:t>
            </w:r>
          </w:p>
          <w:p w:rsidR="00612B88" w:rsidRDefault="00612B88" w:rsidP="00D62279">
            <w:pPr>
              <w:rPr>
                <w:rFonts w:cs="Arial"/>
                <w:sz w:val="22"/>
              </w:rPr>
            </w:pPr>
          </w:p>
          <w:p w:rsidR="009D7ADE" w:rsidRPr="00454850" w:rsidRDefault="009D7ADE" w:rsidP="00D62279">
            <w:pPr>
              <w:rPr>
                <w:rFonts w:cs="Arial"/>
                <w:sz w:val="22"/>
              </w:rPr>
            </w:pPr>
          </w:p>
          <w:p w:rsidR="00612B88" w:rsidRPr="00454850" w:rsidRDefault="00612B88" w:rsidP="00D62279">
            <w:pPr>
              <w:rPr>
                <w:rFonts w:cs="Arial"/>
                <w:sz w:val="22"/>
              </w:rPr>
            </w:pPr>
            <w:r>
              <w:rPr>
                <w:rFonts w:cs="Arial"/>
                <w:sz w:val="22"/>
                <w:vertAlign w:val="superscript"/>
              </w:rPr>
              <w:lastRenderedPageBreak/>
              <w:t>7</w:t>
            </w:r>
            <w:r w:rsidRPr="00454850">
              <w:rPr>
                <w:rFonts w:cs="Arial"/>
                <w:sz w:val="22"/>
              </w:rPr>
              <w:t>L’autorizzazione è, di regola, concessa per l’acquisizione di attrezzature di cui un privato o un ente pubblico, riconosciuto nell’ambito della pianificazione ospedaliera, deve in ogni caso dotarsi per adempiere ad un contratto o ad un mandato di prestazione in essere.</w:t>
            </w:r>
          </w:p>
          <w:p w:rsidR="00612B88" w:rsidRPr="00454850" w:rsidRDefault="00612B88" w:rsidP="00D62279">
            <w:pPr>
              <w:rPr>
                <w:rFonts w:cs="Arial"/>
                <w:sz w:val="22"/>
              </w:rPr>
            </w:pPr>
          </w:p>
          <w:p w:rsidR="00612B88" w:rsidRPr="00454850" w:rsidRDefault="00612B88" w:rsidP="00D62279">
            <w:pPr>
              <w:tabs>
                <w:tab w:val="left" w:pos="426"/>
              </w:tabs>
              <w:rPr>
                <w:rFonts w:cs="Arial"/>
                <w:sz w:val="22"/>
              </w:rPr>
            </w:pPr>
          </w:p>
        </w:tc>
      </w:tr>
      <w:tr w:rsidR="00612B88" w:rsidRPr="00B917F2" w:rsidTr="00D62279">
        <w:tc>
          <w:tcPr>
            <w:tcW w:w="2339" w:type="dxa"/>
          </w:tcPr>
          <w:p w:rsidR="00612B88" w:rsidRPr="00562BC2" w:rsidRDefault="00612B88" w:rsidP="00D62279">
            <w:pPr>
              <w:jc w:val="left"/>
              <w:rPr>
                <w:sz w:val="20"/>
              </w:rPr>
            </w:pPr>
          </w:p>
          <w:p w:rsidR="00612B88" w:rsidRPr="00562BC2" w:rsidRDefault="00612B88" w:rsidP="00D62279">
            <w:pPr>
              <w:jc w:val="left"/>
              <w:rPr>
                <w:sz w:val="20"/>
              </w:rPr>
            </w:pPr>
          </w:p>
          <w:p w:rsidR="00612B88" w:rsidRPr="00454850" w:rsidRDefault="00612B88" w:rsidP="00D62279">
            <w:pPr>
              <w:jc w:val="left"/>
              <w:rPr>
                <w:sz w:val="20"/>
              </w:rPr>
            </w:pPr>
            <w:r w:rsidRPr="00454850">
              <w:rPr>
                <w:b/>
                <w:sz w:val="20"/>
              </w:rPr>
              <w:t>Informazioni a supporto dell’istanza</w:t>
            </w:r>
          </w:p>
        </w:tc>
        <w:tc>
          <w:tcPr>
            <w:tcW w:w="7370" w:type="dxa"/>
          </w:tcPr>
          <w:p w:rsidR="00612B88" w:rsidRPr="00454850" w:rsidRDefault="00612B88" w:rsidP="00D62279">
            <w:pPr>
              <w:tabs>
                <w:tab w:val="left" w:pos="426"/>
              </w:tabs>
              <w:rPr>
                <w:rFonts w:cs="Arial"/>
                <w:b/>
                <w:bCs/>
                <w:sz w:val="22"/>
              </w:rPr>
            </w:pPr>
            <w:r w:rsidRPr="00454850">
              <w:rPr>
                <w:rFonts w:cs="Arial"/>
                <w:b/>
                <w:bCs/>
                <w:sz w:val="22"/>
              </w:rPr>
              <w:t>Art. 4</w:t>
            </w:r>
          </w:p>
          <w:p w:rsidR="00612B88" w:rsidRPr="00454850" w:rsidRDefault="00612B88" w:rsidP="00D62279">
            <w:pPr>
              <w:tabs>
                <w:tab w:val="left" w:pos="426"/>
              </w:tabs>
              <w:rPr>
                <w:rFonts w:cs="Arial"/>
                <w:bCs/>
                <w:sz w:val="22"/>
              </w:rPr>
            </w:pPr>
          </w:p>
          <w:p w:rsidR="00612B88" w:rsidRPr="00454850" w:rsidRDefault="00612B88" w:rsidP="00D62279">
            <w:pPr>
              <w:rPr>
                <w:rFonts w:cs="Arial"/>
                <w:sz w:val="22"/>
              </w:rPr>
            </w:pPr>
            <w:r w:rsidRPr="00454850">
              <w:rPr>
                <w:rFonts w:cs="Arial"/>
                <w:sz w:val="22"/>
                <w:vertAlign w:val="superscript"/>
              </w:rPr>
              <w:t>1</w:t>
            </w:r>
            <w:r w:rsidRPr="00454850">
              <w:rPr>
                <w:rFonts w:cs="Arial"/>
                <w:sz w:val="22"/>
              </w:rPr>
              <w:t>Il Dipartimento può richiedere che la domanda di autorizzazione sia presentata utilizzando un formato standardizzato con indicazioni riguardanti l’esistenza dei presupposti del fabbisogno, segnatamente:</w:t>
            </w:r>
          </w:p>
          <w:p w:rsidR="00612B88" w:rsidRPr="00454850" w:rsidRDefault="00612B88" w:rsidP="00D62279">
            <w:pPr>
              <w:tabs>
                <w:tab w:val="left" w:pos="355"/>
              </w:tabs>
              <w:spacing w:before="60"/>
              <w:rPr>
                <w:rFonts w:cs="Arial"/>
                <w:sz w:val="22"/>
              </w:rPr>
            </w:pPr>
            <w:r>
              <w:rPr>
                <w:rFonts w:cs="Arial"/>
                <w:sz w:val="22"/>
              </w:rPr>
              <w:t>a)</w:t>
            </w:r>
            <w:r w:rsidRPr="00454850">
              <w:rPr>
                <w:rFonts w:cs="Arial"/>
                <w:sz w:val="22"/>
              </w:rPr>
              <w:tab/>
              <w:t>genere di richiesta (nuova tecnologia; sostituzione);</w:t>
            </w:r>
          </w:p>
          <w:p w:rsidR="00612B88" w:rsidRPr="00454850" w:rsidRDefault="00612B88" w:rsidP="00D62279">
            <w:pPr>
              <w:tabs>
                <w:tab w:val="left" w:pos="355"/>
              </w:tabs>
              <w:spacing w:before="60"/>
              <w:rPr>
                <w:rFonts w:cs="Arial"/>
                <w:sz w:val="22"/>
              </w:rPr>
            </w:pPr>
            <w:r>
              <w:rPr>
                <w:rFonts w:cs="Arial"/>
                <w:sz w:val="22"/>
              </w:rPr>
              <w:t>b)</w:t>
            </w:r>
            <w:r w:rsidRPr="00454850">
              <w:rPr>
                <w:rFonts w:cs="Arial"/>
                <w:sz w:val="22"/>
              </w:rPr>
              <w:tab/>
              <w:t>oggetto della richiesta e motivazioni;</w:t>
            </w:r>
          </w:p>
          <w:p w:rsidR="00612B88" w:rsidRPr="00454850" w:rsidRDefault="00612B88" w:rsidP="00D62279">
            <w:pPr>
              <w:tabs>
                <w:tab w:val="left" w:pos="355"/>
              </w:tabs>
              <w:spacing w:before="60"/>
              <w:rPr>
                <w:rFonts w:cs="Arial"/>
                <w:sz w:val="22"/>
              </w:rPr>
            </w:pPr>
            <w:r>
              <w:rPr>
                <w:rFonts w:cs="Arial"/>
                <w:sz w:val="22"/>
              </w:rPr>
              <w:t>c)</w:t>
            </w:r>
            <w:r w:rsidRPr="00454850">
              <w:rPr>
                <w:rFonts w:cs="Arial"/>
                <w:sz w:val="22"/>
              </w:rPr>
              <w:tab/>
              <w:t>tipologia apparecchiatura (prevista);</w:t>
            </w:r>
          </w:p>
          <w:p w:rsidR="00612B88" w:rsidRPr="00454850" w:rsidRDefault="00612B88" w:rsidP="00D62279">
            <w:pPr>
              <w:tabs>
                <w:tab w:val="left" w:pos="355"/>
              </w:tabs>
              <w:spacing w:before="60"/>
              <w:rPr>
                <w:rFonts w:cs="Arial"/>
                <w:sz w:val="22"/>
              </w:rPr>
            </w:pPr>
            <w:r w:rsidRPr="00454850">
              <w:rPr>
                <w:rFonts w:cs="Arial"/>
                <w:sz w:val="22"/>
              </w:rPr>
              <w:t>d)</w:t>
            </w:r>
            <w:r w:rsidRPr="00454850">
              <w:rPr>
                <w:rFonts w:cs="Arial"/>
                <w:sz w:val="22"/>
              </w:rPr>
              <w:tab/>
              <w:t>complementarità rispettivamente sovrapposizione con altre</w:t>
            </w:r>
            <w:r>
              <w:rPr>
                <w:rFonts w:cs="Arial"/>
                <w:sz w:val="22"/>
              </w:rPr>
              <w:t xml:space="preserve"> </w:t>
            </w:r>
            <w:r w:rsidRPr="00454850">
              <w:rPr>
                <w:rFonts w:cs="Arial"/>
                <w:sz w:val="22"/>
              </w:rPr>
              <w:t>tecnologie;</w:t>
            </w:r>
          </w:p>
          <w:p w:rsidR="00612B88" w:rsidRPr="00454850" w:rsidRDefault="00562BC2" w:rsidP="00D62279">
            <w:pPr>
              <w:tabs>
                <w:tab w:val="left" w:pos="355"/>
              </w:tabs>
              <w:spacing w:before="60"/>
              <w:rPr>
                <w:rFonts w:cs="Arial"/>
                <w:sz w:val="22"/>
              </w:rPr>
            </w:pPr>
            <w:r>
              <w:rPr>
                <w:rFonts w:cs="Arial"/>
                <w:sz w:val="22"/>
              </w:rPr>
              <w:t>e)</w:t>
            </w:r>
            <w:r w:rsidR="00612B88" w:rsidRPr="00454850">
              <w:rPr>
                <w:rFonts w:cs="Arial"/>
                <w:sz w:val="22"/>
              </w:rPr>
              <w:tab/>
              <w:t>impiego stazionario e ambulatoriale;</w:t>
            </w:r>
          </w:p>
          <w:p w:rsidR="00612B88" w:rsidRPr="00454850" w:rsidRDefault="00562BC2" w:rsidP="00D62279">
            <w:pPr>
              <w:tabs>
                <w:tab w:val="left" w:pos="355"/>
              </w:tabs>
              <w:spacing w:before="60"/>
              <w:rPr>
                <w:rFonts w:cs="Arial"/>
                <w:sz w:val="22"/>
              </w:rPr>
            </w:pPr>
            <w:r>
              <w:rPr>
                <w:rFonts w:cs="Arial"/>
                <w:sz w:val="22"/>
              </w:rPr>
              <w:t>f)</w:t>
            </w:r>
            <w:r w:rsidR="00612B88" w:rsidRPr="00454850">
              <w:rPr>
                <w:rFonts w:cs="Arial"/>
                <w:sz w:val="22"/>
              </w:rPr>
              <w:tab/>
              <w:t>innovazione tecnologica e qualità diagnostica e/o terapeutica;</w:t>
            </w:r>
          </w:p>
          <w:p w:rsidR="00612B88" w:rsidRPr="00454850" w:rsidRDefault="00562BC2" w:rsidP="00D62279">
            <w:pPr>
              <w:tabs>
                <w:tab w:val="left" w:pos="355"/>
              </w:tabs>
              <w:spacing w:before="60"/>
              <w:rPr>
                <w:rFonts w:cs="Arial"/>
                <w:sz w:val="22"/>
              </w:rPr>
            </w:pPr>
            <w:r>
              <w:rPr>
                <w:rFonts w:cs="Arial"/>
                <w:sz w:val="22"/>
              </w:rPr>
              <w:t>g)</w:t>
            </w:r>
            <w:r w:rsidR="00612B88" w:rsidRPr="00454850">
              <w:rPr>
                <w:rFonts w:cs="Arial"/>
                <w:sz w:val="22"/>
              </w:rPr>
              <w:tab/>
              <w:t>densità (secondo standard nazionali ed internazionali);</w:t>
            </w:r>
          </w:p>
          <w:p w:rsidR="00612B88" w:rsidRPr="00454850" w:rsidRDefault="00562BC2" w:rsidP="00D62279">
            <w:pPr>
              <w:tabs>
                <w:tab w:val="left" w:pos="355"/>
              </w:tabs>
              <w:spacing w:before="60"/>
              <w:rPr>
                <w:rFonts w:cs="Arial"/>
                <w:sz w:val="22"/>
              </w:rPr>
            </w:pPr>
            <w:r>
              <w:rPr>
                <w:rFonts w:cs="Arial"/>
                <w:sz w:val="22"/>
              </w:rPr>
              <w:t>h)</w:t>
            </w:r>
            <w:r w:rsidR="00612B88" w:rsidRPr="00454850">
              <w:rPr>
                <w:rFonts w:cs="Arial"/>
                <w:sz w:val="22"/>
              </w:rPr>
              <w:tab/>
              <w:t>evoluzione delle prestazioni offerte dalla tecnologia (trend);</w:t>
            </w:r>
          </w:p>
          <w:p w:rsidR="00612B88" w:rsidRPr="00454850" w:rsidRDefault="00562BC2" w:rsidP="00D62279">
            <w:pPr>
              <w:tabs>
                <w:tab w:val="left" w:pos="355"/>
              </w:tabs>
              <w:spacing w:before="60"/>
              <w:rPr>
                <w:rFonts w:cs="Arial"/>
                <w:sz w:val="22"/>
              </w:rPr>
            </w:pPr>
            <w:r>
              <w:rPr>
                <w:rFonts w:cs="Arial"/>
                <w:sz w:val="22"/>
              </w:rPr>
              <w:t>i)</w:t>
            </w:r>
            <w:r w:rsidR="00612B88" w:rsidRPr="00454850">
              <w:rPr>
                <w:rFonts w:cs="Arial"/>
                <w:sz w:val="22"/>
              </w:rPr>
              <w:tab/>
              <w:t>grado di utilizzazione e tempi di attesa per l’utenza;</w:t>
            </w:r>
          </w:p>
          <w:p w:rsidR="00612B88" w:rsidRPr="00454850" w:rsidRDefault="00562BC2" w:rsidP="00D62279">
            <w:pPr>
              <w:tabs>
                <w:tab w:val="left" w:pos="355"/>
              </w:tabs>
              <w:spacing w:before="60"/>
              <w:rPr>
                <w:rFonts w:cs="Arial"/>
                <w:sz w:val="22"/>
              </w:rPr>
            </w:pPr>
            <w:r>
              <w:rPr>
                <w:rFonts w:cs="Arial"/>
                <w:sz w:val="22"/>
              </w:rPr>
              <w:t>j)</w:t>
            </w:r>
            <w:r w:rsidR="00612B88" w:rsidRPr="00454850">
              <w:rPr>
                <w:rFonts w:cs="Arial"/>
                <w:sz w:val="22"/>
              </w:rPr>
              <w:tab/>
              <w:t>massa critica;</w:t>
            </w:r>
          </w:p>
          <w:p w:rsidR="00612B88" w:rsidRPr="00454850" w:rsidRDefault="00562BC2" w:rsidP="00D62279">
            <w:pPr>
              <w:tabs>
                <w:tab w:val="left" w:pos="355"/>
              </w:tabs>
              <w:spacing w:before="60"/>
              <w:rPr>
                <w:rFonts w:cs="Arial"/>
                <w:sz w:val="22"/>
              </w:rPr>
            </w:pPr>
            <w:r>
              <w:rPr>
                <w:rFonts w:cs="Arial"/>
                <w:sz w:val="22"/>
              </w:rPr>
              <w:t>k)</w:t>
            </w:r>
            <w:r w:rsidR="00612B88" w:rsidRPr="00454850">
              <w:rPr>
                <w:rFonts w:cs="Arial"/>
                <w:sz w:val="22"/>
              </w:rPr>
              <w:tab/>
              <w:t>competenze professionali (mediche, tecniche, ecc.);</w:t>
            </w:r>
          </w:p>
          <w:p w:rsidR="00612B88" w:rsidRPr="00454850" w:rsidRDefault="00562BC2" w:rsidP="00D62279">
            <w:pPr>
              <w:tabs>
                <w:tab w:val="left" w:pos="355"/>
              </w:tabs>
              <w:spacing w:before="60"/>
              <w:ind w:left="355" w:hanging="355"/>
              <w:rPr>
                <w:rFonts w:cs="Arial"/>
                <w:sz w:val="22"/>
              </w:rPr>
            </w:pPr>
            <w:r>
              <w:rPr>
                <w:rFonts w:cs="Arial"/>
                <w:sz w:val="22"/>
              </w:rPr>
              <w:t>l)</w:t>
            </w:r>
            <w:r w:rsidR="00612B88" w:rsidRPr="00454850">
              <w:rPr>
                <w:rFonts w:cs="Arial"/>
                <w:sz w:val="22"/>
              </w:rPr>
              <w:tab/>
              <w:t>possibilità e disponibilità a collaborazioni in rete (in senso</w:t>
            </w:r>
            <w:r w:rsidR="00612B88">
              <w:rPr>
                <w:rFonts w:cs="Arial"/>
                <w:sz w:val="22"/>
              </w:rPr>
              <w:t xml:space="preserve"> </w:t>
            </w:r>
            <w:r w:rsidR="00612B88" w:rsidRPr="00454850">
              <w:rPr>
                <w:rFonts w:cs="Arial"/>
                <w:sz w:val="22"/>
              </w:rPr>
              <w:t>tecnologico e istituzionale);</w:t>
            </w:r>
          </w:p>
          <w:p w:rsidR="00612B88" w:rsidRPr="00454850" w:rsidRDefault="00612B88" w:rsidP="00D62279">
            <w:pPr>
              <w:tabs>
                <w:tab w:val="left" w:pos="355"/>
              </w:tabs>
              <w:spacing w:before="60"/>
              <w:rPr>
                <w:rFonts w:cs="Arial"/>
                <w:sz w:val="22"/>
              </w:rPr>
            </w:pPr>
            <w:r>
              <w:rPr>
                <w:rFonts w:cs="Arial"/>
                <w:sz w:val="22"/>
              </w:rPr>
              <w:t>m)</w:t>
            </w:r>
            <w:r w:rsidRPr="00454850">
              <w:rPr>
                <w:rFonts w:cs="Arial"/>
                <w:sz w:val="22"/>
              </w:rPr>
              <w:tab/>
              <w:t>riconoscimento tariffale (</w:t>
            </w:r>
            <w:proofErr w:type="spellStart"/>
            <w:r w:rsidRPr="00454850">
              <w:rPr>
                <w:rFonts w:cs="Arial"/>
                <w:sz w:val="22"/>
              </w:rPr>
              <w:t>Tarmed</w:t>
            </w:r>
            <w:proofErr w:type="spellEnd"/>
            <w:r w:rsidRPr="00454850">
              <w:rPr>
                <w:rFonts w:cs="Arial"/>
                <w:sz w:val="22"/>
              </w:rPr>
              <w:t>);</w:t>
            </w:r>
          </w:p>
          <w:p w:rsidR="00612B88" w:rsidRPr="00454850" w:rsidRDefault="00612B88" w:rsidP="00D62279">
            <w:pPr>
              <w:tabs>
                <w:tab w:val="left" w:pos="355"/>
              </w:tabs>
              <w:spacing w:before="60"/>
              <w:ind w:left="355" w:hanging="355"/>
              <w:rPr>
                <w:rFonts w:cs="Arial"/>
                <w:sz w:val="22"/>
              </w:rPr>
            </w:pPr>
            <w:r w:rsidRPr="00454850">
              <w:rPr>
                <w:rFonts w:cs="Arial"/>
                <w:sz w:val="22"/>
              </w:rPr>
              <w:t>n)</w:t>
            </w:r>
            <w:r w:rsidRPr="00454850">
              <w:rPr>
                <w:rFonts w:cs="Arial"/>
                <w:sz w:val="22"/>
              </w:rPr>
              <w:tab/>
              <w:t>giustificazione della richiesta in base a letteratura e a altra</w:t>
            </w:r>
            <w:r>
              <w:rPr>
                <w:rFonts w:cs="Arial"/>
                <w:sz w:val="22"/>
              </w:rPr>
              <w:t xml:space="preserve"> </w:t>
            </w:r>
            <w:r w:rsidRPr="00454850">
              <w:rPr>
                <w:rFonts w:cs="Arial"/>
                <w:sz w:val="22"/>
              </w:rPr>
              <w:t>documentazione.</w:t>
            </w:r>
          </w:p>
          <w:p w:rsidR="00612B88" w:rsidRPr="00454850" w:rsidRDefault="00612B88" w:rsidP="00D62279">
            <w:pPr>
              <w:tabs>
                <w:tab w:val="left" w:pos="355"/>
              </w:tabs>
              <w:rPr>
                <w:rFonts w:cs="Arial"/>
                <w:sz w:val="22"/>
              </w:rPr>
            </w:pPr>
          </w:p>
          <w:p w:rsidR="00612B88" w:rsidRPr="00454850" w:rsidRDefault="00612B88" w:rsidP="00D62279">
            <w:pPr>
              <w:rPr>
                <w:rFonts w:cs="Arial"/>
                <w:sz w:val="22"/>
              </w:rPr>
            </w:pPr>
            <w:r w:rsidRPr="00454850">
              <w:rPr>
                <w:rFonts w:cs="Arial"/>
                <w:sz w:val="22"/>
                <w:vertAlign w:val="superscript"/>
              </w:rPr>
              <w:t>2</w:t>
            </w:r>
            <w:r w:rsidRPr="00454850">
              <w:rPr>
                <w:rFonts w:cs="Arial"/>
                <w:sz w:val="22"/>
              </w:rPr>
              <w:t xml:space="preserve">Gli istanti trasmettono al Dipartimento generalità e qualifiche professionali del personale sanitario preposto all’utilizzo dell’apparecchiatura. In caso di mutamenti provvedono ad aggiornare le informazioni. </w:t>
            </w:r>
          </w:p>
          <w:p w:rsidR="00612B88" w:rsidRPr="00AF5D6F" w:rsidRDefault="00612B88" w:rsidP="00D62279">
            <w:pPr>
              <w:rPr>
                <w:rFonts w:cs="Arial"/>
                <w:sz w:val="22"/>
              </w:rPr>
            </w:pPr>
          </w:p>
          <w:p w:rsidR="00612B88" w:rsidRPr="00454850" w:rsidRDefault="00612B88" w:rsidP="00D62279">
            <w:pPr>
              <w:tabs>
                <w:tab w:val="left" w:pos="426"/>
              </w:tabs>
              <w:rPr>
                <w:rFonts w:cs="Arial"/>
                <w:sz w:val="22"/>
              </w:rPr>
            </w:pPr>
          </w:p>
        </w:tc>
      </w:tr>
      <w:tr w:rsidR="00612B88" w:rsidRPr="00B917F2" w:rsidTr="00D62279">
        <w:tc>
          <w:tcPr>
            <w:tcW w:w="2339" w:type="dxa"/>
          </w:tcPr>
          <w:p w:rsidR="00612B88" w:rsidRPr="00562BC2" w:rsidRDefault="00612B88" w:rsidP="00D62279">
            <w:pPr>
              <w:jc w:val="left"/>
              <w:rPr>
                <w:sz w:val="20"/>
              </w:rPr>
            </w:pPr>
          </w:p>
          <w:p w:rsidR="00612B88" w:rsidRPr="00562BC2" w:rsidRDefault="00612B88" w:rsidP="00D62279">
            <w:pPr>
              <w:jc w:val="left"/>
              <w:rPr>
                <w:sz w:val="20"/>
              </w:rPr>
            </w:pPr>
          </w:p>
          <w:p w:rsidR="00612B88" w:rsidRPr="00454850" w:rsidRDefault="00612B88" w:rsidP="00D62279">
            <w:pPr>
              <w:jc w:val="left"/>
              <w:rPr>
                <w:sz w:val="20"/>
              </w:rPr>
            </w:pPr>
            <w:r w:rsidRPr="00454850">
              <w:rPr>
                <w:b/>
                <w:sz w:val="20"/>
              </w:rPr>
              <w:t>Durata dell’autorizzazione</w:t>
            </w:r>
          </w:p>
        </w:tc>
        <w:tc>
          <w:tcPr>
            <w:tcW w:w="7370" w:type="dxa"/>
          </w:tcPr>
          <w:p w:rsidR="00612B88" w:rsidRPr="00454850" w:rsidRDefault="00612B88" w:rsidP="00D62279">
            <w:pPr>
              <w:tabs>
                <w:tab w:val="left" w:pos="426"/>
                <w:tab w:val="right" w:pos="7230"/>
              </w:tabs>
              <w:rPr>
                <w:rFonts w:cs="Arial"/>
                <w:b/>
                <w:bCs/>
                <w:sz w:val="22"/>
              </w:rPr>
            </w:pPr>
            <w:r w:rsidRPr="00454850">
              <w:rPr>
                <w:rFonts w:cs="Arial"/>
                <w:b/>
                <w:bCs/>
                <w:sz w:val="22"/>
              </w:rPr>
              <w:t>Art. 5</w:t>
            </w:r>
          </w:p>
          <w:p w:rsidR="00612B88" w:rsidRPr="00454850" w:rsidRDefault="00612B88" w:rsidP="00D62279">
            <w:pPr>
              <w:tabs>
                <w:tab w:val="left" w:pos="426"/>
                <w:tab w:val="right" w:pos="7230"/>
              </w:tabs>
              <w:rPr>
                <w:rFonts w:cs="Arial"/>
                <w:bCs/>
                <w:sz w:val="22"/>
              </w:rPr>
            </w:pPr>
          </w:p>
          <w:p w:rsidR="00612B88" w:rsidRPr="00454850" w:rsidRDefault="00612B88" w:rsidP="00D62279">
            <w:pPr>
              <w:rPr>
                <w:rFonts w:cs="Arial"/>
                <w:sz w:val="22"/>
              </w:rPr>
            </w:pPr>
            <w:r w:rsidRPr="00454850">
              <w:rPr>
                <w:rFonts w:cs="Arial"/>
                <w:sz w:val="22"/>
                <w:vertAlign w:val="superscript"/>
              </w:rPr>
              <w:t>1</w:t>
            </w:r>
            <w:r w:rsidRPr="00454850">
              <w:rPr>
                <w:rFonts w:cs="Arial"/>
                <w:sz w:val="22"/>
              </w:rPr>
              <w:t xml:space="preserve">L’autorizzazione decade se la messa in esercizio dell’attrezzatura non avviene entro un anno dalla crescita in giudicato. </w:t>
            </w:r>
          </w:p>
          <w:p w:rsidR="00612B88" w:rsidRPr="00454850" w:rsidRDefault="00612B88" w:rsidP="00D62279">
            <w:pPr>
              <w:rPr>
                <w:rFonts w:cs="Arial"/>
                <w:sz w:val="22"/>
              </w:rPr>
            </w:pPr>
          </w:p>
          <w:p w:rsidR="00612B88" w:rsidRPr="00454850" w:rsidRDefault="00612B88" w:rsidP="00D62279">
            <w:pPr>
              <w:rPr>
                <w:rFonts w:cs="Arial"/>
                <w:sz w:val="22"/>
              </w:rPr>
            </w:pPr>
            <w:r w:rsidRPr="00454850">
              <w:rPr>
                <w:rFonts w:cs="Arial"/>
                <w:sz w:val="22"/>
                <w:vertAlign w:val="superscript"/>
              </w:rPr>
              <w:t>2</w:t>
            </w:r>
            <w:r w:rsidRPr="00454850">
              <w:rPr>
                <w:rFonts w:cs="Arial"/>
                <w:sz w:val="22"/>
              </w:rPr>
              <w:t xml:space="preserve">È riservata la possibilità per il Consiglio di Stato di concedere proroghe di analoga durata in casi giustificati. </w:t>
            </w:r>
          </w:p>
          <w:p w:rsidR="00612B88" w:rsidRPr="00454850" w:rsidRDefault="00612B88" w:rsidP="00D62279">
            <w:pPr>
              <w:rPr>
                <w:rFonts w:cs="Arial"/>
                <w:sz w:val="22"/>
              </w:rPr>
            </w:pPr>
          </w:p>
          <w:p w:rsidR="00612B88" w:rsidRPr="00454850" w:rsidRDefault="00612B88" w:rsidP="00D62279">
            <w:pPr>
              <w:rPr>
                <w:rFonts w:cs="Arial"/>
                <w:sz w:val="22"/>
              </w:rPr>
            </w:pPr>
            <w:r w:rsidRPr="00454850">
              <w:rPr>
                <w:rFonts w:cs="Arial"/>
                <w:sz w:val="22"/>
                <w:vertAlign w:val="superscript"/>
              </w:rPr>
              <w:t>3</w:t>
            </w:r>
            <w:r w:rsidRPr="00454850">
              <w:rPr>
                <w:rFonts w:cs="Arial"/>
                <w:sz w:val="22"/>
              </w:rPr>
              <w:t>L’autorizzazione può essere limitata nel tempo dopo la messa in esercizio, in funzione della prevedibile durata di adeguatezza tecnologica dell’attrezzatura.</w:t>
            </w:r>
          </w:p>
          <w:p w:rsidR="00612B88" w:rsidRPr="00454850" w:rsidRDefault="00612B88" w:rsidP="00D62279">
            <w:pPr>
              <w:rPr>
                <w:rFonts w:cs="Arial"/>
                <w:sz w:val="22"/>
              </w:rPr>
            </w:pPr>
          </w:p>
          <w:p w:rsidR="00612B88" w:rsidRPr="00454850" w:rsidRDefault="00612B88" w:rsidP="00D62279">
            <w:pPr>
              <w:rPr>
                <w:rFonts w:cs="Arial"/>
                <w:sz w:val="22"/>
              </w:rPr>
            </w:pPr>
            <w:r w:rsidRPr="00454850">
              <w:rPr>
                <w:rFonts w:cs="Arial"/>
                <w:sz w:val="22"/>
                <w:vertAlign w:val="superscript"/>
              </w:rPr>
              <w:t>4</w:t>
            </w:r>
            <w:r w:rsidRPr="00454850">
              <w:rPr>
                <w:rFonts w:cs="Arial"/>
                <w:sz w:val="22"/>
              </w:rPr>
              <w:t>Il beneficiario dell’autorizzazione è tenuto ad informare sulla data dell’entrata in funzione dell’attrezzatura.</w:t>
            </w:r>
          </w:p>
          <w:p w:rsidR="00612B88" w:rsidRDefault="00612B88" w:rsidP="00D62279">
            <w:pPr>
              <w:rPr>
                <w:rFonts w:cs="Arial"/>
                <w:sz w:val="22"/>
              </w:rPr>
            </w:pPr>
          </w:p>
          <w:p w:rsidR="009D7ADE" w:rsidRDefault="009D7ADE" w:rsidP="00D62279">
            <w:pPr>
              <w:rPr>
                <w:rFonts w:cs="Arial"/>
                <w:sz w:val="22"/>
              </w:rPr>
            </w:pPr>
          </w:p>
          <w:p w:rsidR="009D7ADE" w:rsidRDefault="009D7ADE" w:rsidP="00D62279">
            <w:pPr>
              <w:rPr>
                <w:rFonts w:cs="Arial"/>
                <w:sz w:val="22"/>
              </w:rPr>
            </w:pPr>
          </w:p>
          <w:p w:rsidR="009D7ADE" w:rsidRDefault="009D7ADE" w:rsidP="00D62279">
            <w:pPr>
              <w:rPr>
                <w:rFonts w:cs="Arial"/>
                <w:sz w:val="22"/>
              </w:rPr>
            </w:pPr>
          </w:p>
          <w:p w:rsidR="009D7ADE" w:rsidRPr="00454850" w:rsidRDefault="009D7ADE" w:rsidP="00D62279">
            <w:pPr>
              <w:rPr>
                <w:rFonts w:cs="Arial"/>
                <w:sz w:val="22"/>
              </w:rPr>
            </w:pPr>
          </w:p>
          <w:p w:rsidR="00612B88" w:rsidRPr="00454850" w:rsidRDefault="00612B88" w:rsidP="00D62279">
            <w:pPr>
              <w:tabs>
                <w:tab w:val="left" w:pos="426"/>
              </w:tabs>
              <w:rPr>
                <w:rFonts w:cs="Arial"/>
                <w:sz w:val="22"/>
              </w:rPr>
            </w:pPr>
          </w:p>
        </w:tc>
      </w:tr>
      <w:tr w:rsidR="00612B88" w:rsidRPr="00047633" w:rsidTr="00D62279">
        <w:tc>
          <w:tcPr>
            <w:tcW w:w="2339" w:type="dxa"/>
          </w:tcPr>
          <w:p w:rsidR="00612B88" w:rsidRPr="00562BC2" w:rsidRDefault="00612B88" w:rsidP="00D62279">
            <w:pPr>
              <w:jc w:val="left"/>
              <w:rPr>
                <w:sz w:val="20"/>
              </w:rPr>
            </w:pPr>
          </w:p>
          <w:p w:rsidR="00612B88" w:rsidRPr="00562BC2" w:rsidRDefault="00612B88" w:rsidP="00D62279">
            <w:pPr>
              <w:jc w:val="left"/>
              <w:rPr>
                <w:sz w:val="20"/>
              </w:rPr>
            </w:pPr>
          </w:p>
          <w:p w:rsidR="00612B88" w:rsidRPr="00454850" w:rsidRDefault="00612B88" w:rsidP="00D62279">
            <w:pPr>
              <w:jc w:val="left"/>
              <w:rPr>
                <w:b/>
                <w:sz w:val="20"/>
              </w:rPr>
            </w:pPr>
            <w:r w:rsidRPr="00454850">
              <w:rPr>
                <w:b/>
                <w:sz w:val="20"/>
              </w:rPr>
              <w:t>Commissione consultiva</w:t>
            </w:r>
          </w:p>
          <w:p w:rsidR="00612B88" w:rsidRPr="00454850" w:rsidRDefault="00612B88" w:rsidP="00D62279">
            <w:pPr>
              <w:jc w:val="left"/>
              <w:rPr>
                <w:b/>
                <w:sz w:val="20"/>
              </w:rPr>
            </w:pPr>
            <w:r w:rsidRPr="00454850">
              <w:rPr>
                <w:b/>
                <w:sz w:val="20"/>
              </w:rPr>
              <w:t>a) Composizione e deliberazioni</w:t>
            </w:r>
          </w:p>
          <w:p w:rsidR="00612B88" w:rsidRPr="00454850" w:rsidRDefault="00612B88" w:rsidP="00D62279">
            <w:pPr>
              <w:jc w:val="left"/>
              <w:rPr>
                <w:b/>
                <w:sz w:val="20"/>
              </w:rPr>
            </w:pPr>
          </w:p>
        </w:tc>
        <w:tc>
          <w:tcPr>
            <w:tcW w:w="7370" w:type="dxa"/>
          </w:tcPr>
          <w:p w:rsidR="00612B88" w:rsidRPr="00454850" w:rsidRDefault="00612B88" w:rsidP="00D62279">
            <w:pPr>
              <w:tabs>
                <w:tab w:val="left" w:pos="426"/>
              </w:tabs>
              <w:rPr>
                <w:rFonts w:cs="Arial"/>
                <w:b/>
                <w:bCs/>
                <w:sz w:val="22"/>
              </w:rPr>
            </w:pPr>
            <w:r w:rsidRPr="00454850">
              <w:rPr>
                <w:rFonts w:cs="Arial"/>
                <w:b/>
                <w:bCs/>
                <w:sz w:val="22"/>
              </w:rPr>
              <w:t>Art. 6</w:t>
            </w:r>
          </w:p>
          <w:p w:rsidR="00612B88" w:rsidRPr="009D7ADE" w:rsidRDefault="00612B88" w:rsidP="00D62279">
            <w:pPr>
              <w:tabs>
                <w:tab w:val="left" w:pos="426"/>
              </w:tabs>
              <w:rPr>
                <w:rFonts w:cs="Arial"/>
                <w:bCs/>
                <w:sz w:val="18"/>
                <w:szCs w:val="18"/>
              </w:rPr>
            </w:pPr>
          </w:p>
          <w:p w:rsidR="00612B88" w:rsidRPr="00454850" w:rsidRDefault="00612B88" w:rsidP="00D62279">
            <w:pPr>
              <w:rPr>
                <w:rFonts w:cs="Arial"/>
                <w:sz w:val="22"/>
              </w:rPr>
            </w:pPr>
            <w:r w:rsidRPr="00454850">
              <w:rPr>
                <w:rFonts w:cs="Arial"/>
                <w:sz w:val="22"/>
                <w:vertAlign w:val="superscript"/>
              </w:rPr>
              <w:t>1</w:t>
            </w:r>
            <w:r w:rsidRPr="00454850">
              <w:rPr>
                <w:rFonts w:cs="Arial"/>
                <w:sz w:val="22"/>
              </w:rPr>
              <w:t>Il Consiglio di Stato nomina una Commissione chiamata a dare il suo preavviso su ogni domanda d’autorizzazione.</w:t>
            </w:r>
          </w:p>
          <w:p w:rsidR="00612B88" w:rsidRPr="00454850" w:rsidRDefault="00612B88" w:rsidP="00D62279">
            <w:pPr>
              <w:rPr>
                <w:rFonts w:cs="Arial"/>
                <w:sz w:val="22"/>
              </w:rPr>
            </w:pPr>
          </w:p>
          <w:p w:rsidR="00612B88" w:rsidRPr="00454850" w:rsidRDefault="00612B88" w:rsidP="00D62279">
            <w:pPr>
              <w:rPr>
                <w:rFonts w:cs="Arial"/>
                <w:sz w:val="22"/>
              </w:rPr>
            </w:pPr>
            <w:r w:rsidRPr="00454850">
              <w:rPr>
                <w:rFonts w:cs="Arial"/>
                <w:sz w:val="22"/>
                <w:vertAlign w:val="superscript"/>
              </w:rPr>
              <w:t>2</w:t>
            </w:r>
            <w:r w:rsidRPr="00454850">
              <w:rPr>
                <w:rFonts w:cs="Arial"/>
                <w:sz w:val="22"/>
              </w:rPr>
              <w:t>La Commissione è composta di un presidente, un vice-presidente e di cinque altri membri, nominati per un periodo di quattro anni:</w:t>
            </w:r>
          </w:p>
          <w:p w:rsidR="00612B88" w:rsidRPr="00454850" w:rsidRDefault="00612B88" w:rsidP="00D62279">
            <w:pPr>
              <w:tabs>
                <w:tab w:val="left" w:pos="355"/>
              </w:tabs>
              <w:spacing w:before="60"/>
              <w:rPr>
                <w:rFonts w:cs="Arial"/>
                <w:sz w:val="22"/>
              </w:rPr>
            </w:pPr>
            <w:r>
              <w:rPr>
                <w:rFonts w:cs="Arial"/>
                <w:sz w:val="22"/>
              </w:rPr>
              <w:t>a)</w:t>
            </w:r>
            <w:r w:rsidRPr="00454850">
              <w:rPr>
                <w:rFonts w:cs="Arial"/>
                <w:sz w:val="22"/>
              </w:rPr>
              <w:tab/>
              <w:t>un rappresentante designato dal Consiglio di Stato;</w:t>
            </w:r>
          </w:p>
          <w:p w:rsidR="00612B88" w:rsidRPr="00454850" w:rsidRDefault="00612B88" w:rsidP="00D62279">
            <w:pPr>
              <w:tabs>
                <w:tab w:val="left" w:pos="355"/>
              </w:tabs>
              <w:spacing w:before="60"/>
              <w:rPr>
                <w:rFonts w:cs="Arial"/>
                <w:sz w:val="22"/>
              </w:rPr>
            </w:pPr>
            <w:r w:rsidRPr="00454850">
              <w:rPr>
                <w:rFonts w:cs="Arial"/>
                <w:sz w:val="22"/>
              </w:rPr>
              <w:t>b)</w:t>
            </w:r>
            <w:r w:rsidRPr="00454850">
              <w:rPr>
                <w:rFonts w:cs="Arial"/>
                <w:sz w:val="22"/>
              </w:rPr>
              <w:tab/>
              <w:t>un rappresentante dell’ufficio del medico cantonale;</w:t>
            </w:r>
          </w:p>
          <w:p w:rsidR="00612B88" w:rsidRPr="00454850" w:rsidRDefault="00562BC2" w:rsidP="00D62279">
            <w:pPr>
              <w:tabs>
                <w:tab w:val="left" w:pos="355"/>
              </w:tabs>
              <w:spacing w:before="60"/>
              <w:rPr>
                <w:rFonts w:cs="Arial"/>
                <w:sz w:val="22"/>
              </w:rPr>
            </w:pPr>
            <w:r>
              <w:rPr>
                <w:rFonts w:cs="Arial"/>
                <w:sz w:val="22"/>
              </w:rPr>
              <w:t>c)</w:t>
            </w:r>
            <w:r w:rsidR="00612B88" w:rsidRPr="00454850">
              <w:rPr>
                <w:rFonts w:cs="Arial"/>
                <w:sz w:val="22"/>
              </w:rPr>
              <w:tab/>
              <w:t>un rappresentante del settore ospedaliero pubblico;</w:t>
            </w:r>
          </w:p>
          <w:p w:rsidR="00612B88" w:rsidRPr="00454850" w:rsidRDefault="00612B88" w:rsidP="00D62279">
            <w:pPr>
              <w:tabs>
                <w:tab w:val="left" w:pos="355"/>
              </w:tabs>
              <w:spacing w:before="60"/>
              <w:rPr>
                <w:rFonts w:cs="Arial"/>
                <w:sz w:val="22"/>
              </w:rPr>
            </w:pPr>
            <w:r w:rsidRPr="00454850">
              <w:rPr>
                <w:rFonts w:cs="Arial"/>
                <w:sz w:val="22"/>
              </w:rPr>
              <w:t>d)</w:t>
            </w:r>
            <w:r w:rsidRPr="00454850">
              <w:rPr>
                <w:rFonts w:cs="Arial"/>
                <w:sz w:val="22"/>
              </w:rPr>
              <w:tab/>
              <w:t>un rappresentante del settore ospedaliero privato;</w:t>
            </w:r>
          </w:p>
          <w:p w:rsidR="00612B88" w:rsidRPr="00454850" w:rsidRDefault="00562BC2" w:rsidP="00D62279">
            <w:pPr>
              <w:tabs>
                <w:tab w:val="left" w:pos="355"/>
              </w:tabs>
              <w:spacing w:before="60"/>
              <w:rPr>
                <w:rFonts w:cs="Arial"/>
                <w:sz w:val="22"/>
              </w:rPr>
            </w:pPr>
            <w:r>
              <w:rPr>
                <w:rFonts w:cs="Arial"/>
                <w:sz w:val="22"/>
              </w:rPr>
              <w:t>e)</w:t>
            </w:r>
            <w:r w:rsidR="00612B88" w:rsidRPr="00454850">
              <w:rPr>
                <w:rFonts w:cs="Arial"/>
                <w:sz w:val="22"/>
              </w:rPr>
              <w:tab/>
              <w:t>un medico attivo nel settore pubblico;</w:t>
            </w:r>
          </w:p>
          <w:p w:rsidR="00612B88" w:rsidRPr="00454850" w:rsidRDefault="00562BC2" w:rsidP="00D62279">
            <w:pPr>
              <w:tabs>
                <w:tab w:val="left" w:pos="355"/>
              </w:tabs>
              <w:spacing w:before="60"/>
              <w:rPr>
                <w:rFonts w:cs="Arial"/>
                <w:sz w:val="22"/>
              </w:rPr>
            </w:pPr>
            <w:r>
              <w:rPr>
                <w:rFonts w:cs="Arial"/>
                <w:sz w:val="22"/>
              </w:rPr>
              <w:t>f)</w:t>
            </w:r>
            <w:r w:rsidR="00612B88" w:rsidRPr="00454850">
              <w:rPr>
                <w:rFonts w:cs="Arial"/>
                <w:sz w:val="22"/>
              </w:rPr>
              <w:tab/>
              <w:t>un medico attivo nel settore privato;</w:t>
            </w:r>
          </w:p>
          <w:p w:rsidR="00612B88" w:rsidRPr="00454850" w:rsidRDefault="00612B88" w:rsidP="00D62279">
            <w:pPr>
              <w:tabs>
                <w:tab w:val="left" w:pos="355"/>
              </w:tabs>
              <w:spacing w:before="60"/>
              <w:rPr>
                <w:rFonts w:cs="Arial"/>
                <w:sz w:val="22"/>
              </w:rPr>
            </w:pPr>
            <w:r>
              <w:rPr>
                <w:rFonts w:cs="Arial"/>
                <w:sz w:val="22"/>
              </w:rPr>
              <w:t>g)</w:t>
            </w:r>
            <w:r w:rsidRPr="00454850">
              <w:rPr>
                <w:rFonts w:cs="Arial"/>
                <w:sz w:val="22"/>
              </w:rPr>
              <w:tab/>
              <w:t>un rappresentante degli assicuratori malattia.</w:t>
            </w:r>
          </w:p>
          <w:p w:rsidR="00612B88" w:rsidRPr="00454850" w:rsidRDefault="00612B88" w:rsidP="00D62279">
            <w:pPr>
              <w:tabs>
                <w:tab w:val="left" w:pos="283"/>
                <w:tab w:val="left" w:pos="355"/>
              </w:tabs>
              <w:rPr>
                <w:rFonts w:cs="Arial"/>
                <w:sz w:val="22"/>
              </w:rPr>
            </w:pPr>
          </w:p>
          <w:p w:rsidR="00612B88" w:rsidRPr="00454850" w:rsidRDefault="00612B88" w:rsidP="00D62279">
            <w:pPr>
              <w:rPr>
                <w:rFonts w:cs="Arial"/>
                <w:sz w:val="22"/>
              </w:rPr>
            </w:pPr>
            <w:r w:rsidRPr="00454850">
              <w:rPr>
                <w:rFonts w:cs="Arial"/>
                <w:sz w:val="22"/>
                <w:vertAlign w:val="superscript"/>
              </w:rPr>
              <w:t>3</w:t>
            </w:r>
            <w:r w:rsidRPr="00454850">
              <w:rPr>
                <w:rFonts w:cs="Arial"/>
                <w:sz w:val="22"/>
              </w:rPr>
              <w:t>La Commissione può far capo al parere di consulenti esterni.</w:t>
            </w:r>
          </w:p>
          <w:p w:rsidR="00612B88" w:rsidRPr="00454850" w:rsidRDefault="00612B88" w:rsidP="00D62279">
            <w:pPr>
              <w:rPr>
                <w:rFonts w:cs="Arial"/>
                <w:sz w:val="22"/>
              </w:rPr>
            </w:pPr>
          </w:p>
          <w:p w:rsidR="00612B88" w:rsidRPr="00454850" w:rsidRDefault="00612B88" w:rsidP="00D62279">
            <w:pPr>
              <w:rPr>
                <w:rFonts w:cs="Arial"/>
                <w:sz w:val="22"/>
              </w:rPr>
            </w:pPr>
            <w:r w:rsidRPr="00454850">
              <w:rPr>
                <w:rFonts w:cs="Arial"/>
                <w:sz w:val="22"/>
                <w:vertAlign w:val="superscript"/>
              </w:rPr>
              <w:t>4</w:t>
            </w:r>
            <w:r w:rsidRPr="00454850">
              <w:rPr>
                <w:rFonts w:cs="Arial"/>
                <w:sz w:val="22"/>
              </w:rPr>
              <w:t>Le deliberazioni della Commissione sono valide se sono presenti almeno quattro membri.</w:t>
            </w:r>
          </w:p>
          <w:p w:rsidR="00612B88" w:rsidRPr="00454850" w:rsidRDefault="00612B88" w:rsidP="00D62279">
            <w:pPr>
              <w:rPr>
                <w:rFonts w:cs="Arial"/>
                <w:sz w:val="22"/>
              </w:rPr>
            </w:pPr>
          </w:p>
          <w:p w:rsidR="00612B88" w:rsidRPr="00454850" w:rsidRDefault="00612B88" w:rsidP="00D62279">
            <w:pPr>
              <w:rPr>
                <w:rFonts w:cs="Arial"/>
                <w:sz w:val="22"/>
              </w:rPr>
            </w:pPr>
            <w:r w:rsidRPr="00454850">
              <w:rPr>
                <w:rFonts w:cs="Arial"/>
                <w:sz w:val="22"/>
                <w:vertAlign w:val="superscript"/>
              </w:rPr>
              <w:t>5</w:t>
            </w:r>
            <w:r w:rsidRPr="00454850">
              <w:rPr>
                <w:rFonts w:cs="Arial"/>
                <w:sz w:val="22"/>
              </w:rPr>
              <w:t>Le votazioni avvengono per alzata di mano; in caso di parità, decide il voto del presidente, o, in sua assenza, del vice-presidente.</w:t>
            </w:r>
          </w:p>
          <w:p w:rsidR="00612B88" w:rsidRPr="00454850" w:rsidRDefault="00612B88" w:rsidP="00D62279">
            <w:pPr>
              <w:rPr>
                <w:rFonts w:cs="Arial"/>
                <w:sz w:val="22"/>
              </w:rPr>
            </w:pPr>
          </w:p>
          <w:p w:rsidR="00612B88" w:rsidRPr="00454850" w:rsidRDefault="00612B88" w:rsidP="00D62279">
            <w:pPr>
              <w:tabs>
                <w:tab w:val="left" w:pos="426"/>
              </w:tabs>
              <w:rPr>
                <w:rFonts w:cs="Arial"/>
                <w:b/>
                <w:bCs/>
                <w:sz w:val="22"/>
              </w:rPr>
            </w:pPr>
          </w:p>
        </w:tc>
      </w:tr>
      <w:tr w:rsidR="00612B88" w:rsidRPr="00B917F2" w:rsidTr="00D62279">
        <w:tc>
          <w:tcPr>
            <w:tcW w:w="2339" w:type="dxa"/>
          </w:tcPr>
          <w:p w:rsidR="00612B88" w:rsidRPr="00562BC2" w:rsidRDefault="00612B88" w:rsidP="00D62279">
            <w:pPr>
              <w:jc w:val="left"/>
              <w:rPr>
                <w:sz w:val="20"/>
              </w:rPr>
            </w:pPr>
          </w:p>
          <w:p w:rsidR="00612B88" w:rsidRPr="00562BC2" w:rsidRDefault="00612B88" w:rsidP="00D62279">
            <w:pPr>
              <w:jc w:val="left"/>
              <w:rPr>
                <w:sz w:val="20"/>
              </w:rPr>
            </w:pPr>
          </w:p>
          <w:p w:rsidR="00612B88" w:rsidRPr="00454850" w:rsidRDefault="00612B88" w:rsidP="00D62279">
            <w:pPr>
              <w:jc w:val="left"/>
              <w:rPr>
                <w:sz w:val="20"/>
              </w:rPr>
            </w:pPr>
            <w:r w:rsidRPr="00454850">
              <w:rPr>
                <w:b/>
                <w:sz w:val="20"/>
              </w:rPr>
              <w:t>b) Procedura</w:t>
            </w:r>
          </w:p>
        </w:tc>
        <w:tc>
          <w:tcPr>
            <w:tcW w:w="7370" w:type="dxa"/>
          </w:tcPr>
          <w:p w:rsidR="00612B88" w:rsidRPr="00454850" w:rsidRDefault="00612B88" w:rsidP="00D62279">
            <w:pPr>
              <w:tabs>
                <w:tab w:val="left" w:pos="426"/>
              </w:tabs>
              <w:rPr>
                <w:rFonts w:cs="Arial"/>
                <w:b/>
                <w:bCs/>
                <w:sz w:val="22"/>
              </w:rPr>
            </w:pPr>
            <w:r w:rsidRPr="00454850">
              <w:rPr>
                <w:rFonts w:cs="Arial"/>
                <w:b/>
                <w:bCs/>
                <w:sz w:val="22"/>
              </w:rPr>
              <w:t>Art. 7</w:t>
            </w:r>
          </w:p>
          <w:p w:rsidR="00612B88" w:rsidRPr="00454850" w:rsidRDefault="00612B88" w:rsidP="00D62279">
            <w:pPr>
              <w:tabs>
                <w:tab w:val="left" w:pos="426"/>
              </w:tabs>
              <w:rPr>
                <w:rFonts w:cs="Arial"/>
                <w:bCs/>
                <w:sz w:val="22"/>
              </w:rPr>
            </w:pPr>
          </w:p>
          <w:p w:rsidR="00612B88" w:rsidRPr="00454850" w:rsidRDefault="00612B88" w:rsidP="00D62279">
            <w:pPr>
              <w:rPr>
                <w:rFonts w:cs="Arial"/>
                <w:sz w:val="22"/>
              </w:rPr>
            </w:pPr>
            <w:r w:rsidRPr="00454850">
              <w:rPr>
                <w:rFonts w:cs="Arial"/>
                <w:sz w:val="22"/>
                <w:vertAlign w:val="superscript"/>
              </w:rPr>
              <w:t>1</w:t>
            </w:r>
            <w:r w:rsidRPr="00454850">
              <w:rPr>
                <w:rFonts w:cs="Arial"/>
                <w:sz w:val="22"/>
              </w:rPr>
              <w:t>Ogni richiedente ha diritto ad essere sentito dalla Commissione prima che la stessa dia il suo preavviso sulla domanda di autorizzazione.</w:t>
            </w:r>
          </w:p>
          <w:p w:rsidR="00612B88" w:rsidRPr="00454850" w:rsidRDefault="00612B88" w:rsidP="00D62279">
            <w:pPr>
              <w:rPr>
                <w:rFonts w:cs="Arial"/>
                <w:sz w:val="22"/>
              </w:rPr>
            </w:pPr>
          </w:p>
          <w:p w:rsidR="00612B88" w:rsidRPr="00454850" w:rsidRDefault="00612B88" w:rsidP="00D62279">
            <w:pPr>
              <w:rPr>
                <w:rFonts w:cs="Arial"/>
                <w:sz w:val="22"/>
              </w:rPr>
            </w:pPr>
            <w:r w:rsidRPr="00454850">
              <w:rPr>
                <w:rFonts w:cs="Arial"/>
                <w:sz w:val="22"/>
                <w:vertAlign w:val="superscript"/>
              </w:rPr>
              <w:t>2</w:t>
            </w:r>
            <w:r w:rsidRPr="00454850">
              <w:rPr>
                <w:rFonts w:cs="Arial"/>
                <w:sz w:val="22"/>
              </w:rPr>
              <w:t>Il Consiglio di Stato, prima di emanare una decisione, trasmette al richiedente le conclusioni della Commissione, assegnandogli un termine per esprimersi in merito.</w:t>
            </w:r>
          </w:p>
          <w:p w:rsidR="00612B88" w:rsidRPr="00454850" w:rsidRDefault="00612B88" w:rsidP="00D62279">
            <w:pPr>
              <w:rPr>
                <w:rFonts w:cs="Arial"/>
                <w:sz w:val="22"/>
              </w:rPr>
            </w:pPr>
          </w:p>
          <w:p w:rsidR="00612B88" w:rsidRPr="00454850" w:rsidRDefault="00612B88" w:rsidP="00D62279">
            <w:pPr>
              <w:tabs>
                <w:tab w:val="left" w:pos="426"/>
              </w:tabs>
              <w:rPr>
                <w:rFonts w:cs="Arial"/>
                <w:sz w:val="22"/>
              </w:rPr>
            </w:pPr>
          </w:p>
        </w:tc>
      </w:tr>
      <w:tr w:rsidR="00612B88" w:rsidRPr="00047633" w:rsidTr="00D62279">
        <w:trPr>
          <w:cantSplit/>
        </w:trPr>
        <w:tc>
          <w:tcPr>
            <w:tcW w:w="2339" w:type="dxa"/>
          </w:tcPr>
          <w:p w:rsidR="00612B88" w:rsidRPr="00562BC2" w:rsidRDefault="00612B88" w:rsidP="00D62279">
            <w:pPr>
              <w:jc w:val="left"/>
              <w:rPr>
                <w:sz w:val="20"/>
              </w:rPr>
            </w:pPr>
          </w:p>
          <w:p w:rsidR="00612B88" w:rsidRPr="00562BC2" w:rsidRDefault="00612B88" w:rsidP="00D62279">
            <w:pPr>
              <w:jc w:val="left"/>
              <w:rPr>
                <w:sz w:val="20"/>
              </w:rPr>
            </w:pPr>
          </w:p>
          <w:p w:rsidR="00612B88" w:rsidRPr="00454850" w:rsidRDefault="00612B88" w:rsidP="00D62279">
            <w:pPr>
              <w:jc w:val="left"/>
              <w:rPr>
                <w:b/>
                <w:sz w:val="20"/>
              </w:rPr>
            </w:pPr>
            <w:r w:rsidRPr="00454850">
              <w:rPr>
                <w:b/>
                <w:sz w:val="20"/>
              </w:rPr>
              <w:t>Tasse</w:t>
            </w:r>
          </w:p>
        </w:tc>
        <w:tc>
          <w:tcPr>
            <w:tcW w:w="7370" w:type="dxa"/>
          </w:tcPr>
          <w:p w:rsidR="00612B88" w:rsidRPr="00454850" w:rsidRDefault="00612B88" w:rsidP="00D62279">
            <w:pPr>
              <w:tabs>
                <w:tab w:val="left" w:pos="426"/>
              </w:tabs>
              <w:rPr>
                <w:rFonts w:cs="Arial"/>
                <w:b/>
                <w:bCs/>
                <w:sz w:val="22"/>
              </w:rPr>
            </w:pPr>
            <w:r w:rsidRPr="00454850">
              <w:rPr>
                <w:rFonts w:cs="Arial"/>
                <w:b/>
                <w:bCs/>
                <w:sz w:val="22"/>
              </w:rPr>
              <w:t>Art. 8</w:t>
            </w:r>
          </w:p>
          <w:p w:rsidR="00612B88" w:rsidRPr="00454850" w:rsidRDefault="00612B88" w:rsidP="00D62279">
            <w:pPr>
              <w:tabs>
                <w:tab w:val="left" w:pos="426"/>
              </w:tabs>
              <w:rPr>
                <w:rFonts w:cs="Arial"/>
                <w:bCs/>
                <w:sz w:val="22"/>
              </w:rPr>
            </w:pPr>
          </w:p>
          <w:p w:rsidR="00612B88" w:rsidRPr="00454850" w:rsidRDefault="00612B88" w:rsidP="00D62279">
            <w:pPr>
              <w:rPr>
                <w:rFonts w:cs="Arial"/>
                <w:sz w:val="22"/>
              </w:rPr>
            </w:pPr>
            <w:r w:rsidRPr="00454850">
              <w:rPr>
                <w:rFonts w:cs="Arial"/>
                <w:sz w:val="22"/>
              </w:rPr>
              <w:t xml:space="preserve">Per la concessione delle autorizzazioni è percepita una tassa da </w:t>
            </w:r>
            <w:proofErr w:type="spellStart"/>
            <w:r w:rsidRPr="00454850">
              <w:rPr>
                <w:rFonts w:cs="Arial"/>
                <w:sz w:val="22"/>
              </w:rPr>
              <w:t>fr</w:t>
            </w:r>
            <w:proofErr w:type="spellEnd"/>
            <w:r w:rsidRPr="00454850">
              <w:rPr>
                <w:rFonts w:cs="Arial"/>
                <w:sz w:val="22"/>
              </w:rPr>
              <w:t xml:space="preserve">. 500.- a </w:t>
            </w:r>
            <w:proofErr w:type="spellStart"/>
            <w:r w:rsidRPr="00454850">
              <w:rPr>
                <w:rFonts w:cs="Arial"/>
                <w:sz w:val="22"/>
              </w:rPr>
              <w:t>fr</w:t>
            </w:r>
            <w:proofErr w:type="spellEnd"/>
            <w:r w:rsidRPr="00454850">
              <w:rPr>
                <w:rFonts w:cs="Arial"/>
                <w:sz w:val="22"/>
              </w:rPr>
              <w:t xml:space="preserve">. 2'000.-. </w:t>
            </w:r>
          </w:p>
          <w:p w:rsidR="00612B88" w:rsidRPr="00454850" w:rsidRDefault="00612B88" w:rsidP="00D62279">
            <w:pPr>
              <w:rPr>
                <w:rFonts w:cs="Arial"/>
                <w:sz w:val="22"/>
              </w:rPr>
            </w:pPr>
          </w:p>
          <w:p w:rsidR="00612B88" w:rsidRPr="00454850" w:rsidRDefault="00612B88" w:rsidP="00D62279">
            <w:pPr>
              <w:tabs>
                <w:tab w:val="left" w:pos="426"/>
              </w:tabs>
              <w:rPr>
                <w:rFonts w:cs="Arial"/>
                <w:b/>
                <w:bCs/>
                <w:sz w:val="22"/>
              </w:rPr>
            </w:pPr>
          </w:p>
        </w:tc>
      </w:tr>
      <w:tr w:rsidR="00562BC2" w:rsidRPr="00047633" w:rsidTr="00D62279">
        <w:trPr>
          <w:cantSplit/>
        </w:trPr>
        <w:tc>
          <w:tcPr>
            <w:tcW w:w="2339" w:type="dxa"/>
          </w:tcPr>
          <w:p w:rsidR="00562BC2" w:rsidRPr="00562BC2" w:rsidRDefault="00562BC2" w:rsidP="00562BC2">
            <w:pPr>
              <w:jc w:val="left"/>
              <w:rPr>
                <w:sz w:val="20"/>
              </w:rPr>
            </w:pPr>
          </w:p>
          <w:p w:rsidR="00562BC2" w:rsidRPr="00562BC2" w:rsidRDefault="00562BC2" w:rsidP="00562BC2">
            <w:pPr>
              <w:jc w:val="left"/>
              <w:rPr>
                <w:sz w:val="20"/>
              </w:rPr>
            </w:pPr>
          </w:p>
          <w:p w:rsidR="00562BC2" w:rsidRDefault="00562BC2" w:rsidP="00562BC2">
            <w:pPr>
              <w:jc w:val="left"/>
              <w:rPr>
                <w:b/>
                <w:sz w:val="20"/>
              </w:rPr>
            </w:pPr>
            <w:r w:rsidRPr="00454850">
              <w:rPr>
                <w:b/>
                <w:sz w:val="20"/>
              </w:rPr>
              <w:t>Multa</w:t>
            </w:r>
            <w:r>
              <w:rPr>
                <w:b/>
                <w:sz w:val="20"/>
              </w:rPr>
              <w:t xml:space="preserve"> </w:t>
            </w:r>
          </w:p>
        </w:tc>
        <w:tc>
          <w:tcPr>
            <w:tcW w:w="7370" w:type="dxa"/>
          </w:tcPr>
          <w:p w:rsidR="00562BC2" w:rsidRPr="00454850" w:rsidRDefault="00562BC2" w:rsidP="00562BC2">
            <w:pPr>
              <w:tabs>
                <w:tab w:val="left" w:pos="426"/>
              </w:tabs>
              <w:rPr>
                <w:rFonts w:cs="Arial"/>
                <w:b/>
                <w:bCs/>
                <w:sz w:val="22"/>
              </w:rPr>
            </w:pPr>
            <w:r w:rsidRPr="00454850">
              <w:rPr>
                <w:rFonts w:cs="Arial"/>
                <w:b/>
                <w:bCs/>
                <w:sz w:val="22"/>
              </w:rPr>
              <w:t>Art. 9</w:t>
            </w:r>
          </w:p>
          <w:p w:rsidR="00562BC2" w:rsidRPr="00454850" w:rsidRDefault="00562BC2" w:rsidP="00562BC2">
            <w:pPr>
              <w:tabs>
                <w:tab w:val="left" w:pos="426"/>
              </w:tabs>
              <w:rPr>
                <w:rFonts w:cs="Arial"/>
                <w:bCs/>
                <w:sz w:val="22"/>
              </w:rPr>
            </w:pPr>
          </w:p>
          <w:p w:rsidR="00562BC2" w:rsidRPr="00454850" w:rsidRDefault="00562BC2" w:rsidP="00562BC2">
            <w:pPr>
              <w:rPr>
                <w:rFonts w:cs="Arial"/>
                <w:sz w:val="22"/>
              </w:rPr>
            </w:pPr>
            <w:r w:rsidRPr="00454850">
              <w:rPr>
                <w:rFonts w:cs="Arial"/>
                <w:sz w:val="22"/>
                <w:vertAlign w:val="superscript"/>
              </w:rPr>
              <w:t>1</w:t>
            </w:r>
            <w:r w:rsidRPr="00454850">
              <w:rPr>
                <w:rFonts w:cs="Arial"/>
                <w:sz w:val="22"/>
              </w:rPr>
              <w:t>L’utilizzazione senza la necessaria autorizzazione delle attrezzature a tecnologia avanzata è punita dal Dipartimento competente con la multa sino a 100’000.- franchi.</w:t>
            </w:r>
            <w:r>
              <w:rPr>
                <w:rFonts w:cs="Arial"/>
                <w:sz w:val="22"/>
              </w:rPr>
              <w:t xml:space="preserve"> </w:t>
            </w:r>
            <w:r w:rsidRPr="00530817">
              <w:rPr>
                <w:rFonts w:cs="Arial"/>
                <w:sz w:val="22"/>
              </w:rPr>
              <w:t>Analogamente è punita la mancata trasmissione della documentazione indicata all’art. 3 cpv. 5.</w:t>
            </w:r>
          </w:p>
          <w:p w:rsidR="00562BC2" w:rsidRPr="00454850" w:rsidRDefault="00562BC2" w:rsidP="00562BC2">
            <w:pPr>
              <w:rPr>
                <w:rFonts w:cs="Arial"/>
                <w:sz w:val="22"/>
              </w:rPr>
            </w:pPr>
          </w:p>
          <w:p w:rsidR="00562BC2" w:rsidRPr="00454850" w:rsidRDefault="00562BC2" w:rsidP="00562BC2">
            <w:pPr>
              <w:rPr>
                <w:rFonts w:cs="Arial"/>
                <w:sz w:val="22"/>
              </w:rPr>
            </w:pPr>
            <w:r w:rsidRPr="00454850">
              <w:rPr>
                <w:rFonts w:cs="Arial"/>
                <w:sz w:val="22"/>
                <w:vertAlign w:val="superscript"/>
              </w:rPr>
              <w:t>2</w:t>
            </w:r>
            <w:r w:rsidRPr="00454850">
              <w:rPr>
                <w:rFonts w:cs="Arial"/>
                <w:sz w:val="22"/>
              </w:rPr>
              <w:t>Se la determinazione delle persone punibili esige provvedimenti d’inchiesta sproporzionati all’entità della multa, si può prescindere da un procedimento contro dette persone e, in loro vece, condannare al pagamento della multa la persona giuridica, la società in nome collettivo o in accomandita, la ditta individuale o, per analogia, la comunità di persone.</w:t>
            </w:r>
          </w:p>
          <w:p w:rsidR="00562BC2" w:rsidRDefault="00562BC2" w:rsidP="00D62279">
            <w:pPr>
              <w:tabs>
                <w:tab w:val="left" w:pos="426"/>
              </w:tabs>
              <w:rPr>
                <w:rFonts w:cs="Arial"/>
                <w:b/>
                <w:bCs/>
                <w:sz w:val="22"/>
              </w:rPr>
            </w:pPr>
          </w:p>
          <w:p w:rsidR="00562BC2" w:rsidRPr="00454850" w:rsidRDefault="00562BC2" w:rsidP="00D62279">
            <w:pPr>
              <w:tabs>
                <w:tab w:val="left" w:pos="426"/>
              </w:tabs>
              <w:rPr>
                <w:rFonts w:cs="Arial"/>
                <w:b/>
                <w:bCs/>
                <w:sz w:val="22"/>
              </w:rPr>
            </w:pPr>
          </w:p>
        </w:tc>
      </w:tr>
      <w:tr w:rsidR="00612B88" w:rsidRPr="00047633" w:rsidTr="00D62279">
        <w:trPr>
          <w:cantSplit/>
        </w:trPr>
        <w:tc>
          <w:tcPr>
            <w:tcW w:w="2339" w:type="dxa"/>
          </w:tcPr>
          <w:p w:rsidR="00612B88" w:rsidRPr="00454850" w:rsidRDefault="00612B88" w:rsidP="00D62279">
            <w:pPr>
              <w:jc w:val="left"/>
              <w:rPr>
                <w:b/>
                <w:sz w:val="20"/>
              </w:rPr>
            </w:pPr>
          </w:p>
        </w:tc>
        <w:tc>
          <w:tcPr>
            <w:tcW w:w="7370" w:type="dxa"/>
          </w:tcPr>
          <w:p w:rsidR="00612B88" w:rsidRPr="00454850" w:rsidRDefault="00612B88" w:rsidP="00D62279">
            <w:pPr>
              <w:rPr>
                <w:rFonts w:cs="Arial"/>
                <w:sz w:val="22"/>
              </w:rPr>
            </w:pPr>
            <w:r w:rsidRPr="00454850">
              <w:rPr>
                <w:rFonts w:cs="Arial"/>
                <w:sz w:val="22"/>
                <w:vertAlign w:val="superscript"/>
              </w:rPr>
              <w:t>3</w:t>
            </w:r>
            <w:r w:rsidRPr="00454850">
              <w:rPr>
                <w:rFonts w:cs="Arial"/>
                <w:sz w:val="22"/>
              </w:rPr>
              <w:t>È applicabile la legge di procedura per le contravvenzioni del 20 aprile 2010.</w:t>
            </w:r>
          </w:p>
          <w:p w:rsidR="00612B88" w:rsidRPr="00454850" w:rsidRDefault="00612B88" w:rsidP="00D62279">
            <w:pPr>
              <w:rPr>
                <w:rFonts w:cs="Arial"/>
                <w:sz w:val="22"/>
              </w:rPr>
            </w:pPr>
          </w:p>
          <w:p w:rsidR="00612B88" w:rsidRPr="00454850" w:rsidRDefault="00612B88" w:rsidP="00D62279">
            <w:pPr>
              <w:tabs>
                <w:tab w:val="left" w:pos="426"/>
              </w:tabs>
              <w:rPr>
                <w:rFonts w:cs="Arial"/>
                <w:b/>
                <w:bCs/>
                <w:sz w:val="22"/>
              </w:rPr>
            </w:pPr>
          </w:p>
        </w:tc>
      </w:tr>
      <w:tr w:rsidR="00612B88" w:rsidRPr="00047633" w:rsidTr="00D62279">
        <w:trPr>
          <w:cantSplit/>
        </w:trPr>
        <w:tc>
          <w:tcPr>
            <w:tcW w:w="2339" w:type="dxa"/>
          </w:tcPr>
          <w:p w:rsidR="00612B88" w:rsidRPr="00562BC2" w:rsidRDefault="00612B88" w:rsidP="00D62279">
            <w:pPr>
              <w:jc w:val="left"/>
              <w:rPr>
                <w:sz w:val="20"/>
              </w:rPr>
            </w:pPr>
          </w:p>
          <w:p w:rsidR="00612B88" w:rsidRPr="00562BC2" w:rsidRDefault="00612B88" w:rsidP="00D62279">
            <w:pPr>
              <w:jc w:val="left"/>
              <w:rPr>
                <w:sz w:val="20"/>
              </w:rPr>
            </w:pPr>
          </w:p>
          <w:p w:rsidR="00612B88" w:rsidRPr="00454850" w:rsidRDefault="00612B88" w:rsidP="00D62279">
            <w:pPr>
              <w:jc w:val="left"/>
              <w:rPr>
                <w:b/>
                <w:sz w:val="20"/>
              </w:rPr>
            </w:pPr>
            <w:r w:rsidRPr="00454850">
              <w:rPr>
                <w:b/>
                <w:sz w:val="20"/>
              </w:rPr>
              <w:t>Devoluzione dei vantaggi pecuniari illeciti</w:t>
            </w:r>
          </w:p>
        </w:tc>
        <w:tc>
          <w:tcPr>
            <w:tcW w:w="7370" w:type="dxa"/>
          </w:tcPr>
          <w:p w:rsidR="00612B88" w:rsidRPr="00454850" w:rsidRDefault="00612B88" w:rsidP="00D62279">
            <w:pPr>
              <w:tabs>
                <w:tab w:val="left" w:pos="426"/>
              </w:tabs>
              <w:rPr>
                <w:rFonts w:cs="Arial"/>
                <w:b/>
                <w:bCs/>
                <w:sz w:val="22"/>
              </w:rPr>
            </w:pPr>
            <w:r w:rsidRPr="00454850">
              <w:rPr>
                <w:rFonts w:cs="Arial"/>
                <w:b/>
                <w:bCs/>
                <w:sz w:val="22"/>
              </w:rPr>
              <w:t>Art. 10</w:t>
            </w:r>
          </w:p>
          <w:p w:rsidR="00612B88" w:rsidRPr="00454850" w:rsidRDefault="00612B88" w:rsidP="00D62279">
            <w:pPr>
              <w:tabs>
                <w:tab w:val="left" w:pos="426"/>
              </w:tabs>
              <w:rPr>
                <w:rFonts w:cs="Arial"/>
                <w:bCs/>
                <w:sz w:val="22"/>
              </w:rPr>
            </w:pPr>
          </w:p>
          <w:p w:rsidR="00612B88" w:rsidRPr="00454850" w:rsidRDefault="00612B88" w:rsidP="00D62279">
            <w:pPr>
              <w:rPr>
                <w:rFonts w:cs="Arial"/>
                <w:sz w:val="22"/>
              </w:rPr>
            </w:pPr>
            <w:r w:rsidRPr="00454850">
              <w:rPr>
                <w:rFonts w:cs="Arial"/>
                <w:sz w:val="22"/>
              </w:rPr>
              <w:t>Il Dipartimento può inoltre ordinare la devoluzione allo Stato dei vantaggi pecuniari conseguiti con l’utilizzo illecito delle attrezzature a tecnologia avanzata.</w:t>
            </w:r>
          </w:p>
          <w:p w:rsidR="00612B88" w:rsidRPr="00454850" w:rsidRDefault="00612B88" w:rsidP="00D62279">
            <w:pPr>
              <w:tabs>
                <w:tab w:val="left" w:pos="426"/>
              </w:tabs>
              <w:rPr>
                <w:rFonts w:cs="Arial"/>
                <w:bCs/>
                <w:sz w:val="22"/>
              </w:rPr>
            </w:pPr>
          </w:p>
          <w:p w:rsidR="00612B88" w:rsidRPr="00454850" w:rsidRDefault="00612B88" w:rsidP="00D62279">
            <w:pPr>
              <w:tabs>
                <w:tab w:val="left" w:pos="426"/>
              </w:tabs>
              <w:rPr>
                <w:rFonts w:cs="Arial"/>
                <w:b/>
                <w:bCs/>
                <w:sz w:val="22"/>
              </w:rPr>
            </w:pPr>
          </w:p>
        </w:tc>
      </w:tr>
      <w:tr w:rsidR="00612B88" w:rsidRPr="00047633" w:rsidTr="00D62279">
        <w:trPr>
          <w:cantSplit/>
        </w:trPr>
        <w:tc>
          <w:tcPr>
            <w:tcW w:w="2339" w:type="dxa"/>
          </w:tcPr>
          <w:p w:rsidR="00612B88" w:rsidRPr="00562BC2" w:rsidRDefault="00612B88" w:rsidP="00D62279">
            <w:pPr>
              <w:jc w:val="left"/>
              <w:rPr>
                <w:sz w:val="20"/>
              </w:rPr>
            </w:pPr>
          </w:p>
          <w:p w:rsidR="00612B88" w:rsidRPr="00562BC2" w:rsidRDefault="00612B88" w:rsidP="00D62279">
            <w:pPr>
              <w:jc w:val="left"/>
              <w:rPr>
                <w:sz w:val="20"/>
              </w:rPr>
            </w:pPr>
          </w:p>
          <w:p w:rsidR="00612B88" w:rsidRPr="00454850" w:rsidRDefault="00612B88" w:rsidP="00D62279">
            <w:pPr>
              <w:jc w:val="left"/>
              <w:rPr>
                <w:b/>
                <w:sz w:val="20"/>
              </w:rPr>
            </w:pPr>
            <w:r w:rsidRPr="00454850">
              <w:rPr>
                <w:b/>
                <w:sz w:val="20"/>
              </w:rPr>
              <w:t>Obbligo di fornire informazioni</w:t>
            </w:r>
          </w:p>
        </w:tc>
        <w:tc>
          <w:tcPr>
            <w:tcW w:w="7370" w:type="dxa"/>
          </w:tcPr>
          <w:p w:rsidR="00612B88" w:rsidRPr="00454850" w:rsidRDefault="00612B88" w:rsidP="00D62279">
            <w:pPr>
              <w:rPr>
                <w:rFonts w:cs="Arial"/>
                <w:b/>
                <w:sz w:val="22"/>
              </w:rPr>
            </w:pPr>
            <w:r w:rsidRPr="00454850">
              <w:rPr>
                <w:rFonts w:cs="Arial"/>
                <w:b/>
                <w:sz w:val="22"/>
              </w:rPr>
              <w:t xml:space="preserve">Art. 11 </w:t>
            </w:r>
          </w:p>
          <w:p w:rsidR="00612B88" w:rsidRPr="00454850" w:rsidRDefault="00612B88" w:rsidP="00D62279">
            <w:pPr>
              <w:rPr>
                <w:rFonts w:cs="Arial"/>
                <w:sz w:val="22"/>
              </w:rPr>
            </w:pPr>
          </w:p>
          <w:p w:rsidR="00612B88" w:rsidRPr="00454850" w:rsidRDefault="00612B88" w:rsidP="00D62279">
            <w:pPr>
              <w:rPr>
                <w:rFonts w:cs="Arial"/>
                <w:sz w:val="22"/>
              </w:rPr>
            </w:pPr>
            <w:r w:rsidRPr="00454850">
              <w:rPr>
                <w:rFonts w:cs="Arial"/>
                <w:sz w:val="22"/>
              </w:rPr>
              <w:t>Gli assicuratori malattia sono tenuti a fornire al Medico cantonale le informazioni, in particolare le fatture relative all’utilizzo delle attrezzature a tecnologia avanzata, necessarie alla verifica del rispetto della legge.</w:t>
            </w:r>
          </w:p>
          <w:p w:rsidR="00612B88" w:rsidRPr="00562BC2" w:rsidRDefault="00612B88" w:rsidP="00D62279">
            <w:pPr>
              <w:tabs>
                <w:tab w:val="left" w:pos="426"/>
              </w:tabs>
              <w:rPr>
                <w:rFonts w:cs="Arial"/>
                <w:bCs/>
                <w:sz w:val="22"/>
              </w:rPr>
            </w:pPr>
          </w:p>
          <w:p w:rsidR="00612B88" w:rsidRPr="00454850" w:rsidRDefault="00612B88" w:rsidP="00D62279">
            <w:pPr>
              <w:tabs>
                <w:tab w:val="left" w:pos="426"/>
              </w:tabs>
              <w:rPr>
                <w:rFonts w:cs="Arial"/>
                <w:b/>
                <w:bCs/>
                <w:sz w:val="22"/>
              </w:rPr>
            </w:pPr>
          </w:p>
        </w:tc>
      </w:tr>
      <w:tr w:rsidR="00612B88" w:rsidRPr="00047633" w:rsidTr="00D62279">
        <w:trPr>
          <w:cantSplit/>
        </w:trPr>
        <w:tc>
          <w:tcPr>
            <w:tcW w:w="2339" w:type="dxa"/>
          </w:tcPr>
          <w:p w:rsidR="00612B88" w:rsidRPr="00562BC2" w:rsidRDefault="00612B88" w:rsidP="00D62279">
            <w:pPr>
              <w:jc w:val="left"/>
              <w:rPr>
                <w:sz w:val="20"/>
              </w:rPr>
            </w:pPr>
          </w:p>
          <w:p w:rsidR="00612B88" w:rsidRPr="00562BC2" w:rsidRDefault="00612B88" w:rsidP="00D62279">
            <w:pPr>
              <w:jc w:val="left"/>
              <w:rPr>
                <w:sz w:val="20"/>
              </w:rPr>
            </w:pPr>
          </w:p>
          <w:p w:rsidR="00612B88" w:rsidRPr="00454850" w:rsidRDefault="00612B88" w:rsidP="00D62279">
            <w:pPr>
              <w:jc w:val="left"/>
              <w:rPr>
                <w:b/>
                <w:sz w:val="20"/>
              </w:rPr>
            </w:pPr>
            <w:r w:rsidRPr="00454850">
              <w:rPr>
                <w:b/>
                <w:sz w:val="20"/>
              </w:rPr>
              <w:t>Rimedi di diritto</w:t>
            </w:r>
          </w:p>
        </w:tc>
        <w:tc>
          <w:tcPr>
            <w:tcW w:w="7370" w:type="dxa"/>
          </w:tcPr>
          <w:p w:rsidR="00612B88" w:rsidRPr="00454850" w:rsidRDefault="00612B88" w:rsidP="00D62279">
            <w:pPr>
              <w:rPr>
                <w:rFonts w:cs="Arial"/>
                <w:b/>
                <w:sz w:val="22"/>
              </w:rPr>
            </w:pPr>
            <w:r w:rsidRPr="00454850">
              <w:rPr>
                <w:rFonts w:cs="Arial"/>
                <w:b/>
                <w:sz w:val="22"/>
              </w:rPr>
              <w:t xml:space="preserve">Art. 12 </w:t>
            </w:r>
          </w:p>
          <w:p w:rsidR="00612B88" w:rsidRPr="00454850" w:rsidRDefault="00612B88" w:rsidP="00D62279">
            <w:pPr>
              <w:rPr>
                <w:rFonts w:cs="Arial"/>
                <w:sz w:val="22"/>
              </w:rPr>
            </w:pPr>
          </w:p>
          <w:p w:rsidR="00612B88" w:rsidRPr="00454850" w:rsidRDefault="00612B88" w:rsidP="00D62279">
            <w:pPr>
              <w:rPr>
                <w:rFonts w:cs="Arial"/>
                <w:sz w:val="22"/>
              </w:rPr>
            </w:pPr>
            <w:r w:rsidRPr="00454850">
              <w:rPr>
                <w:rFonts w:cs="Arial"/>
                <w:sz w:val="22"/>
                <w:vertAlign w:val="superscript"/>
              </w:rPr>
              <w:t>1</w:t>
            </w:r>
            <w:r w:rsidRPr="00454850">
              <w:rPr>
                <w:rFonts w:cs="Arial"/>
                <w:sz w:val="22"/>
              </w:rPr>
              <w:t>Contro le decisioni del Consiglio di Stato è dato ricorso al Tribunale cantonale amministrativo.</w:t>
            </w:r>
          </w:p>
          <w:p w:rsidR="00612B88" w:rsidRPr="00454850" w:rsidRDefault="00612B88" w:rsidP="00D62279">
            <w:pPr>
              <w:rPr>
                <w:rFonts w:cs="Arial"/>
                <w:sz w:val="22"/>
              </w:rPr>
            </w:pPr>
          </w:p>
          <w:p w:rsidR="00612B88" w:rsidRPr="00454850" w:rsidRDefault="00612B88" w:rsidP="00D62279">
            <w:pPr>
              <w:rPr>
                <w:rFonts w:cs="Arial"/>
                <w:sz w:val="22"/>
              </w:rPr>
            </w:pPr>
            <w:r w:rsidRPr="00454850">
              <w:rPr>
                <w:rFonts w:cs="Arial"/>
                <w:sz w:val="22"/>
                <w:vertAlign w:val="superscript"/>
              </w:rPr>
              <w:t>2</w:t>
            </w:r>
            <w:r w:rsidRPr="00454850">
              <w:rPr>
                <w:rFonts w:cs="Arial"/>
                <w:sz w:val="22"/>
              </w:rPr>
              <w:t>È applicabile la legge sulla procedura amministrativa del 24 settembre 2013.</w:t>
            </w:r>
          </w:p>
          <w:p w:rsidR="00612B88" w:rsidRPr="00454850" w:rsidRDefault="00612B88" w:rsidP="00D62279">
            <w:pPr>
              <w:tabs>
                <w:tab w:val="left" w:pos="426"/>
              </w:tabs>
              <w:rPr>
                <w:rFonts w:cs="Arial"/>
                <w:b/>
                <w:bCs/>
                <w:sz w:val="22"/>
              </w:rPr>
            </w:pPr>
          </w:p>
          <w:p w:rsidR="00612B88" w:rsidRPr="00454850" w:rsidRDefault="00612B88" w:rsidP="00D62279">
            <w:pPr>
              <w:tabs>
                <w:tab w:val="left" w:pos="426"/>
              </w:tabs>
              <w:rPr>
                <w:rFonts w:cs="Arial"/>
                <w:b/>
                <w:bCs/>
                <w:sz w:val="22"/>
              </w:rPr>
            </w:pPr>
          </w:p>
        </w:tc>
      </w:tr>
      <w:tr w:rsidR="00612B88" w:rsidRPr="00047633" w:rsidTr="00D62279">
        <w:trPr>
          <w:cantSplit/>
        </w:trPr>
        <w:tc>
          <w:tcPr>
            <w:tcW w:w="2339" w:type="dxa"/>
          </w:tcPr>
          <w:p w:rsidR="00612B88" w:rsidRDefault="00612B88" w:rsidP="00D62279">
            <w:pPr>
              <w:jc w:val="left"/>
              <w:rPr>
                <w:b/>
                <w:sz w:val="20"/>
              </w:rPr>
            </w:pPr>
          </w:p>
          <w:p w:rsidR="00612B88" w:rsidRDefault="00612B88" w:rsidP="00D62279">
            <w:pPr>
              <w:jc w:val="left"/>
              <w:rPr>
                <w:b/>
                <w:sz w:val="20"/>
              </w:rPr>
            </w:pPr>
          </w:p>
          <w:p w:rsidR="00612B88" w:rsidRPr="00454850" w:rsidRDefault="00612B88" w:rsidP="00D62279">
            <w:pPr>
              <w:jc w:val="left"/>
              <w:rPr>
                <w:b/>
                <w:sz w:val="20"/>
              </w:rPr>
            </w:pPr>
            <w:r w:rsidRPr="00454850">
              <w:rPr>
                <w:b/>
                <w:sz w:val="20"/>
              </w:rPr>
              <w:t>Domande pendenti</w:t>
            </w:r>
          </w:p>
        </w:tc>
        <w:tc>
          <w:tcPr>
            <w:tcW w:w="7370" w:type="dxa"/>
          </w:tcPr>
          <w:p w:rsidR="00612B88" w:rsidRPr="00454850" w:rsidRDefault="00612B88" w:rsidP="00D62279">
            <w:pPr>
              <w:tabs>
                <w:tab w:val="left" w:pos="426"/>
              </w:tabs>
              <w:rPr>
                <w:rFonts w:cs="Arial"/>
                <w:b/>
                <w:bCs/>
                <w:sz w:val="22"/>
              </w:rPr>
            </w:pPr>
            <w:r w:rsidRPr="00454850">
              <w:rPr>
                <w:rFonts w:cs="Arial"/>
                <w:b/>
                <w:bCs/>
                <w:sz w:val="22"/>
              </w:rPr>
              <w:t>Art. 13</w:t>
            </w:r>
          </w:p>
          <w:p w:rsidR="00612B88" w:rsidRPr="00454850" w:rsidRDefault="00612B88" w:rsidP="00D62279">
            <w:pPr>
              <w:tabs>
                <w:tab w:val="left" w:pos="426"/>
              </w:tabs>
              <w:rPr>
                <w:rFonts w:cs="Arial"/>
                <w:bCs/>
                <w:sz w:val="22"/>
              </w:rPr>
            </w:pPr>
          </w:p>
          <w:p w:rsidR="00612B88" w:rsidRPr="00454850" w:rsidRDefault="00612B88" w:rsidP="00D62279">
            <w:pPr>
              <w:rPr>
                <w:rFonts w:cs="Arial"/>
                <w:sz w:val="22"/>
              </w:rPr>
            </w:pPr>
            <w:r w:rsidRPr="00454850">
              <w:rPr>
                <w:rFonts w:cs="Arial"/>
                <w:sz w:val="22"/>
              </w:rPr>
              <w:t>Le domande di autorizzazione già pendenti alla data dell’entrata in vigore della presente legge verranno trattate secondo il nuovo diritto.</w:t>
            </w:r>
          </w:p>
          <w:p w:rsidR="00612B88" w:rsidRPr="00454850" w:rsidRDefault="00612B88" w:rsidP="00D62279">
            <w:pPr>
              <w:rPr>
                <w:rFonts w:cs="Arial"/>
                <w:sz w:val="22"/>
              </w:rPr>
            </w:pPr>
          </w:p>
          <w:p w:rsidR="00612B88" w:rsidRPr="00454850" w:rsidRDefault="00612B88" w:rsidP="00D62279">
            <w:pPr>
              <w:tabs>
                <w:tab w:val="left" w:pos="426"/>
              </w:tabs>
              <w:rPr>
                <w:rFonts w:cs="Arial"/>
                <w:b/>
                <w:bCs/>
                <w:sz w:val="22"/>
              </w:rPr>
            </w:pPr>
          </w:p>
        </w:tc>
      </w:tr>
      <w:tr w:rsidR="00612B88" w:rsidRPr="00047633" w:rsidTr="00D62279">
        <w:trPr>
          <w:cantSplit/>
        </w:trPr>
        <w:tc>
          <w:tcPr>
            <w:tcW w:w="2339" w:type="dxa"/>
          </w:tcPr>
          <w:p w:rsidR="00612B88" w:rsidRDefault="00612B88" w:rsidP="00D62279">
            <w:pPr>
              <w:jc w:val="left"/>
              <w:rPr>
                <w:b/>
                <w:sz w:val="20"/>
              </w:rPr>
            </w:pPr>
          </w:p>
          <w:p w:rsidR="00612B88" w:rsidRDefault="00612B88" w:rsidP="00D62279">
            <w:pPr>
              <w:jc w:val="left"/>
              <w:rPr>
                <w:b/>
                <w:sz w:val="20"/>
              </w:rPr>
            </w:pPr>
          </w:p>
          <w:p w:rsidR="00612B88" w:rsidRPr="00454850" w:rsidRDefault="00612B88" w:rsidP="00D62279">
            <w:pPr>
              <w:jc w:val="left"/>
              <w:rPr>
                <w:b/>
                <w:sz w:val="20"/>
              </w:rPr>
            </w:pPr>
            <w:r w:rsidRPr="00454850">
              <w:rPr>
                <w:b/>
                <w:sz w:val="20"/>
              </w:rPr>
              <w:t>Entrata in vigore</w:t>
            </w:r>
          </w:p>
        </w:tc>
        <w:tc>
          <w:tcPr>
            <w:tcW w:w="7370" w:type="dxa"/>
          </w:tcPr>
          <w:p w:rsidR="00612B88" w:rsidRPr="00454850" w:rsidRDefault="00612B88" w:rsidP="00D62279">
            <w:pPr>
              <w:rPr>
                <w:rFonts w:cs="Arial"/>
                <w:b/>
                <w:sz w:val="22"/>
              </w:rPr>
            </w:pPr>
            <w:r w:rsidRPr="00454850">
              <w:rPr>
                <w:rFonts w:cs="Arial"/>
                <w:b/>
                <w:sz w:val="22"/>
              </w:rPr>
              <w:t xml:space="preserve">Art. 14 </w:t>
            </w:r>
          </w:p>
          <w:p w:rsidR="00612B88" w:rsidRPr="00454850" w:rsidRDefault="00612B88" w:rsidP="00D62279">
            <w:pPr>
              <w:rPr>
                <w:rFonts w:cs="Arial"/>
                <w:sz w:val="22"/>
              </w:rPr>
            </w:pPr>
          </w:p>
          <w:p w:rsidR="00612B88" w:rsidRPr="00454850" w:rsidRDefault="00612B88" w:rsidP="00D62279">
            <w:pPr>
              <w:rPr>
                <w:rFonts w:cs="Arial"/>
                <w:sz w:val="22"/>
              </w:rPr>
            </w:pPr>
            <w:r w:rsidRPr="00454850">
              <w:rPr>
                <w:rFonts w:cs="Arial"/>
                <w:sz w:val="22"/>
              </w:rPr>
              <w:t>Trascorsi i termini per l’esercizio del diritto di referendum, la presente legge è pubblicata nel Bollettino ufficiale delle leggi ed entra immediatamente in vigore.</w:t>
            </w:r>
          </w:p>
          <w:p w:rsidR="00612B88" w:rsidRPr="00454850" w:rsidRDefault="00612B88" w:rsidP="00D62279">
            <w:pPr>
              <w:tabs>
                <w:tab w:val="left" w:pos="426"/>
              </w:tabs>
              <w:rPr>
                <w:rFonts w:cs="Arial"/>
                <w:b/>
                <w:bCs/>
                <w:sz w:val="22"/>
              </w:rPr>
            </w:pPr>
          </w:p>
        </w:tc>
      </w:tr>
    </w:tbl>
    <w:p w:rsidR="00612B88" w:rsidRDefault="00612B88" w:rsidP="00612B88"/>
    <w:sectPr w:rsidR="00612B88" w:rsidSect="009D7ADE">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49" w:rsidRDefault="001C6649" w:rsidP="008E77C6">
      <w:r>
        <w:separator/>
      </w:r>
    </w:p>
  </w:endnote>
  <w:endnote w:type="continuationSeparator" w:id="0">
    <w:p w:rsidR="001C6649" w:rsidRDefault="001C6649"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323043" w:rsidRPr="00323043">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49" w:rsidRDefault="001C6649" w:rsidP="008E77C6">
      <w:r>
        <w:separator/>
      </w:r>
    </w:p>
  </w:footnote>
  <w:footnote w:type="continuationSeparator" w:id="0">
    <w:p w:rsidR="001C6649" w:rsidRDefault="001C6649"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2E30257F"/>
    <w:multiLevelType w:val="multilevel"/>
    <w:tmpl w:val="3DF07450"/>
    <w:lvl w:ilvl="0">
      <w:start w:val="1"/>
      <w:numFmt w:val="decimal"/>
      <w:pStyle w:val="articolonumeroautomatico"/>
      <w:suff w:val="nothing"/>
      <w:lvlText w:val="Art. %1"/>
      <w:lvlJc w:val="left"/>
      <w:pPr>
        <w:ind w:left="0" w:firstLine="0"/>
      </w:pPr>
    </w:lvl>
    <w:lvl w:ilvl="1">
      <w:start w:val="1"/>
      <w:numFmt w:val="decimalZero"/>
      <w:isLgl/>
      <w:lvlText w:val="Sezione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2F7E35C5"/>
    <w:multiLevelType w:val="multilevel"/>
    <w:tmpl w:val="08A4E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2C2A4D"/>
    <w:multiLevelType w:val="hybridMultilevel"/>
    <w:tmpl w:val="256637D0"/>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nsid w:val="40DD1C68"/>
    <w:multiLevelType w:val="multilevel"/>
    <w:tmpl w:val="F54A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CE7C84"/>
    <w:multiLevelType w:val="multilevel"/>
    <w:tmpl w:val="5DF05CC0"/>
    <w:styleLink w:val="LFO2"/>
    <w:lvl w:ilvl="0">
      <w:numFmt w:val="bullet"/>
      <w:pStyle w:val="Puntoelenco"/>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F2480A"/>
    <w:multiLevelType w:val="multilevel"/>
    <w:tmpl w:val="C5642C6E"/>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FE0E91"/>
    <w:multiLevelType w:val="hybridMultilevel"/>
    <w:tmpl w:val="A80C6258"/>
    <w:lvl w:ilvl="0" w:tplc="244AA118">
      <w:start w:val="8"/>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nsid w:val="713541FF"/>
    <w:multiLevelType w:val="hybridMultilevel"/>
    <w:tmpl w:val="F09061EC"/>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nsid w:val="766D7F41"/>
    <w:multiLevelType w:val="multilevel"/>
    <w:tmpl w:val="55FE51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6"/>
  </w:num>
  <w:num w:numId="2">
    <w:abstractNumId w:val="6"/>
  </w:num>
  <w:num w:numId="3">
    <w:abstractNumId w:val="11"/>
  </w:num>
  <w:num w:numId="4">
    <w:abstractNumId w:val="0"/>
  </w:num>
  <w:num w:numId="5">
    <w:abstractNumId w:val="5"/>
  </w:num>
  <w:num w:numId="6">
    <w:abstractNumId w:val="2"/>
  </w:num>
  <w:num w:numId="7">
    <w:abstractNumId w:val="4"/>
  </w:num>
  <w:num w:numId="8">
    <w:abstractNumId w:val="1"/>
  </w:num>
  <w:num w:numId="9">
    <w:abstractNumId w:val="9"/>
  </w:num>
  <w:num w:numId="10">
    <w:abstractNumId w:val="7"/>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45810"/>
    <w:rsid w:val="0005049E"/>
    <w:rsid w:val="00071B9F"/>
    <w:rsid w:val="00076E70"/>
    <w:rsid w:val="000F45E1"/>
    <w:rsid w:val="001C54D9"/>
    <w:rsid w:val="001C6649"/>
    <w:rsid w:val="0023398D"/>
    <w:rsid w:val="002A6608"/>
    <w:rsid w:val="002D0D58"/>
    <w:rsid w:val="002E5E40"/>
    <w:rsid w:val="00323043"/>
    <w:rsid w:val="00377C94"/>
    <w:rsid w:val="00401A10"/>
    <w:rsid w:val="004D5A16"/>
    <w:rsid w:val="0052425A"/>
    <w:rsid w:val="00530817"/>
    <w:rsid w:val="00562BC2"/>
    <w:rsid w:val="00586A8D"/>
    <w:rsid w:val="005E5BC5"/>
    <w:rsid w:val="00604F04"/>
    <w:rsid w:val="00612B88"/>
    <w:rsid w:val="00646508"/>
    <w:rsid w:val="00660836"/>
    <w:rsid w:val="006D7A3B"/>
    <w:rsid w:val="007476E1"/>
    <w:rsid w:val="007655C6"/>
    <w:rsid w:val="007B5462"/>
    <w:rsid w:val="008034BD"/>
    <w:rsid w:val="008074ED"/>
    <w:rsid w:val="00860916"/>
    <w:rsid w:val="00876352"/>
    <w:rsid w:val="008B4137"/>
    <w:rsid w:val="008C767A"/>
    <w:rsid w:val="008E77C6"/>
    <w:rsid w:val="00953DDE"/>
    <w:rsid w:val="009770BB"/>
    <w:rsid w:val="009D7ADE"/>
    <w:rsid w:val="009E008D"/>
    <w:rsid w:val="00A5465F"/>
    <w:rsid w:val="00A77678"/>
    <w:rsid w:val="00AF3D5B"/>
    <w:rsid w:val="00B01EB7"/>
    <w:rsid w:val="00BC4C95"/>
    <w:rsid w:val="00BD5944"/>
    <w:rsid w:val="00CE7579"/>
    <w:rsid w:val="00CF6858"/>
    <w:rsid w:val="00D30C2D"/>
    <w:rsid w:val="00D84DC7"/>
    <w:rsid w:val="00D93B31"/>
    <w:rsid w:val="00DF7250"/>
    <w:rsid w:val="00E5432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Puntoelenco">
    <w:name w:val="List Bullet"/>
    <w:basedOn w:val="Normale"/>
    <w:rsid w:val="00612B88"/>
    <w:pPr>
      <w:numPr>
        <w:numId w:val="5"/>
      </w:numPr>
      <w:suppressAutoHyphens/>
      <w:autoSpaceDN w:val="0"/>
      <w:spacing w:after="160"/>
      <w:jc w:val="left"/>
      <w:textAlignment w:val="baseline"/>
    </w:pPr>
    <w:rPr>
      <w:rFonts w:ascii="Calibri" w:eastAsia="Calibri" w:hAnsi="Calibri" w:cs="Times New Roman"/>
      <w:sz w:val="22"/>
    </w:rPr>
  </w:style>
  <w:style w:type="numbering" w:customStyle="1" w:styleId="LFO2">
    <w:name w:val="LFO2"/>
    <w:basedOn w:val="Nessunelenco"/>
    <w:rsid w:val="00612B88"/>
    <w:pPr>
      <w:numPr>
        <w:numId w:val="5"/>
      </w:numPr>
    </w:pPr>
  </w:style>
  <w:style w:type="paragraph" w:customStyle="1" w:styleId="articolonumeroautomatico">
    <w:name w:val="articolo numero automatico"/>
    <w:basedOn w:val="Normale"/>
    <w:next w:val="Normale"/>
    <w:rsid w:val="00612B88"/>
    <w:pPr>
      <w:numPr>
        <w:numId w:val="8"/>
      </w:numPr>
      <w:spacing w:after="120"/>
    </w:pPr>
    <w:rPr>
      <w:rFonts w:eastAsia="Times New Roman" w:cs="Times New Roman"/>
      <w:b/>
      <w:noProof/>
      <w:szCs w:val="20"/>
      <w:u w:val="single"/>
      <w:lang w:val="it-IT" w:eastAsia="it-IT"/>
    </w:rPr>
  </w:style>
  <w:style w:type="character" w:customStyle="1" w:styleId="esp">
    <w:name w:val="esp"/>
    <w:rsid w:val="00612B88"/>
    <w:rPr>
      <w:rFonts w:ascii="Times" w:hAnsi="Times" w:hint="default"/>
      <w:spacing w:val="0"/>
      <w:vertAlign w:val="baseline"/>
    </w:rPr>
  </w:style>
  <w:style w:type="paragraph" w:styleId="Testofumetto">
    <w:name w:val="Balloon Text"/>
    <w:basedOn w:val="Normale"/>
    <w:link w:val="TestofumettoCarattere"/>
    <w:uiPriority w:val="99"/>
    <w:semiHidden/>
    <w:unhideWhenUsed/>
    <w:rsid w:val="00562B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2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Puntoelenco">
    <w:name w:val="List Bullet"/>
    <w:basedOn w:val="Normale"/>
    <w:rsid w:val="00612B88"/>
    <w:pPr>
      <w:numPr>
        <w:numId w:val="5"/>
      </w:numPr>
      <w:suppressAutoHyphens/>
      <w:autoSpaceDN w:val="0"/>
      <w:spacing w:after="160"/>
      <w:jc w:val="left"/>
      <w:textAlignment w:val="baseline"/>
    </w:pPr>
    <w:rPr>
      <w:rFonts w:ascii="Calibri" w:eastAsia="Calibri" w:hAnsi="Calibri" w:cs="Times New Roman"/>
      <w:sz w:val="22"/>
    </w:rPr>
  </w:style>
  <w:style w:type="numbering" w:customStyle="1" w:styleId="LFO2">
    <w:name w:val="LFO2"/>
    <w:basedOn w:val="Nessunelenco"/>
    <w:rsid w:val="00612B88"/>
    <w:pPr>
      <w:numPr>
        <w:numId w:val="5"/>
      </w:numPr>
    </w:pPr>
  </w:style>
  <w:style w:type="paragraph" w:customStyle="1" w:styleId="articolonumeroautomatico">
    <w:name w:val="articolo numero automatico"/>
    <w:basedOn w:val="Normale"/>
    <w:next w:val="Normale"/>
    <w:rsid w:val="00612B88"/>
    <w:pPr>
      <w:numPr>
        <w:numId w:val="8"/>
      </w:numPr>
      <w:spacing w:after="120"/>
    </w:pPr>
    <w:rPr>
      <w:rFonts w:eastAsia="Times New Roman" w:cs="Times New Roman"/>
      <w:b/>
      <w:noProof/>
      <w:szCs w:val="20"/>
      <w:u w:val="single"/>
      <w:lang w:val="it-IT" w:eastAsia="it-IT"/>
    </w:rPr>
  </w:style>
  <w:style w:type="character" w:customStyle="1" w:styleId="esp">
    <w:name w:val="esp"/>
    <w:rsid w:val="00612B88"/>
    <w:rPr>
      <w:rFonts w:ascii="Times" w:hAnsi="Times" w:hint="default"/>
      <w:spacing w:val="0"/>
      <w:vertAlign w:val="baseline"/>
    </w:rPr>
  </w:style>
  <w:style w:type="paragraph" w:styleId="Testofumetto">
    <w:name w:val="Balloon Text"/>
    <w:basedOn w:val="Normale"/>
    <w:link w:val="TestofumettoCarattere"/>
    <w:uiPriority w:val="99"/>
    <w:semiHidden/>
    <w:unhideWhenUsed/>
    <w:rsid w:val="00562B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2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0E1D-150B-448B-AF05-F8E47CE9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3558</Words>
  <Characters>20286</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Righetti Paolo / kxgc022</cp:lastModifiedBy>
  <cp:revision>5</cp:revision>
  <cp:lastPrinted>2016-10-04T07:17:00Z</cp:lastPrinted>
  <dcterms:created xsi:type="dcterms:W3CDTF">2016-10-03T15:34:00Z</dcterms:created>
  <dcterms:modified xsi:type="dcterms:W3CDTF">2016-10-04T07:18:00Z</dcterms:modified>
</cp:coreProperties>
</file>