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4BD" w:rsidRPr="00F622EC" w:rsidRDefault="00F622EC">
      <w:pPr>
        <w:rPr>
          <w:rFonts w:cs="Arial"/>
          <w:b/>
          <w:sz w:val="28"/>
          <w:szCs w:val="20"/>
        </w:rPr>
      </w:pPr>
      <w:r w:rsidRPr="00F622EC">
        <w:rPr>
          <w:rFonts w:cs="Arial"/>
          <w:b/>
          <w:sz w:val="28"/>
          <w:szCs w:val="20"/>
        </w:rPr>
        <w:t>Rapporto</w:t>
      </w:r>
      <w:bookmarkStart w:id="0" w:name="_GoBack"/>
      <w:bookmarkEnd w:id="0"/>
    </w:p>
    <w:p w:rsidR="008B4137" w:rsidRDefault="008B4137" w:rsidP="00076E70"/>
    <w:p w:rsidR="008B4137" w:rsidRDefault="008B4137">
      <w:pPr>
        <w:rPr>
          <w:rFonts w:cs="Arial"/>
          <w:szCs w:val="24"/>
        </w:rPr>
      </w:pPr>
    </w:p>
    <w:p w:rsidR="00076E70" w:rsidRDefault="00076E70">
      <w:pPr>
        <w:rPr>
          <w:rFonts w:cs="Arial"/>
          <w:szCs w:val="24"/>
        </w:rPr>
      </w:pPr>
    </w:p>
    <w:p w:rsidR="008B4137" w:rsidRDefault="00202840" w:rsidP="006D7A3B">
      <w:pPr>
        <w:tabs>
          <w:tab w:val="left" w:pos="2098"/>
          <w:tab w:val="left" w:pos="4933"/>
        </w:tabs>
        <w:rPr>
          <w:rFonts w:cs="Arial"/>
          <w:szCs w:val="24"/>
        </w:rPr>
      </w:pPr>
      <w:r>
        <w:rPr>
          <w:rFonts w:cs="Arial"/>
          <w:b/>
          <w:sz w:val="32"/>
          <w:szCs w:val="32"/>
        </w:rPr>
        <w:t>7189</w:t>
      </w:r>
      <w:r w:rsidR="008B4137" w:rsidRPr="008B4137">
        <w:rPr>
          <w:rFonts w:cs="Arial"/>
          <w:b/>
          <w:sz w:val="32"/>
          <w:szCs w:val="32"/>
        </w:rPr>
        <w:t xml:space="preserve"> R</w:t>
      </w:r>
      <w:r w:rsidR="008B4137" w:rsidRPr="008B4137">
        <w:rPr>
          <w:rFonts w:cs="Arial"/>
          <w:sz w:val="28"/>
          <w:szCs w:val="28"/>
        </w:rPr>
        <w:tab/>
      </w:r>
      <w:r>
        <w:rPr>
          <w:rFonts w:cs="Arial"/>
          <w:sz w:val="28"/>
          <w:szCs w:val="28"/>
        </w:rPr>
        <w:t>25 ottobre 2016</w:t>
      </w:r>
      <w:r w:rsidR="008B4137" w:rsidRPr="008B4137">
        <w:rPr>
          <w:rFonts w:cs="Arial"/>
          <w:sz w:val="28"/>
          <w:szCs w:val="28"/>
        </w:rPr>
        <w:tab/>
      </w:r>
      <w:r>
        <w:rPr>
          <w:rFonts w:cs="Arial"/>
          <w:sz w:val="28"/>
          <w:szCs w:val="28"/>
        </w:rPr>
        <w:t>FINANZE E ECONOMIA</w:t>
      </w:r>
    </w:p>
    <w:p w:rsidR="008B4137" w:rsidRDefault="008B4137">
      <w:pPr>
        <w:rPr>
          <w:rFonts w:cs="Arial"/>
          <w:szCs w:val="24"/>
        </w:rPr>
      </w:pPr>
    </w:p>
    <w:p w:rsidR="008B4137" w:rsidRDefault="008B4137">
      <w:pPr>
        <w:rPr>
          <w:rFonts w:cs="Arial"/>
          <w:szCs w:val="24"/>
        </w:rPr>
      </w:pPr>
    </w:p>
    <w:p w:rsidR="008B4137" w:rsidRPr="008B4137" w:rsidRDefault="008B4137">
      <w:pPr>
        <w:rPr>
          <w:rFonts w:cs="Arial"/>
          <w:b/>
          <w:sz w:val="28"/>
          <w:szCs w:val="28"/>
        </w:rPr>
      </w:pPr>
      <w:r w:rsidRPr="008B4137">
        <w:rPr>
          <w:rFonts w:cs="Arial"/>
          <w:b/>
          <w:sz w:val="28"/>
          <w:szCs w:val="28"/>
        </w:rPr>
        <w:t>della Commissione della gestione e delle finanze</w:t>
      </w:r>
    </w:p>
    <w:p w:rsidR="00202840" w:rsidRPr="00202840" w:rsidRDefault="00202840" w:rsidP="00202840">
      <w:pPr>
        <w:rPr>
          <w:rFonts w:cs="Arial"/>
          <w:b/>
          <w:sz w:val="28"/>
          <w:szCs w:val="28"/>
        </w:rPr>
      </w:pPr>
      <w:r w:rsidRPr="00202840">
        <w:rPr>
          <w:rFonts w:cs="Arial"/>
          <w:b/>
          <w:sz w:val="28"/>
          <w:szCs w:val="28"/>
        </w:rPr>
        <w:t>sul messaggio 4 maggio 2016 concernente l’approvazione del conto economico e del bila</w:t>
      </w:r>
      <w:r w:rsidR="004F297E">
        <w:rPr>
          <w:rFonts w:cs="Arial"/>
          <w:b/>
          <w:sz w:val="28"/>
          <w:szCs w:val="28"/>
        </w:rPr>
        <w:t>ncio al 31 dicembre 2015 della B</w:t>
      </w:r>
      <w:r w:rsidRPr="00202840">
        <w:rPr>
          <w:rFonts w:cs="Arial"/>
          <w:b/>
          <w:sz w:val="28"/>
          <w:szCs w:val="28"/>
        </w:rPr>
        <w:t>anca dello Stato del Cantone Ticino</w:t>
      </w:r>
    </w:p>
    <w:p w:rsidR="00202840" w:rsidRPr="007863ED" w:rsidRDefault="00202840" w:rsidP="00202840">
      <w:pPr>
        <w:rPr>
          <w:rFonts w:cs="Arial"/>
          <w:b/>
        </w:rPr>
      </w:pPr>
    </w:p>
    <w:p w:rsidR="00202840" w:rsidRPr="007863ED" w:rsidRDefault="00202840" w:rsidP="00202840">
      <w:pPr>
        <w:rPr>
          <w:rFonts w:cs="Arial"/>
          <w:b/>
        </w:rPr>
      </w:pPr>
      <w:r w:rsidRPr="007863ED">
        <w:rPr>
          <w:rFonts w:cs="Arial"/>
          <w:b/>
        </w:rPr>
        <w:t>Allegato: Rapporto della Commissione del controllo del mandato pubblico della Banca dello Stato all’attenzione del Gran consiglio sul grado di raggiungimento degli obiettivi di mandato pubblico della Banca</w:t>
      </w:r>
    </w:p>
    <w:p w:rsidR="008B4137" w:rsidRDefault="008B4137">
      <w:pPr>
        <w:rPr>
          <w:rFonts w:cs="Arial"/>
          <w:szCs w:val="24"/>
        </w:rPr>
      </w:pPr>
    </w:p>
    <w:p w:rsidR="008B4137" w:rsidRDefault="008B4137">
      <w:pPr>
        <w:rPr>
          <w:rFonts w:cs="Arial"/>
          <w:szCs w:val="24"/>
        </w:rPr>
      </w:pPr>
    </w:p>
    <w:p w:rsidR="008B4137" w:rsidRDefault="008B4137">
      <w:pPr>
        <w:rPr>
          <w:rFonts w:cs="Arial"/>
          <w:szCs w:val="24"/>
        </w:rPr>
      </w:pPr>
    </w:p>
    <w:p w:rsidR="001D6F48" w:rsidRPr="007863ED" w:rsidRDefault="001D6F48" w:rsidP="00D21A21">
      <w:pPr>
        <w:rPr>
          <w:rFonts w:cs="Arial"/>
          <w:b/>
        </w:rPr>
      </w:pPr>
      <w:r w:rsidRPr="007863ED">
        <w:rPr>
          <w:rFonts w:cs="Arial"/>
          <w:b/>
        </w:rPr>
        <w:t>INDICE</w:t>
      </w:r>
    </w:p>
    <w:p w:rsidR="001D6F48" w:rsidRPr="00D21A21" w:rsidRDefault="001D6F48" w:rsidP="001D6F48">
      <w:pPr>
        <w:rPr>
          <w:rFonts w:cs="Arial"/>
        </w:rPr>
      </w:pPr>
    </w:p>
    <w:p w:rsidR="00D21A21" w:rsidRPr="00D21A21" w:rsidRDefault="00D21A21" w:rsidP="00D21A21">
      <w:pPr>
        <w:pStyle w:val="Sommario1"/>
        <w:tabs>
          <w:tab w:val="clear" w:pos="660"/>
          <w:tab w:val="left" w:pos="709"/>
        </w:tabs>
        <w:rPr>
          <w:rFonts w:asciiTheme="minorHAnsi" w:eastAsiaTheme="minorEastAsia" w:hAnsiTheme="minorHAnsi" w:cstheme="minorBidi"/>
          <w:lang w:val="it-CH" w:eastAsia="it-CH"/>
        </w:rPr>
      </w:pPr>
      <w:r w:rsidRPr="00D21A21">
        <w:rPr>
          <w:rFonts w:cs="Arial"/>
        </w:rPr>
        <w:fldChar w:fldCharType="begin"/>
      </w:r>
      <w:r w:rsidRPr="00D21A21">
        <w:rPr>
          <w:rFonts w:cs="Arial"/>
        </w:rPr>
        <w:instrText xml:space="preserve"> TOC \o "1-3" \h \z \u </w:instrText>
      </w:r>
      <w:r w:rsidRPr="00D21A21">
        <w:rPr>
          <w:rFonts w:cs="Arial"/>
        </w:rPr>
        <w:fldChar w:fldCharType="separate"/>
      </w:r>
      <w:hyperlink w:anchor="_Toc465169028" w:history="1">
        <w:r w:rsidRPr="00D21A21">
          <w:rPr>
            <w:rStyle w:val="Collegamentoipertestuale"/>
          </w:rPr>
          <w:t>1.</w:t>
        </w:r>
        <w:r w:rsidRPr="00D21A21">
          <w:rPr>
            <w:rFonts w:asciiTheme="minorHAnsi" w:eastAsiaTheme="minorEastAsia" w:hAnsiTheme="minorHAnsi" w:cstheme="minorBidi"/>
            <w:lang w:val="it-CH" w:eastAsia="it-CH"/>
          </w:rPr>
          <w:tab/>
        </w:r>
        <w:r w:rsidRPr="00D21A21">
          <w:rPr>
            <w:rStyle w:val="Collegamentoipertestuale"/>
          </w:rPr>
          <w:t>INTRODUZIONE</w:t>
        </w:r>
        <w:r w:rsidRPr="00D21A21">
          <w:rPr>
            <w:webHidden/>
          </w:rPr>
          <w:tab/>
        </w:r>
        <w:r w:rsidRPr="00D21A21">
          <w:rPr>
            <w:webHidden/>
          </w:rPr>
          <w:fldChar w:fldCharType="begin"/>
        </w:r>
        <w:r w:rsidRPr="00D21A21">
          <w:rPr>
            <w:webHidden/>
          </w:rPr>
          <w:instrText xml:space="preserve"> PAGEREF _Toc465169028 \h </w:instrText>
        </w:r>
        <w:r w:rsidRPr="00D21A21">
          <w:rPr>
            <w:webHidden/>
          </w:rPr>
        </w:r>
        <w:r w:rsidRPr="00D21A21">
          <w:rPr>
            <w:webHidden/>
          </w:rPr>
          <w:fldChar w:fldCharType="separate"/>
        </w:r>
        <w:r w:rsidR="00F622EC">
          <w:rPr>
            <w:webHidden/>
          </w:rPr>
          <w:t>2</w:t>
        </w:r>
        <w:r w:rsidRPr="00D21A21">
          <w:rPr>
            <w:webHidden/>
          </w:rPr>
          <w:fldChar w:fldCharType="end"/>
        </w:r>
      </w:hyperlink>
    </w:p>
    <w:p w:rsidR="00D21A21" w:rsidRPr="00D21A21" w:rsidRDefault="00121494" w:rsidP="00D21A21">
      <w:pPr>
        <w:pStyle w:val="Sommario1"/>
        <w:tabs>
          <w:tab w:val="clear" w:pos="660"/>
          <w:tab w:val="left" w:pos="709"/>
        </w:tabs>
        <w:rPr>
          <w:rFonts w:asciiTheme="minorHAnsi" w:eastAsiaTheme="minorEastAsia" w:hAnsiTheme="minorHAnsi" w:cstheme="minorBidi"/>
          <w:lang w:val="it-CH" w:eastAsia="it-CH"/>
        </w:rPr>
      </w:pPr>
      <w:hyperlink w:anchor="_Toc465169029" w:history="1">
        <w:r w:rsidR="00D21A21" w:rsidRPr="00D21A21">
          <w:rPr>
            <w:rStyle w:val="Collegamentoipertestuale"/>
          </w:rPr>
          <w:t>2.</w:t>
        </w:r>
        <w:r w:rsidR="00D21A21" w:rsidRPr="00D21A21">
          <w:rPr>
            <w:rFonts w:asciiTheme="minorHAnsi" w:eastAsiaTheme="minorEastAsia" w:hAnsiTheme="minorHAnsi" w:cstheme="minorBidi"/>
            <w:lang w:val="it-CH" w:eastAsia="it-CH"/>
          </w:rPr>
          <w:tab/>
        </w:r>
        <w:r w:rsidR="00D21A21" w:rsidRPr="00D21A21">
          <w:rPr>
            <w:rStyle w:val="Collegamentoipertestuale"/>
          </w:rPr>
          <w:t>I RISULTATI</w:t>
        </w:r>
        <w:r w:rsidR="00D21A21" w:rsidRPr="00D21A21">
          <w:rPr>
            <w:webHidden/>
          </w:rPr>
          <w:tab/>
        </w:r>
        <w:r w:rsidR="00D21A21" w:rsidRPr="00D21A21">
          <w:rPr>
            <w:webHidden/>
          </w:rPr>
          <w:fldChar w:fldCharType="begin"/>
        </w:r>
        <w:r w:rsidR="00D21A21" w:rsidRPr="00D21A21">
          <w:rPr>
            <w:webHidden/>
          </w:rPr>
          <w:instrText xml:space="preserve"> PAGEREF _Toc465169029 \h </w:instrText>
        </w:r>
        <w:r w:rsidR="00D21A21" w:rsidRPr="00D21A21">
          <w:rPr>
            <w:webHidden/>
          </w:rPr>
        </w:r>
        <w:r w:rsidR="00D21A21" w:rsidRPr="00D21A21">
          <w:rPr>
            <w:webHidden/>
          </w:rPr>
          <w:fldChar w:fldCharType="separate"/>
        </w:r>
        <w:r w:rsidR="00F622EC">
          <w:rPr>
            <w:webHidden/>
          </w:rPr>
          <w:t>2</w:t>
        </w:r>
        <w:r w:rsidR="00D21A21" w:rsidRPr="00D21A21">
          <w:rPr>
            <w:webHidden/>
          </w:rPr>
          <w:fldChar w:fldCharType="end"/>
        </w:r>
      </w:hyperlink>
    </w:p>
    <w:p w:rsidR="00D21A21" w:rsidRPr="00D21A21" w:rsidRDefault="00121494" w:rsidP="00D21A21">
      <w:pPr>
        <w:pStyle w:val="Sommario2"/>
        <w:tabs>
          <w:tab w:val="left" w:pos="709"/>
          <w:tab w:val="right" w:leader="dot" w:pos="9628"/>
        </w:tabs>
        <w:spacing w:before="120"/>
        <w:rPr>
          <w:rFonts w:asciiTheme="minorHAnsi" w:eastAsiaTheme="minorEastAsia" w:hAnsiTheme="minorHAnsi" w:cstheme="minorBidi"/>
          <w:noProof/>
          <w:sz w:val="22"/>
          <w:szCs w:val="22"/>
          <w:lang w:val="it-CH" w:eastAsia="it-CH"/>
        </w:rPr>
      </w:pPr>
      <w:hyperlink w:anchor="_Toc465169030" w:history="1">
        <w:r w:rsidR="00D21A21" w:rsidRPr="00D21A21">
          <w:rPr>
            <w:rStyle w:val="Collegamentoipertestuale"/>
            <w:noProof/>
            <w:sz w:val="22"/>
            <w:szCs w:val="22"/>
          </w:rPr>
          <w:t>2.1</w:t>
        </w:r>
        <w:r w:rsidR="00D21A21" w:rsidRPr="00D21A21">
          <w:rPr>
            <w:rFonts w:asciiTheme="minorHAnsi" w:eastAsiaTheme="minorEastAsia" w:hAnsiTheme="minorHAnsi" w:cstheme="minorBidi"/>
            <w:noProof/>
            <w:sz w:val="22"/>
            <w:szCs w:val="22"/>
            <w:lang w:val="it-CH" w:eastAsia="it-CH"/>
          </w:rPr>
          <w:tab/>
        </w:r>
        <w:r w:rsidR="00D21A21" w:rsidRPr="00D21A21">
          <w:rPr>
            <w:rStyle w:val="Collegamentoipertestuale"/>
            <w:noProof/>
            <w:sz w:val="22"/>
            <w:szCs w:val="22"/>
          </w:rPr>
          <w:t>In generale</w:t>
        </w:r>
        <w:r w:rsidR="00D21A21" w:rsidRPr="00D21A21">
          <w:rPr>
            <w:noProof/>
            <w:webHidden/>
            <w:sz w:val="22"/>
            <w:szCs w:val="22"/>
          </w:rPr>
          <w:tab/>
        </w:r>
        <w:r w:rsidR="00D21A21" w:rsidRPr="00D21A21">
          <w:rPr>
            <w:noProof/>
            <w:webHidden/>
            <w:sz w:val="22"/>
            <w:szCs w:val="22"/>
          </w:rPr>
          <w:fldChar w:fldCharType="begin"/>
        </w:r>
        <w:r w:rsidR="00D21A21" w:rsidRPr="00D21A21">
          <w:rPr>
            <w:noProof/>
            <w:webHidden/>
            <w:sz w:val="22"/>
            <w:szCs w:val="22"/>
          </w:rPr>
          <w:instrText xml:space="preserve"> PAGEREF _Toc465169030 \h </w:instrText>
        </w:r>
        <w:r w:rsidR="00D21A21" w:rsidRPr="00D21A21">
          <w:rPr>
            <w:noProof/>
            <w:webHidden/>
            <w:sz w:val="22"/>
            <w:szCs w:val="22"/>
          </w:rPr>
        </w:r>
        <w:r w:rsidR="00D21A21" w:rsidRPr="00D21A21">
          <w:rPr>
            <w:noProof/>
            <w:webHidden/>
            <w:sz w:val="22"/>
            <w:szCs w:val="22"/>
          </w:rPr>
          <w:fldChar w:fldCharType="separate"/>
        </w:r>
        <w:r w:rsidR="00F622EC">
          <w:rPr>
            <w:noProof/>
            <w:webHidden/>
            <w:sz w:val="22"/>
            <w:szCs w:val="22"/>
          </w:rPr>
          <w:t>2</w:t>
        </w:r>
        <w:r w:rsidR="00D21A21" w:rsidRPr="00D21A21">
          <w:rPr>
            <w:noProof/>
            <w:webHidden/>
            <w:sz w:val="22"/>
            <w:szCs w:val="22"/>
          </w:rPr>
          <w:fldChar w:fldCharType="end"/>
        </w:r>
      </w:hyperlink>
    </w:p>
    <w:p w:rsidR="00D21A21" w:rsidRPr="00D21A21" w:rsidRDefault="00121494" w:rsidP="00D21A21">
      <w:pPr>
        <w:pStyle w:val="Sommario2"/>
        <w:tabs>
          <w:tab w:val="left" w:pos="709"/>
          <w:tab w:val="right" w:leader="dot" w:pos="9628"/>
        </w:tabs>
        <w:spacing w:before="120"/>
        <w:rPr>
          <w:rFonts w:asciiTheme="minorHAnsi" w:eastAsiaTheme="minorEastAsia" w:hAnsiTheme="minorHAnsi" w:cstheme="minorBidi"/>
          <w:noProof/>
          <w:sz w:val="22"/>
          <w:szCs w:val="22"/>
          <w:lang w:val="it-CH" w:eastAsia="it-CH"/>
        </w:rPr>
      </w:pPr>
      <w:hyperlink w:anchor="_Toc465169031" w:history="1">
        <w:r w:rsidR="00D21A21" w:rsidRPr="00D21A21">
          <w:rPr>
            <w:rStyle w:val="Collegamentoipertestuale"/>
            <w:noProof/>
            <w:sz w:val="22"/>
            <w:szCs w:val="22"/>
          </w:rPr>
          <w:t>2.2</w:t>
        </w:r>
        <w:r w:rsidR="00D21A21" w:rsidRPr="00D21A21">
          <w:rPr>
            <w:rFonts w:asciiTheme="minorHAnsi" w:eastAsiaTheme="minorEastAsia" w:hAnsiTheme="minorHAnsi" w:cstheme="minorBidi"/>
            <w:noProof/>
            <w:sz w:val="22"/>
            <w:szCs w:val="22"/>
            <w:lang w:val="it-CH" w:eastAsia="it-CH"/>
          </w:rPr>
          <w:tab/>
        </w:r>
        <w:r w:rsidR="00D21A21" w:rsidRPr="00D21A21">
          <w:rPr>
            <w:rStyle w:val="Collegamentoipertestuale"/>
            <w:noProof/>
            <w:sz w:val="22"/>
            <w:szCs w:val="22"/>
          </w:rPr>
          <w:t>Dati e indicatori quantitativi</w:t>
        </w:r>
        <w:r w:rsidR="00D21A21" w:rsidRPr="00D21A21">
          <w:rPr>
            <w:noProof/>
            <w:webHidden/>
            <w:sz w:val="22"/>
            <w:szCs w:val="22"/>
          </w:rPr>
          <w:tab/>
        </w:r>
        <w:r w:rsidR="00D21A21" w:rsidRPr="00D21A21">
          <w:rPr>
            <w:noProof/>
            <w:webHidden/>
            <w:sz w:val="22"/>
            <w:szCs w:val="22"/>
          </w:rPr>
          <w:fldChar w:fldCharType="begin"/>
        </w:r>
        <w:r w:rsidR="00D21A21" w:rsidRPr="00D21A21">
          <w:rPr>
            <w:noProof/>
            <w:webHidden/>
            <w:sz w:val="22"/>
            <w:szCs w:val="22"/>
          </w:rPr>
          <w:instrText xml:space="preserve"> PAGEREF _Toc465169031 \h </w:instrText>
        </w:r>
        <w:r w:rsidR="00D21A21" w:rsidRPr="00D21A21">
          <w:rPr>
            <w:noProof/>
            <w:webHidden/>
            <w:sz w:val="22"/>
            <w:szCs w:val="22"/>
          </w:rPr>
        </w:r>
        <w:r w:rsidR="00D21A21" w:rsidRPr="00D21A21">
          <w:rPr>
            <w:noProof/>
            <w:webHidden/>
            <w:sz w:val="22"/>
            <w:szCs w:val="22"/>
          </w:rPr>
          <w:fldChar w:fldCharType="separate"/>
        </w:r>
        <w:r w:rsidR="00F622EC">
          <w:rPr>
            <w:noProof/>
            <w:webHidden/>
            <w:sz w:val="22"/>
            <w:szCs w:val="22"/>
          </w:rPr>
          <w:t>2</w:t>
        </w:r>
        <w:r w:rsidR="00D21A21" w:rsidRPr="00D21A21">
          <w:rPr>
            <w:noProof/>
            <w:webHidden/>
            <w:sz w:val="22"/>
            <w:szCs w:val="22"/>
          </w:rPr>
          <w:fldChar w:fldCharType="end"/>
        </w:r>
      </w:hyperlink>
    </w:p>
    <w:p w:rsidR="00D21A21" w:rsidRPr="00D21A21" w:rsidRDefault="00121494" w:rsidP="00D21A21">
      <w:pPr>
        <w:pStyle w:val="Sommario2"/>
        <w:tabs>
          <w:tab w:val="left" w:pos="709"/>
          <w:tab w:val="right" w:leader="dot" w:pos="9628"/>
        </w:tabs>
        <w:spacing w:before="120"/>
        <w:rPr>
          <w:rFonts w:asciiTheme="minorHAnsi" w:eastAsiaTheme="minorEastAsia" w:hAnsiTheme="minorHAnsi" w:cstheme="minorBidi"/>
          <w:noProof/>
          <w:sz w:val="22"/>
          <w:szCs w:val="22"/>
          <w:lang w:val="it-CH" w:eastAsia="it-CH"/>
        </w:rPr>
      </w:pPr>
      <w:hyperlink w:anchor="_Toc465169032" w:history="1">
        <w:r w:rsidR="00D21A21">
          <w:rPr>
            <w:rStyle w:val="Collegamentoipertestuale"/>
            <w:noProof/>
            <w:sz w:val="22"/>
            <w:szCs w:val="22"/>
          </w:rPr>
          <w:t>2.3</w:t>
        </w:r>
        <w:r w:rsidR="00D21A21">
          <w:rPr>
            <w:rStyle w:val="Collegamentoipertestuale"/>
            <w:noProof/>
            <w:sz w:val="22"/>
            <w:szCs w:val="22"/>
          </w:rPr>
          <w:tab/>
        </w:r>
        <w:r w:rsidR="00D21A21" w:rsidRPr="00D21A21">
          <w:rPr>
            <w:rStyle w:val="Collegamentoipertestuale"/>
            <w:noProof/>
            <w:sz w:val="22"/>
            <w:szCs w:val="22"/>
          </w:rPr>
          <w:t>Indici finanziari</w:t>
        </w:r>
        <w:r w:rsidR="00D21A21" w:rsidRPr="00D21A21">
          <w:rPr>
            <w:noProof/>
            <w:webHidden/>
            <w:sz w:val="22"/>
            <w:szCs w:val="22"/>
          </w:rPr>
          <w:tab/>
        </w:r>
        <w:r w:rsidR="00D21A21" w:rsidRPr="00D21A21">
          <w:rPr>
            <w:noProof/>
            <w:webHidden/>
            <w:sz w:val="22"/>
            <w:szCs w:val="22"/>
          </w:rPr>
          <w:fldChar w:fldCharType="begin"/>
        </w:r>
        <w:r w:rsidR="00D21A21" w:rsidRPr="00D21A21">
          <w:rPr>
            <w:noProof/>
            <w:webHidden/>
            <w:sz w:val="22"/>
            <w:szCs w:val="22"/>
          </w:rPr>
          <w:instrText xml:space="preserve"> PAGEREF _Toc465169032 \h </w:instrText>
        </w:r>
        <w:r w:rsidR="00D21A21" w:rsidRPr="00D21A21">
          <w:rPr>
            <w:noProof/>
            <w:webHidden/>
            <w:sz w:val="22"/>
            <w:szCs w:val="22"/>
          </w:rPr>
        </w:r>
        <w:r w:rsidR="00D21A21" w:rsidRPr="00D21A21">
          <w:rPr>
            <w:noProof/>
            <w:webHidden/>
            <w:sz w:val="22"/>
            <w:szCs w:val="22"/>
          </w:rPr>
          <w:fldChar w:fldCharType="separate"/>
        </w:r>
        <w:r w:rsidR="00F622EC">
          <w:rPr>
            <w:noProof/>
            <w:webHidden/>
            <w:sz w:val="22"/>
            <w:szCs w:val="22"/>
          </w:rPr>
          <w:t>3</w:t>
        </w:r>
        <w:r w:rsidR="00D21A21" w:rsidRPr="00D21A21">
          <w:rPr>
            <w:noProof/>
            <w:webHidden/>
            <w:sz w:val="22"/>
            <w:szCs w:val="22"/>
          </w:rPr>
          <w:fldChar w:fldCharType="end"/>
        </w:r>
      </w:hyperlink>
    </w:p>
    <w:p w:rsidR="00D21A21" w:rsidRPr="00D21A21" w:rsidRDefault="00121494" w:rsidP="00D21A21">
      <w:pPr>
        <w:pStyle w:val="Sommario2"/>
        <w:tabs>
          <w:tab w:val="left" w:pos="709"/>
          <w:tab w:val="right" w:leader="dot" w:pos="9628"/>
        </w:tabs>
        <w:spacing w:before="120"/>
        <w:rPr>
          <w:rFonts w:asciiTheme="minorHAnsi" w:eastAsiaTheme="minorEastAsia" w:hAnsiTheme="minorHAnsi" w:cstheme="minorBidi"/>
          <w:noProof/>
          <w:sz w:val="22"/>
          <w:szCs w:val="22"/>
          <w:lang w:val="it-CH" w:eastAsia="it-CH"/>
        </w:rPr>
      </w:pPr>
      <w:hyperlink w:anchor="_Toc465169033" w:history="1">
        <w:r w:rsidR="00D21A21" w:rsidRPr="00D21A21">
          <w:rPr>
            <w:rStyle w:val="Collegamentoipertestuale"/>
            <w:noProof/>
            <w:sz w:val="22"/>
            <w:szCs w:val="22"/>
          </w:rPr>
          <w:t>2.4</w:t>
        </w:r>
        <w:r w:rsidR="00D21A21" w:rsidRPr="00D21A21">
          <w:rPr>
            <w:rFonts w:asciiTheme="minorHAnsi" w:eastAsiaTheme="minorEastAsia" w:hAnsiTheme="minorHAnsi" w:cstheme="minorBidi"/>
            <w:noProof/>
            <w:sz w:val="22"/>
            <w:szCs w:val="22"/>
            <w:lang w:val="it-CH" w:eastAsia="it-CH"/>
          </w:rPr>
          <w:tab/>
        </w:r>
        <w:r w:rsidR="00D21A21" w:rsidRPr="00D21A21">
          <w:rPr>
            <w:rStyle w:val="Collegamentoipertestuale"/>
            <w:noProof/>
            <w:sz w:val="22"/>
            <w:szCs w:val="22"/>
          </w:rPr>
          <w:t>Evoluzione</w:t>
        </w:r>
        <w:r w:rsidR="00D21A21" w:rsidRPr="00D21A21">
          <w:rPr>
            <w:noProof/>
            <w:webHidden/>
            <w:sz w:val="22"/>
            <w:szCs w:val="22"/>
          </w:rPr>
          <w:tab/>
        </w:r>
        <w:r w:rsidR="00D21A21" w:rsidRPr="00D21A21">
          <w:rPr>
            <w:noProof/>
            <w:webHidden/>
            <w:sz w:val="22"/>
            <w:szCs w:val="22"/>
          </w:rPr>
          <w:fldChar w:fldCharType="begin"/>
        </w:r>
        <w:r w:rsidR="00D21A21" w:rsidRPr="00D21A21">
          <w:rPr>
            <w:noProof/>
            <w:webHidden/>
            <w:sz w:val="22"/>
            <w:szCs w:val="22"/>
          </w:rPr>
          <w:instrText xml:space="preserve"> PAGEREF _Toc465169033 \h </w:instrText>
        </w:r>
        <w:r w:rsidR="00D21A21" w:rsidRPr="00D21A21">
          <w:rPr>
            <w:noProof/>
            <w:webHidden/>
            <w:sz w:val="22"/>
            <w:szCs w:val="22"/>
          </w:rPr>
        </w:r>
        <w:r w:rsidR="00D21A21" w:rsidRPr="00D21A21">
          <w:rPr>
            <w:noProof/>
            <w:webHidden/>
            <w:sz w:val="22"/>
            <w:szCs w:val="22"/>
          </w:rPr>
          <w:fldChar w:fldCharType="separate"/>
        </w:r>
        <w:r w:rsidR="00F622EC">
          <w:rPr>
            <w:noProof/>
            <w:webHidden/>
            <w:sz w:val="22"/>
            <w:szCs w:val="22"/>
          </w:rPr>
          <w:t>4</w:t>
        </w:r>
        <w:r w:rsidR="00D21A21" w:rsidRPr="00D21A21">
          <w:rPr>
            <w:noProof/>
            <w:webHidden/>
            <w:sz w:val="22"/>
            <w:szCs w:val="22"/>
          </w:rPr>
          <w:fldChar w:fldCharType="end"/>
        </w:r>
      </w:hyperlink>
    </w:p>
    <w:p w:rsidR="00D21A21" w:rsidRPr="00D21A21" w:rsidRDefault="00121494" w:rsidP="00D21A21">
      <w:pPr>
        <w:pStyle w:val="Sommario1"/>
        <w:tabs>
          <w:tab w:val="clear" w:pos="660"/>
          <w:tab w:val="left" w:pos="709"/>
        </w:tabs>
        <w:rPr>
          <w:rFonts w:asciiTheme="minorHAnsi" w:eastAsiaTheme="minorEastAsia" w:hAnsiTheme="minorHAnsi" w:cstheme="minorBidi"/>
          <w:lang w:val="it-CH" w:eastAsia="it-CH"/>
        </w:rPr>
      </w:pPr>
      <w:hyperlink w:anchor="_Toc465169034" w:history="1">
        <w:r w:rsidR="00D21A21" w:rsidRPr="00D21A21">
          <w:rPr>
            <w:rStyle w:val="Collegamentoipertestuale"/>
          </w:rPr>
          <w:t>3.</w:t>
        </w:r>
        <w:r w:rsidR="00D21A21" w:rsidRPr="00D21A21">
          <w:rPr>
            <w:rFonts w:asciiTheme="minorHAnsi" w:eastAsiaTheme="minorEastAsia" w:hAnsiTheme="minorHAnsi" w:cstheme="minorBidi"/>
            <w:lang w:val="it-CH" w:eastAsia="it-CH"/>
          </w:rPr>
          <w:tab/>
        </w:r>
        <w:r w:rsidR="00D21A21" w:rsidRPr="00D21A21">
          <w:rPr>
            <w:rStyle w:val="Collegamentoipertestuale"/>
          </w:rPr>
          <w:t>SUCCESSI E CRITICHE</w:t>
        </w:r>
        <w:r w:rsidR="00D21A21" w:rsidRPr="00D21A21">
          <w:rPr>
            <w:webHidden/>
          </w:rPr>
          <w:tab/>
        </w:r>
        <w:r w:rsidR="00D21A21" w:rsidRPr="00D21A21">
          <w:rPr>
            <w:webHidden/>
          </w:rPr>
          <w:fldChar w:fldCharType="begin"/>
        </w:r>
        <w:r w:rsidR="00D21A21" w:rsidRPr="00D21A21">
          <w:rPr>
            <w:webHidden/>
          </w:rPr>
          <w:instrText xml:space="preserve"> PAGEREF _Toc465169034 \h </w:instrText>
        </w:r>
        <w:r w:rsidR="00D21A21" w:rsidRPr="00D21A21">
          <w:rPr>
            <w:webHidden/>
          </w:rPr>
        </w:r>
        <w:r w:rsidR="00D21A21" w:rsidRPr="00D21A21">
          <w:rPr>
            <w:webHidden/>
          </w:rPr>
          <w:fldChar w:fldCharType="separate"/>
        </w:r>
        <w:r w:rsidR="00F622EC">
          <w:rPr>
            <w:webHidden/>
          </w:rPr>
          <w:t>4</w:t>
        </w:r>
        <w:r w:rsidR="00D21A21" w:rsidRPr="00D21A21">
          <w:rPr>
            <w:webHidden/>
          </w:rPr>
          <w:fldChar w:fldCharType="end"/>
        </w:r>
      </w:hyperlink>
    </w:p>
    <w:p w:rsidR="00D21A21" w:rsidRPr="00D21A21" w:rsidRDefault="00121494" w:rsidP="00D21A21">
      <w:pPr>
        <w:pStyle w:val="Sommario2"/>
        <w:tabs>
          <w:tab w:val="left" w:pos="709"/>
          <w:tab w:val="right" w:leader="dot" w:pos="9628"/>
        </w:tabs>
        <w:spacing w:before="120"/>
        <w:rPr>
          <w:rFonts w:asciiTheme="minorHAnsi" w:eastAsiaTheme="minorEastAsia" w:hAnsiTheme="minorHAnsi" w:cstheme="minorBidi"/>
          <w:noProof/>
          <w:sz w:val="22"/>
          <w:szCs w:val="22"/>
          <w:lang w:val="it-CH" w:eastAsia="it-CH"/>
        </w:rPr>
      </w:pPr>
      <w:hyperlink w:anchor="_Toc465169035" w:history="1">
        <w:r w:rsidR="00D21A21" w:rsidRPr="00D21A21">
          <w:rPr>
            <w:rStyle w:val="Collegamentoipertestuale"/>
            <w:noProof/>
            <w:sz w:val="22"/>
            <w:szCs w:val="22"/>
          </w:rPr>
          <w:t>3.1</w:t>
        </w:r>
        <w:r w:rsidR="00D21A21" w:rsidRPr="00D21A21">
          <w:rPr>
            <w:rFonts w:asciiTheme="minorHAnsi" w:eastAsiaTheme="minorEastAsia" w:hAnsiTheme="minorHAnsi" w:cstheme="minorBidi"/>
            <w:noProof/>
            <w:sz w:val="22"/>
            <w:szCs w:val="22"/>
            <w:lang w:val="it-CH" w:eastAsia="it-CH"/>
          </w:rPr>
          <w:tab/>
        </w:r>
        <w:r w:rsidR="00D21A21" w:rsidRPr="00D21A21">
          <w:rPr>
            <w:rStyle w:val="Collegamentoipertestuale"/>
            <w:noProof/>
            <w:sz w:val="22"/>
            <w:szCs w:val="22"/>
          </w:rPr>
          <w:t>Elementi di successo</w:t>
        </w:r>
        <w:r w:rsidR="00D21A21" w:rsidRPr="00D21A21">
          <w:rPr>
            <w:noProof/>
            <w:webHidden/>
            <w:sz w:val="22"/>
            <w:szCs w:val="22"/>
          </w:rPr>
          <w:tab/>
        </w:r>
        <w:r w:rsidR="00D21A21" w:rsidRPr="00D21A21">
          <w:rPr>
            <w:noProof/>
            <w:webHidden/>
            <w:sz w:val="22"/>
            <w:szCs w:val="22"/>
          </w:rPr>
          <w:fldChar w:fldCharType="begin"/>
        </w:r>
        <w:r w:rsidR="00D21A21" w:rsidRPr="00D21A21">
          <w:rPr>
            <w:noProof/>
            <w:webHidden/>
            <w:sz w:val="22"/>
            <w:szCs w:val="22"/>
          </w:rPr>
          <w:instrText xml:space="preserve"> PAGEREF _Toc465169035 \h </w:instrText>
        </w:r>
        <w:r w:rsidR="00D21A21" w:rsidRPr="00D21A21">
          <w:rPr>
            <w:noProof/>
            <w:webHidden/>
            <w:sz w:val="22"/>
            <w:szCs w:val="22"/>
          </w:rPr>
        </w:r>
        <w:r w:rsidR="00D21A21" w:rsidRPr="00D21A21">
          <w:rPr>
            <w:noProof/>
            <w:webHidden/>
            <w:sz w:val="22"/>
            <w:szCs w:val="22"/>
          </w:rPr>
          <w:fldChar w:fldCharType="separate"/>
        </w:r>
        <w:r w:rsidR="00F622EC">
          <w:rPr>
            <w:noProof/>
            <w:webHidden/>
            <w:sz w:val="22"/>
            <w:szCs w:val="22"/>
          </w:rPr>
          <w:t>4</w:t>
        </w:r>
        <w:r w:rsidR="00D21A21" w:rsidRPr="00D21A21">
          <w:rPr>
            <w:noProof/>
            <w:webHidden/>
            <w:sz w:val="22"/>
            <w:szCs w:val="22"/>
          </w:rPr>
          <w:fldChar w:fldCharType="end"/>
        </w:r>
      </w:hyperlink>
    </w:p>
    <w:p w:rsidR="00D21A21" w:rsidRPr="00D21A21" w:rsidRDefault="00121494" w:rsidP="00D21A21">
      <w:pPr>
        <w:pStyle w:val="Sommario2"/>
        <w:tabs>
          <w:tab w:val="left" w:pos="709"/>
          <w:tab w:val="right" w:leader="dot" w:pos="9628"/>
        </w:tabs>
        <w:spacing w:before="120"/>
        <w:rPr>
          <w:rFonts w:asciiTheme="minorHAnsi" w:eastAsiaTheme="minorEastAsia" w:hAnsiTheme="minorHAnsi" w:cstheme="minorBidi"/>
          <w:noProof/>
          <w:sz w:val="22"/>
          <w:szCs w:val="22"/>
          <w:lang w:val="it-CH" w:eastAsia="it-CH"/>
        </w:rPr>
      </w:pPr>
      <w:hyperlink w:anchor="_Toc465169036" w:history="1">
        <w:r w:rsidR="00D21A21" w:rsidRPr="00D21A21">
          <w:rPr>
            <w:rStyle w:val="Collegamentoipertestuale"/>
            <w:noProof/>
            <w:sz w:val="22"/>
            <w:szCs w:val="22"/>
          </w:rPr>
          <w:t>3.2</w:t>
        </w:r>
        <w:r w:rsidR="00D21A21" w:rsidRPr="00D21A21">
          <w:rPr>
            <w:rFonts w:asciiTheme="minorHAnsi" w:eastAsiaTheme="minorEastAsia" w:hAnsiTheme="minorHAnsi" w:cstheme="minorBidi"/>
            <w:noProof/>
            <w:sz w:val="22"/>
            <w:szCs w:val="22"/>
            <w:lang w:val="it-CH" w:eastAsia="it-CH"/>
          </w:rPr>
          <w:tab/>
        </w:r>
        <w:r w:rsidR="00D21A21" w:rsidRPr="00D21A21">
          <w:rPr>
            <w:rStyle w:val="Collegamentoipertestuale"/>
            <w:noProof/>
            <w:sz w:val="22"/>
            <w:szCs w:val="22"/>
          </w:rPr>
          <w:t>Personale</w:t>
        </w:r>
        <w:r w:rsidR="00D21A21" w:rsidRPr="00D21A21">
          <w:rPr>
            <w:noProof/>
            <w:webHidden/>
            <w:sz w:val="22"/>
            <w:szCs w:val="22"/>
          </w:rPr>
          <w:tab/>
        </w:r>
        <w:r w:rsidR="00D21A21" w:rsidRPr="00D21A21">
          <w:rPr>
            <w:noProof/>
            <w:webHidden/>
            <w:sz w:val="22"/>
            <w:szCs w:val="22"/>
          </w:rPr>
          <w:fldChar w:fldCharType="begin"/>
        </w:r>
        <w:r w:rsidR="00D21A21" w:rsidRPr="00D21A21">
          <w:rPr>
            <w:noProof/>
            <w:webHidden/>
            <w:sz w:val="22"/>
            <w:szCs w:val="22"/>
          </w:rPr>
          <w:instrText xml:space="preserve"> PAGEREF _Toc465169036 \h </w:instrText>
        </w:r>
        <w:r w:rsidR="00D21A21" w:rsidRPr="00D21A21">
          <w:rPr>
            <w:noProof/>
            <w:webHidden/>
            <w:sz w:val="22"/>
            <w:szCs w:val="22"/>
          </w:rPr>
        </w:r>
        <w:r w:rsidR="00D21A21" w:rsidRPr="00D21A21">
          <w:rPr>
            <w:noProof/>
            <w:webHidden/>
            <w:sz w:val="22"/>
            <w:szCs w:val="22"/>
          </w:rPr>
          <w:fldChar w:fldCharType="separate"/>
        </w:r>
        <w:r w:rsidR="00F622EC">
          <w:rPr>
            <w:noProof/>
            <w:webHidden/>
            <w:sz w:val="22"/>
            <w:szCs w:val="22"/>
          </w:rPr>
          <w:t>5</w:t>
        </w:r>
        <w:r w:rsidR="00D21A21" w:rsidRPr="00D21A21">
          <w:rPr>
            <w:noProof/>
            <w:webHidden/>
            <w:sz w:val="22"/>
            <w:szCs w:val="22"/>
          </w:rPr>
          <w:fldChar w:fldCharType="end"/>
        </w:r>
      </w:hyperlink>
    </w:p>
    <w:p w:rsidR="00D21A21" w:rsidRPr="00D21A21" w:rsidRDefault="00121494" w:rsidP="00D21A21">
      <w:pPr>
        <w:pStyle w:val="Sommario2"/>
        <w:tabs>
          <w:tab w:val="left" w:pos="709"/>
          <w:tab w:val="right" w:leader="dot" w:pos="9628"/>
        </w:tabs>
        <w:spacing w:before="120"/>
        <w:rPr>
          <w:rFonts w:asciiTheme="minorHAnsi" w:eastAsiaTheme="minorEastAsia" w:hAnsiTheme="minorHAnsi" w:cstheme="minorBidi"/>
          <w:noProof/>
          <w:sz w:val="22"/>
          <w:szCs w:val="22"/>
          <w:lang w:val="it-CH" w:eastAsia="it-CH"/>
        </w:rPr>
      </w:pPr>
      <w:hyperlink w:anchor="_Toc465169037" w:history="1">
        <w:r w:rsidR="00D21A21" w:rsidRPr="00D21A21">
          <w:rPr>
            <w:rStyle w:val="Collegamentoipertestuale"/>
            <w:noProof/>
            <w:sz w:val="22"/>
            <w:szCs w:val="22"/>
          </w:rPr>
          <w:t>3.3</w:t>
        </w:r>
        <w:r w:rsidR="00D21A21" w:rsidRPr="00D21A21">
          <w:rPr>
            <w:rFonts w:asciiTheme="minorHAnsi" w:eastAsiaTheme="minorEastAsia" w:hAnsiTheme="minorHAnsi" w:cstheme="minorBidi"/>
            <w:noProof/>
            <w:sz w:val="22"/>
            <w:szCs w:val="22"/>
            <w:lang w:val="it-CH" w:eastAsia="it-CH"/>
          </w:rPr>
          <w:tab/>
        </w:r>
        <w:r w:rsidR="00D21A21" w:rsidRPr="00D21A21">
          <w:rPr>
            <w:rStyle w:val="Collegamentoipertestuale"/>
            <w:noProof/>
            <w:sz w:val="22"/>
            <w:szCs w:val="22"/>
          </w:rPr>
          <w:t>Aspetti critici</w:t>
        </w:r>
        <w:r w:rsidR="00D21A21" w:rsidRPr="00D21A21">
          <w:rPr>
            <w:noProof/>
            <w:webHidden/>
            <w:sz w:val="22"/>
            <w:szCs w:val="22"/>
          </w:rPr>
          <w:tab/>
        </w:r>
        <w:r w:rsidR="00D21A21" w:rsidRPr="00D21A21">
          <w:rPr>
            <w:noProof/>
            <w:webHidden/>
            <w:sz w:val="22"/>
            <w:szCs w:val="22"/>
          </w:rPr>
          <w:fldChar w:fldCharType="begin"/>
        </w:r>
        <w:r w:rsidR="00D21A21" w:rsidRPr="00D21A21">
          <w:rPr>
            <w:noProof/>
            <w:webHidden/>
            <w:sz w:val="22"/>
            <w:szCs w:val="22"/>
          </w:rPr>
          <w:instrText xml:space="preserve"> PAGEREF _Toc465169037 \h </w:instrText>
        </w:r>
        <w:r w:rsidR="00D21A21" w:rsidRPr="00D21A21">
          <w:rPr>
            <w:noProof/>
            <w:webHidden/>
            <w:sz w:val="22"/>
            <w:szCs w:val="22"/>
          </w:rPr>
        </w:r>
        <w:r w:rsidR="00D21A21" w:rsidRPr="00D21A21">
          <w:rPr>
            <w:noProof/>
            <w:webHidden/>
            <w:sz w:val="22"/>
            <w:szCs w:val="22"/>
          </w:rPr>
          <w:fldChar w:fldCharType="separate"/>
        </w:r>
        <w:r w:rsidR="00F622EC">
          <w:rPr>
            <w:noProof/>
            <w:webHidden/>
            <w:sz w:val="22"/>
            <w:szCs w:val="22"/>
          </w:rPr>
          <w:t>5</w:t>
        </w:r>
        <w:r w:rsidR="00D21A21" w:rsidRPr="00D21A21">
          <w:rPr>
            <w:noProof/>
            <w:webHidden/>
            <w:sz w:val="22"/>
            <w:szCs w:val="22"/>
          </w:rPr>
          <w:fldChar w:fldCharType="end"/>
        </w:r>
      </w:hyperlink>
    </w:p>
    <w:p w:rsidR="00D21A21" w:rsidRPr="00D21A21" w:rsidRDefault="00121494" w:rsidP="00D21A21">
      <w:pPr>
        <w:pStyle w:val="Sommario3"/>
        <w:tabs>
          <w:tab w:val="left" w:pos="709"/>
          <w:tab w:val="left" w:pos="880"/>
          <w:tab w:val="right" w:leader="dot" w:pos="9628"/>
        </w:tabs>
        <w:spacing w:before="120"/>
        <w:rPr>
          <w:rFonts w:asciiTheme="minorHAnsi" w:eastAsiaTheme="minorEastAsia" w:hAnsiTheme="minorHAnsi" w:cstheme="minorBidi"/>
          <w:noProof/>
          <w:sz w:val="22"/>
          <w:szCs w:val="22"/>
          <w:lang w:val="it-CH" w:eastAsia="it-CH"/>
        </w:rPr>
      </w:pPr>
      <w:hyperlink w:anchor="_Toc465169038" w:history="1">
        <w:r w:rsidR="00D21A21" w:rsidRPr="00D21A21">
          <w:rPr>
            <w:rStyle w:val="Collegamentoipertestuale"/>
            <w:noProof/>
            <w:sz w:val="22"/>
            <w:szCs w:val="22"/>
          </w:rPr>
          <w:t>3.3.1</w:t>
        </w:r>
        <w:r w:rsidR="00D21A21" w:rsidRPr="00D21A21">
          <w:rPr>
            <w:rFonts w:asciiTheme="minorHAnsi" w:eastAsiaTheme="minorEastAsia" w:hAnsiTheme="minorHAnsi" w:cstheme="minorBidi"/>
            <w:noProof/>
            <w:sz w:val="22"/>
            <w:szCs w:val="22"/>
            <w:lang w:val="it-CH" w:eastAsia="it-CH"/>
          </w:rPr>
          <w:tab/>
        </w:r>
        <w:r w:rsidR="00D21A21" w:rsidRPr="00D21A21">
          <w:rPr>
            <w:rStyle w:val="Collegamentoipertestuale"/>
            <w:noProof/>
            <w:sz w:val="22"/>
            <w:szCs w:val="22"/>
          </w:rPr>
          <w:t>Crediti</w:t>
        </w:r>
        <w:r w:rsidR="00D21A21" w:rsidRPr="00D21A21">
          <w:rPr>
            <w:noProof/>
            <w:webHidden/>
            <w:sz w:val="22"/>
            <w:szCs w:val="22"/>
          </w:rPr>
          <w:tab/>
        </w:r>
        <w:r w:rsidR="00D21A21" w:rsidRPr="00D21A21">
          <w:rPr>
            <w:noProof/>
            <w:webHidden/>
            <w:sz w:val="22"/>
            <w:szCs w:val="22"/>
          </w:rPr>
          <w:fldChar w:fldCharType="begin"/>
        </w:r>
        <w:r w:rsidR="00D21A21" w:rsidRPr="00D21A21">
          <w:rPr>
            <w:noProof/>
            <w:webHidden/>
            <w:sz w:val="22"/>
            <w:szCs w:val="22"/>
          </w:rPr>
          <w:instrText xml:space="preserve"> PAGEREF _Toc465169038 \h </w:instrText>
        </w:r>
        <w:r w:rsidR="00D21A21" w:rsidRPr="00D21A21">
          <w:rPr>
            <w:noProof/>
            <w:webHidden/>
            <w:sz w:val="22"/>
            <w:szCs w:val="22"/>
          </w:rPr>
        </w:r>
        <w:r w:rsidR="00D21A21" w:rsidRPr="00D21A21">
          <w:rPr>
            <w:noProof/>
            <w:webHidden/>
            <w:sz w:val="22"/>
            <w:szCs w:val="22"/>
          </w:rPr>
          <w:fldChar w:fldCharType="separate"/>
        </w:r>
        <w:r w:rsidR="00F622EC">
          <w:rPr>
            <w:noProof/>
            <w:webHidden/>
            <w:sz w:val="22"/>
            <w:szCs w:val="22"/>
          </w:rPr>
          <w:t>5</w:t>
        </w:r>
        <w:r w:rsidR="00D21A21" w:rsidRPr="00D21A21">
          <w:rPr>
            <w:noProof/>
            <w:webHidden/>
            <w:sz w:val="22"/>
            <w:szCs w:val="22"/>
          </w:rPr>
          <w:fldChar w:fldCharType="end"/>
        </w:r>
      </w:hyperlink>
    </w:p>
    <w:p w:rsidR="00D21A21" w:rsidRPr="00D21A21" w:rsidRDefault="00121494" w:rsidP="00D21A21">
      <w:pPr>
        <w:pStyle w:val="Sommario3"/>
        <w:tabs>
          <w:tab w:val="left" w:pos="709"/>
          <w:tab w:val="left" w:pos="880"/>
          <w:tab w:val="right" w:leader="dot" w:pos="9628"/>
        </w:tabs>
        <w:spacing w:before="120"/>
        <w:rPr>
          <w:rFonts w:asciiTheme="minorHAnsi" w:eastAsiaTheme="minorEastAsia" w:hAnsiTheme="minorHAnsi" w:cstheme="minorBidi"/>
          <w:noProof/>
          <w:sz w:val="22"/>
          <w:szCs w:val="22"/>
          <w:lang w:val="it-CH" w:eastAsia="it-CH"/>
        </w:rPr>
      </w:pPr>
      <w:hyperlink w:anchor="_Toc465169039" w:history="1">
        <w:r w:rsidR="00D21A21" w:rsidRPr="00D21A21">
          <w:rPr>
            <w:rStyle w:val="Collegamentoipertestuale"/>
            <w:noProof/>
            <w:sz w:val="22"/>
            <w:szCs w:val="22"/>
          </w:rPr>
          <w:t>3.3.2</w:t>
        </w:r>
        <w:r w:rsidR="00D21A21" w:rsidRPr="00D21A21">
          <w:rPr>
            <w:rFonts w:asciiTheme="minorHAnsi" w:eastAsiaTheme="minorEastAsia" w:hAnsiTheme="minorHAnsi" w:cstheme="minorBidi"/>
            <w:noProof/>
            <w:sz w:val="22"/>
            <w:szCs w:val="22"/>
            <w:lang w:val="it-CH" w:eastAsia="it-CH"/>
          </w:rPr>
          <w:tab/>
        </w:r>
        <w:r w:rsidR="00D21A21" w:rsidRPr="00D21A21">
          <w:rPr>
            <w:rStyle w:val="Collegamentoipertestuale"/>
            <w:noProof/>
            <w:sz w:val="22"/>
            <w:szCs w:val="22"/>
          </w:rPr>
          <w:t>Fondi propri</w:t>
        </w:r>
        <w:r w:rsidR="00D21A21" w:rsidRPr="00D21A21">
          <w:rPr>
            <w:noProof/>
            <w:webHidden/>
            <w:sz w:val="22"/>
            <w:szCs w:val="22"/>
          </w:rPr>
          <w:tab/>
        </w:r>
        <w:r w:rsidR="00D21A21" w:rsidRPr="00D21A21">
          <w:rPr>
            <w:noProof/>
            <w:webHidden/>
            <w:sz w:val="22"/>
            <w:szCs w:val="22"/>
          </w:rPr>
          <w:fldChar w:fldCharType="begin"/>
        </w:r>
        <w:r w:rsidR="00D21A21" w:rsidRPr="00D21A21">
          <w:rPr>
            <w:noProof/>
            <w:webHidden/>
            <w:sz w:val="22"/>
            <w:szCs w:val="22"/>
          </w:rPr>
          <w:instrText xml:space="preserve"> PAGEREF _Toc465169039 \h </w:instrText>
        </w:r>
        <w:r w:rsidR="00D21A21" w:rsidRPr="00D21A21">
          <w:rPr>
            <w:noProof/>
            <w:webHidden/>
            <w:sz w:val="22"/>
            <w:szCs w:val="22"/>
          </w:rPr>
        </w:r>
        <w:r w:rsidR="00D21A21" w:rsidRPr="00D21A21">
          <w:rPr>
            <w:noProof/>
            <w:webHidden/>
            <w:sz w:val="22"/>
            <w:szCs w:val="22"/>
          </w:rPr>
          <w:fldChar w:fldCharType="separate"/>
        </w:r>
        <w:r w:rsidR="00F622EC">
          <w:rPr>
            <w:noProof/>
            <w:webHidden/>
            <w:sz w:val="22"/>
            <w:szCs w:val="22"/>
          </w:rPr>
          <w:t>5</w:t>
        </w:r>
        <w:r w:rsidR="00D21A21" w:rsidRPr="00D21A21">
          <w:rPr>
            <w:noProof/>
            <w:webHidden/>
            <w:sz w:val="22"/>
            <w:szCs w:val="22"/>
          </w:rPr>
          <w:fldChar w:fldCharType="end"/>
        </w:r>
      </w:hyperlink>
    </w:p>
    <w:p w:rsidR="00D21A21" w:rsidRPr="00D21A21" w:rsidRDefault="00121494" w:rsidP="00D21A21">
      <w:pPr>
        <w:pStyle w:val="Sommario1"/>
        <w:tabs>
          <w:tab w:val="clear" w:pos="660"/>
          <w:tab w:val="left" w:pos="709"/>
        </w:tabs>
        <w:rPr>
          <w:rFonts w:asciiTheme="minorHAnsi" w:eastAsiaTheme="minorEastAsia" w:hAnsiTheme="minorHAnsi" w:cstheme="minorBidi"/>
          <w:lang w:val="it-CH" w:eastAsia="it-CH"/>
        </w:rPr>
      </w:pPr>
      <w:hyperlink w:anchor="_Toc465169040" w:history="1">
        <w:r w:rsidR="00D21A21" w:rsidRPr="00D21A21">
          <w:rPr>
            <w:rStyle w:val="Collegamentoipertestuale"/>
          </w:rPr>
          <w:t>4.</w:t>
        </w:r>
        <w:r w:rsidR="00D21A21" w:rsidRPr="00D21A21">
          <w:rPr>
            <w:rFonts w:asciiTheme="minorHAnsi" w:eastAsiaTheme="minorEastAsia" w:hAnsiTheme="minorHAnsi" w:cstheme="minorBidi"/>
            <w:lang w:val="it-CH" w:eastAsia="it-CH"/>
          </w:rPr>
          <w:tab/>
        </w:r>
        <w:r w:rsidR="00D21A21" w:rsidRPr="00D21A21">
          <w:rPr>
            <w:rStyle w:val="Collegamentoipertestuale"/>
          </w:rPr>
          <w:t>AXION SWISS BANK SA</w:t>
        </w:r>
        <w:r w:rsidR="00D21A21" w:rsidRPr="00D21A21">
          <w:rPr>
            <w:webHidden/>
          </w:rPr>
          <w:tab/>
        </w:r>
        <w:r w:rsidR="00D21A21" w:rsidRPr="00D21A21">
          <w:rPr>
            <w:webHidden/>
          </w:rPr>
          <w:fldChar w:fldCharType="begin"/>
        </w:r>
        <w:r w:rsidR="00D21A21" w:rsidRPr="00D21A21">
          <w:rPr>
            <w:webHidden/>
          </w:rPr>
          <w:instrText xml:space="preserve"> PAGEREF _Toc465169040 \h </w:instrText>
        </w:r>
        <w:r w:rsidR="00D21A21" w:rsidRPr="00D21A21">
          <w:rPr>
            <w:webHidden/>
          </w:rPr>
        </w:r>
        <w:r w:rsidR="00D21A21" w:rsidRPr="00D21A21">
          <w:rPr>
            <w:webHidden/>
          </w:rPr>
          <w:fldChar w:fldCharType="separate"/>
        </w:r>
        <w:r w:rsidR="00F622EC">
          <w:rPr>
            <w:webHidden/>
          </w:rPr>
          <w:t>7</w:t>
        </w:r>
        <w:r w:rsidR="00D21A21" w:rsidRPr="00D21A21">
          <w:rPr>
            <w:webHidden/>
          </w:rPr>
          <w:fldChar w:fldCharType="end"/>
        </w:r>
      </w:hyperlink>
    </w:p>
    <w:p w:rsidR="00D21A21" w:rsidRPr="00D21A21" w:rsidRDefault="00121494" w:rsidP="00D21A21">
      <w:pPr>
        <w:pStyle w:val="Sommario1"/>
        <w:tabs>
          <w:tab w:val="clear" w:pos="660"/>
          <w:tab w:val="left" w:pos="709"/>
        </w:tabs>
        <w:rPr>
          <w:rFonts w:asciiTheme="minorHAnsi" w:eastAsiaTheme="minorEastAsia" w:hAnsiTheme="minorHAnsi" w:cstheme="minorBidi"/>
          <w:lang w:val="it-CH" w:eastAsia="it-CH"/>
        </w:rPr>
      </w:pPr>
      <w:hyperlink w:anchor="_Toc465169041" w:history="1">
        <w:r w:rsidR="00D21A21" w:rsidRPr="00D21A21">
          <w:rPr>
            <w:rStyle w:val="Collegamentoipertestuale"/>
          </w:rPr>
          <w:t>5.</w:t>
        </w:r>
        <w:r w:rsidR="00D21A21" w:rsidRPr="00D21A21">
          <w:rPr>
            <w:rFonts w:asciiTheme="minorHAnsi" w:eastAsiaTheme="minorEastAsia" w:hAnsiTheme="minorHAnsi" w:cstheme="minorBidi"/>
            <w:lang w:val="it-CH" w:eastAsia="it-CH"/>
          </w:rPr>
          <w:tab/>
        </w:r>
        <w:r w:rsidR="00D21A21" w:rsidRPr="00D21A21">
          <w:rPr>
            <w:rStyle w:val="Collegamentoipertestuale"/>
          </w:rPr>
          <w:t>Prospettive</w:t>
        </w:r>
        <w:r w:rsidR="00D21A21" w:rsidRPr="00D21A21">
          <w:rPr>
            <w:webHidden/>
          </w:rPr>
          <w:tab/>
        </w:r>
        <w:r w:rsidR="00D21A21" w:rsidRPr="00D21A21">
          <w:rPr>
            <w:webHidden/>
          </w:rPr>
          <w:fldChar w:fldCharType="begin"/>
        </w:r>
        <w:r w:rsidR="00D21A21" w:rsidRPr="00D21A21">
          <w:rPr>
            <w:webHidden/>
          </w:rPr>
          <w:instrText xml:space="preserve"> PAGEREF _Toc465169041 \h </w:instrText>
        </w:r>
        <w:r w:rsidR="00D21A21" w:rsidRPr="00D21A21">
          <w:rPr>
            <w:webHidden/>
          </w:rPr>
        </w:r>
        <w:r w:rsidR="00D21A21" w:rsidRPr="00D21A21">
          <w:rPr>
            <w:webHidden/>
          </w:rPr>
          <w:fldChar w:fldCharType="separate"/>
        </w:r>
        <w:r w:rsidR="00F622EC">
          <w:rPr>
            <w:webHidden/>
          </w:rPr>
          <w:t>8</w:t>
        </w:r>
        <w:r w:rsidR="00D21A21" w:rsidRPr="00D21A21">
          <w:rPr>
            <w:webHidden/>
          </w:rPr>
          <w:fldChar w:fldCharType="end"/>
        </w:r>
      </w:hyperlink>
    </w:p>
    <w:p w:rsidR="00D21A21" w:rsidRPr="00D21A21" w:rsidRDefault="00121494" w:rsidP="00D21A21">
      <w:pPr>
        <w:pStyle w:val="Sommario1"/>
        <w:tabs>
          <w:tab w:val="clear" w:pos="660"/>
          <w:tab w:val="left" w:pos="709"/>
        </w:tabs>
        <w:rPr>
          <w:rFonts w:asciiTheme="minorHAnsi" w:eastAsiaTheme="minorEastAsia" w:hAnsiTheme="minorHAnsi" w:cstheme="minorBidi"/>
          <w:lang w:val="it-CH" w:eastAsia="it-CH"/>
        </w:rPr>
      </w:pPr>
      <w:hyperlink w:anchor="_Toc465169042" w:history="1">
        <w:r w:rsidR="00D21A21" w:rsidRPr="00D21A21">
          <w:rPr>
            <w:rStyle w:val="Collegamentoipertestuale"/>
          </w:rPr>
          <w:t>6.</w:t>
        </w:r>
        <w:r w:rsidR="00D21A21" w:rsidRPr="00D21A21">
          <w:rPr>
            <w:rFonts w:asciiTheme="minorHAnsi" w:eastAsiaTheme="minorEastAsia" w:hAnsiTheme="minorHAnsi" w:cstheme="minorBidi"/>
            <w:lang w:val="it-CH" w:eastAsia="it-CH"/>
          </w:rPr>
          <w:tab/>
        </w:r>
        <w:r w:rsidR="00D21A21" w:rsidRPr="00D21A21">
          <w:rPr>
            <w:rStyle w:val="Collegamentoipertestuale"/>
          </w:rPr>
          <w:t>Conclusione</w:t>
        </w:r>
        <w:r w:rsidR="00D21A21" w:rsidRPr="00D21A21">
          <w:rPr>
            <w:webHidden/>
          </w:rPr>
          <w:tab/>
        </w:r>
        <w:r w:rsidR="00D21A21" w:rsidRPr="00D21A21">
          <w:rPr>
            <w:webHidden/>
          </w:rPr>
          <w:fldChar w:fldCharType="begin"/>
        </w:r>
        <w:r w:rsidR="00D21A21" w:rsidRPr="00D21A21">
          <w:rPr>
            <w:webHidden/>
          </w:rPr>
          <w:instrText xml:space="preserve"> PAGEREF _Toc465169042 \h </w:instrText>
        </w:r>
        <w:r w:rsidR="00D21A21" w:rsidRPr="00D21A21">
          <w:rPr>
            <w:webHidden/>
          </w:rPr>
        </w:r>
        <w:r w:rsidR="00D21A21" w:rsidRPr="00D21A21">
          <w:rPr>
            <w:webHidden/>
          </w:rPr>
          <w:fldChar w:fldCharType="separate"/>
        </w:r>
        <w:r w:rsidR="00F622EC">
          <w:rPr>
            <w:webHidden/>
          </w:rPr>
          <w:t>9</w:t>
        </w:r>
        <w:r w:rsidR="00D21A21" w:rsidRPr="00D21A21">
          <w:rPr>
            <w:webHidden/>
          </w:rPr>
          <w:fldChar w:fldCharType="end"/>
        </w:r>
      </w:hyperlink>
    </w:p>
    <w:p w:rsidR="00202840" w:rsidRPr="003846B0" w:rsidRDefault="00D21A21" w:rsidP="00D21A21">
      <w:pPr>
        <w:tabs>
          <w:tab w:val="left" w:pos="709"/>
        </w:tabs>
        <w:rPr>
          <w:rFonts w:cs="Arial"/>
          <w:szCs w:val="24"/>
        </w:rPr>
      </w:pPr>
      <w:r w:rsidRPr="00D21A21">
        <w:rPr>
          <w:rFonts w:cs="Arial"/>
          <w:sz w:val="22"/>
        </w:rPr>
        <w:fldChar w:fldCharType="end"/>
      </w:r>
    </w:p>
    <w:p w:rsidR="00202840" w:rsidRPr="003846B0" w:rsidRDefault="00202840" w:rsidP="003846B0">
      <w:pPr>
        <w:rPr>
          <w:rFonts w:cs="Arial"/>
          <w:szCs w:val="24"/>
        </w:rPr>
      </w:pPr>
    </w:p>
    <w:p w:rsidR="001D6F48" w:rsidRPr="007863ED" w:rsidRDefault="001D6F48" w:rsidP="001D6F48">
      <w:pPr>
        <w:pStyle w:val="Paragrafoelenco"/>
        <w:rPr>
          <w:rFonts w:cs="Arial"/>
        </w:rPr>
      </w:pPr>
    </w:p>
    <w:p w:rsidR="003846B0" w:rsidRPr="003846B0" w:rsidRDefault="003846B0" w:rsidP="003846B0">
      <w:pPr>
        <w:jc w:val="center"/>
        <w:rPr>
          <w:sz w:val="28"/>
          <w:szCs w:val="28"/>
        </w:rPr>
      </w:pPr>
      <w:r w:rsidRPr="003846B0">
        <w:rPr>
          <w:sz w:val="28"/>
          <w:szCs w:val="28"/>
        </w:rPr>
        <w:fldChar w:fldCharType="begin"/>
      </w:r>
      <w:r w:rsidRPr="003846B0">
        <w:rPr>
          <w:sz w:val="28"/>
          <w:szCs w:val="28"/>
        </w:rPr>
        <w:instrText>SYMBOL 175 \f "Wingdings"</w:instrText>
      </w:r>
      <w:r w:rsidRPr="003846B0">
        <w:rPr>
          <w:sz w:val="28"/>
          <w:szCs w:val="28"/>
        </w:rPr>
        <w:fldChar w:fldCharType="end"/>
      </w:r>
      <w:r w:rsidRPr="003846B0">
        <w:rPr>
          <w:sz w:val="28"/>
          <w:szCs w:val="28"/>
        </w:rPr>
        <w:t xml:space="preserve"> </w:t>
      </w:r>
      <w:r w:rsidRPr="003846B0">
        <w:rPr>
          <w:sz w:val="28"/>
          <w:szCs w:val="28"/>
        </w:rPr>
        <w:fldChar w:fldCharType="begin"/>
      </w:r>
      <w:r w:rsidRPr="003846B0">
        <w:rPr>
          <w:sz w:val="28"/>
          <w:szCs w:val="28"/>
        </w:rPr>
        <w:instrText>SYMBOL 175 \f "Wingdings"</w:instrText>
      </w:r>
      <w:r w:rsidRPr="003846B0">
        <w:rPr>
          <w:sz w:val="28"/>
          <w:szCs w:val="28"/>
        </w:rPr>
        <w:fldChar w:fldCharType="end"/>
      </w:r>
      <w:r w:rsidRPr="003846B0">
        <w:rPr>
          <w:sz w:val="28"/>
          <w:szCs w:val="28"/>
        </w:rPr>
        <w:t xml:space="preserve"> </w:t>
      </w:r>
      <w:r w:rsidRPr="003846B0">
        <w:rPr>
          <w:sz w:val="28"/>
          <w:szCs w:val="28"/>
        </w:rPr>
        <w:fldChar w:fldCharType="begin"/>
      </w:r>
      <w:r w:rsidRPr="003846B0">
        <w:rPr>
          <w:sz w:val="28"/>
          <w:szCs w:val="28"/>
        </w:rPr>
        <w:instrText>SYMBOL 175 \f "Wingdings"</w:instrText>
      </w:r>
      <w:r w:rsidRPr="003846B0">
        <w:rPr>
          <w:sz w:val="28"/>
          <w:szCs w:val="28"/>
        </w:rPr>
        <w:fldChar w:fldCharType="end"/>
      </w:r>
      <w:r w:rsidRPr="003846B0">
        <w:rPr>
          <w:sz w:val="28"/>
          <w:szCs w:val="28"/>
        </w:rPr>
        <w:t xml:space="preserve"> </w:t>
      </w:r>
      <w:r w:rsidRPr="003846B0">
        <w:rPr>
          <w:sz w:val="28"/>
          <w:szCs w:val="28"/>
        </w:rPr>
        <w:fldChar w:fldCharType="begin"/>
      </w:r>
      <w:r w:rsidRPr="003846B0">
        <w:rPr>
          <w:sz w:val="28"/>
          <w:szCs w:val="28"/>
        </w:rPr>
        <w:instrText>SYMBOL 175 \f "Wingdings"</w:instrText>
      </w:r>
      <w:r w:rsidRPr="003846B0">
        <w:rPr>
          <w:sz w:val="28"/>
          <w:szCs w:val="28"/>
        </w:rPr>
        <w:fldChar w:fldCharType="end"/>
      </w:r>
      <w:r w:rsidRPr="003846B0">
        <w:rPr>
          <w:sz w:val="28"/>
          <w:szCs w:val="28"/>
        </w:rPr>
        <w:t xml:space="preserve"> </w:t>
      </w:r>
      <w:r w:rsidRPr="003846B0">
        <w:rPr>
          <w:sz w:val="28"/>
          <w:szCs w:val="28"/>
        </w:rPr>
        <w:fldChar w:fldCharType="begin"/>
      </w:r>
      <w:r w:rsidRPr="003846B0">
        <w:rPr>
          <w:sz w:val="28"/>
          <w:szCs w:val="28"/>
        </w:rPr>
        <w:instrText>SYMBOL 175 \f "Wingdings"</w:instrText>
      </w:r>
      <w:r w:rsidRPr="003846B0">
        <w:rPr>
          <w:sz w:val="28"/>
          <w:szCs w:val="28"/>
        </w:rPr>
        <w:fldChar w:fldCharType="end"/>
      </w:r>
    </w:p>
    <w:p w:rsidR="001D6F48" w:rsidRDefault="001D6F48" w:rsidP="003846B0"/>
    <w:p w:rsidR="003846B0" w:rsidRPr="007863ED" w:rsidRDefault="003846B0" w:rsidP="003846B0"/>
    <w:p w:rsidR="00202840" w:rsidRDefault="00202840">
      <w:pPr>
        <w:rPr>
          <w:rFonts w:cs="Arial"/>
          <w:b/>
        </w:rPr>
      </w:pPr>
      <w:r>
        <w:rPr>
          <w:rFonts w:cs="Arial"/>
          <w:b/>
        </w:rPr>
        <w:br w:type="page"/>
      </w:r>
    </w:p>
    <w:p w:rsidR="001D6F48" w:rsidRPr="007863ED" w:rsidRDefault="001D6F48" w:rsidP="00202840">
      <w:pPr>
        <w:pStyle w:val="Titolo1"/>
      </w:pPr>
      <w:bookmarkStart w:id="1" w:name="_Toc465169028"/>
      <w:r w:rsidRPr="007863ED">
        <w:lastRenderedPageBreak/>
        <w:t>INTRODUZIONE</w:t>
      </w:r>
      <w:bookmarkEnd w:id="1"/>
    </w:p>
    <w:p w:rsidR="001D6F48" w:rsidRPr="007863ED" w:rsidRDefault="001D6F48" w:rsidP="001D6F48">
      <w:pPr>
        <w:rPr>
          <w:rFonts w:cs="Arial"/>
        </w:rPr>
      </w:pPr>
      <w:r w:rsidRPr="007863ED">
        <w:rPr>
          <w:rFonts w:cs="Arial"/>
        </w:rPr>
        <w:t>La Commissione delle gestione e delle Finanze, esaminato il messaggio 7189 e i documenti allegati:</w:t>
      </w:r>
    </w:p>
    <w:p w:rsidR="001D6F48" w:rsidRPr="007863ED" w:rsidRDefault="001D6F48" w:rsidP="003846B0">
      <w:pPr>
        <w:spacing w:before="60"/>
        <w:ind w:left="284" w:hanging="284"/>
        <w:rPr>
          <w:rFonts w:cs="Arial"/>
        </w:rPr>
      </w:pPr>
      <w:r w:rsidRPr="007863ED">
        <w:rPr>
          <w:rFonts w:cs="Arial"/>
        </w:rPr>
        <w:t>-</w:t>
      </w:r>
      <w:r>
        <w:rPr>
          <w:rFonts w:cs="Arial"/>
        </w:rPr>
        <w:tab/>
      </w:r>
      <w:r w:rsidRPr="007863ED">
        <w:rPr>
          <w:rFonts w:cs="Arial"/>
        </w:rPr>
        <w:t>Il Rapporto annuale 2015</w:t>
      </w:r>
    </w:p>
    <w:p w:rsidR="001D6F48" w:rsidRPr="007863ED" w:rsidRDefault="001D6F48" w:rsidP="003846B0">
      <w:pPr>
        <w:spacing w:before="60"/>
        <w:ind w:left="284" w:hanging="284"/>
        <w:rPr>
          <w:rFonts w:cs="Arial"/>
        </w:rPr>
      </w:pPr>
      <w:r w:rsidRPr="007863ED">
        <w:rPr>
          <w:rFonts w:cs="Arial"/>
        </w:rPr>
        <w:t>-</w:t>
      </w:r>
      <w:r>
        <w:rPr>
          <w:rFonts w:cs="Arial"/>
        </w:rPr>
        <w:tab/>
      </w:r>
      <w:r w:rsidRPr="007863ED">
        <w:rPr>
          <w:rFonts w:cs="Arial"/>
        </w:rPr>
        <w:t>Il Bilancio sociale e ambientale 2015</w:t>
      </w:r>
    </w:p>
    <w:p w:rsidR="001D6F48" w:rsidRPr="007863ED" w:rsidRDefault="001D6F48" w:rsidP="003846B0">
      <w:pPr>
        <w:spacing w:before="120"/>
        <w:rPr>
          <w:rFonts w:cs="Arial"/>
        </w:rPr>
      </w:pPr>
      <w:r w:rsidRPr="007863ED">
        <w:rPr>
          <w:rFonts w:cs="Arial"/>
        </w:rPr>
        <w:t xml:space="preserve">Propone al Gran Consiglio di accettare il decreto legislativo corrispondente che approva il conto economico e il bilancio al 31 dicembre 2015 di </w:t>
      </w:r>
      <w:proofErr w:type="spellStart"/>
      <w:r w:rsidRPr="007863ED">
        <w:rPr>
          <w:rFonts w:cs="Arial"/>
        </w:rPr>
        <w:t>BancaStato</w:t>
      </w:r>
      <w:proofErr w:type="spellEnd"/>
      <w:r w:rsidRPr="007863ED">
        <w:rPr>
          <w:rFonts w:cs="Arial"/>
        </w:rPr>
        <w:t>, dando nel frattempo scarico al suo Consiglio di Amministrazione e alla sua Direzione Generale.</w:t>
      </w:r>
    </w:p>
    <w:p w:rsidR="001D6F48" w:rsidRPr="007863ED" w:rsidRDefault="001D6F48" w:rsidP="001D6F48">
      <w:pPr>
        <w:rPr>
          <w:rFonts w:cs="Arial"/>
        </w:rPr>
      </w:pPr>
    </w:p>
    <w:p w:rsidR="001D6F48" w:rsidRPr="007863ED" w:rsidRDefault="001D6F48" w:rsidP="001D6F48">
      <w:pPr>
        <w:rPr>
          <w:rFonts w:cs="Arial"/>
        </w:rPr>
      </w:pPr>
      <w:r w:rsidRPr="007863ED">
        <w:rPr>
          <w:rFonts w:cs="Arial"/>
        </w:rPr>
        <w:t>I risultati dell’Istituto Cantonale sono positivi, addirittura eccezionali rispetto agli ultimi anni, durante i quali avevano già innescato un trend positivo.</w:t>
      </w:r>
    </w:p>
    <w:p w:rsidR="001D6F48" w:rsidRPr="007863ED" w:rsidRDefault="001D6F48" w:rsidP="001D6F48">
      <w:pPr>
        <w:rPr>
          <w:rFonts w:cs="Arial"/>
        </w:rPr>
      </w:pPr>
      <w:r w:rsidRPr="007863ED">
        <w:rPr>
          <w:rFonts w:cs="Arial"/>
        </w:rPr>
        <w:t>Nei prossimi capitoli si potrà costatare l’ottimo andamento, il quale ha portato a un risultato d’esercizio positivo, quasi due volte superiore al precedente.</w:t>
      </w:r>
    </w:p>
    <w:p w:rsidR="001D6F48" w:rsidRDefault="001D6F48" w:rsidP="001D6F48">
      <w:pPr>
        <w:rPr>
          <w:rFonts w:cs="Arial"/>
        </w:rPr>
      </w:pPr>
    </w:p>
    <w:p w:rsidR="003846B0" w:rsidRDefault="003846B0" w:rsidP="001D6F48">
      <w:pPr>
        <w:rPr>
          <w:rFonts w:cs="Arial"/>
        </w:rPr>
      </w:pPr>
    </w:p>
    <w:p w:rsidR="003846B0" w:rsidRPr="007863ED" w:rsidRDefault="003846B0" w:rsidP="001D6F48">
      <w:pPr>
        <w:rPr>
          <w:rFonts w:cs="Arial"/>
        </w:rPr>
      </w:pPr>
    </w:p>
    <w:p w:rsidR="001D6F48" w:rsidRPr="007863ED" w:rsidRDefault="001D6F48" w:rsidP="00202840">
      <w:pPr>
        <w:pStyle w:val="Titolo1"/>
      </w:pPr>
      <w:bookmarkStart w:id="2" w:name="_Toc465169029"/>
      <w:r w:rsidRPr="007863ED">
        <w:t>I RISULTATI</w:t>
      </w:r>
      <w:bookmarkEnd w:id="2"/>
    </w:p>
    <w:p w:rsidR="001D6F48" w:rsidRPr="007863ED" w:rsidRDefault="001D6F48" w:rsidP="00202840">
      <w:pPr>
        <w:pStyle w:val="Titolo2"/>
      </w:pPr>
      <w:bookmarkStart w:id="3" w:name="_Toc465169030"/>
      <w:r w:rsidRPr="007863ED">
        <w:t>2.1</w:t>
      </w:r>
      <w:r w:rsidRPr="007863ED">
        <w:tab/>
        <w:t>In generale</w:t>
      </w:r>
      <w:bookmarkEnd w:id="3"/>
    </w:p>
    <w:p w:rsidR="001D6F48" w:rsidRPr="007863ED" w:rsidRDefault="001D6F48" w:rsidP="001D6F48">
      <w:pPr>
        <w:rPr>
          <w:rFonts w:cs="Arial"/>
        </w:rPr>
      </w:pPr>
      <w:r w:rsidRPr="007863ED">
        <w:rPr>
          <w:rFonts w:cs="Arial"/>
        </w:rPr>
        <w:t>I conti 2015 sono stati straordinari, in particolare grazie all’aumento del volume dei crediti, dei patrimoni in gestione, del dividendo, dell’utile lordo e di quello netto;</w:t>
      </w:r>
    </w:p>
    <w:p w:rsidR="001D6F48" w:rsidRPr="007863ED" w:rsidRDefault="001D6F48" w:rsidP="001D6F48">
      <w:pPr>
        <w:rPr>
          <w:rFonts w:cs="Arial"/>
        </w:rPr>
      </w:pPr>
      <w:r w:rsidRPr="007863ED">
        <w:rPr>
          <w:rFonts w:cs="Arial"/>
        </w:rPr>
        <w:t>Nel 2015 è stato chiuso il contenzioso con gli USA e si è pure conclusa la procedura di notifica in Italia (</w:t>
      </w:r>
      <w:proofErr w:type="spellStart"/>
      <w:r w:rsidRPr="007863ED">
        <w:rPr>
          <w:rFonts w:cs="Arial"/>
        </w:rPr>
        <w:t>Voluntary</w:t>
      </w:r>
      <w:proofErr w:type="spellEnd"/>
      <w:r w:rsidRPr="007863ED">
        <w:rPr>
          <w:rFonts w:cs="Arial"/>
        </w:rPr>
        <w:t xml:space="preserve"> </w:t>
      </w:r>
      <w:proofErr w:type="spellStart"/>
      <w:r w:rsidRPr="007863ED">
        <w:rPr>
          <w:rFonts w:cs="Arial"/>
        </w:rPr>
        <w:t>Disclosure</w:t>
      </w:r>
      <w:proofErr w:type="spellEnd"/>
      <w:r w:rsidRPr="007863ED">
        <w:rPr>
          <w:rFonts w:cs="Arial"/>
        </w:rPr>
        <w:t>). L’anno del centenario è quindi stato positivo sotto molti aspetti:</w:t>
      </w:r>
    </w:p>
    <w:p w:rsidR="001D6F48" w:rsidRPr="007863ED" w:rsidRDefault="001D6F48" w:rsidP="001D6F48">
      <w:pPr>
        <w:rPr>
          <w:rFonts w:cs="Arial"/>
        </w:rPr>
      </w:pPr>
      <w:r w:rsidRPr="007863ED">
        <w:rPr>
          <w:rFonts w:cs="Arial"/>
        </w:rPr>
        <w:t xml:space="preserve">La redditività e l’efficienza sono in crescita, così come la solidità dell’istituto, in particolare grazie all’aumento dei fondi propri, reso possibile grazie alla collaborazione col Cantone. (vedi </w:t>
      </w:r>
      <w:proofErr w:type="spellStart"/>
      <w:r w:rsidRPr="007863ED">
        <w:rPr>
          <w:rFonts w:cs="Arial"/>
        </w:rPr>
        <w:t>pto</w:t>
      </w:r>
      <w:proofErr w:type="spellEnd"/>
      <w:r w:rsidRPr="007863ED">
        <w:rPr>
          <w:rFonts w:cs="Arial"/>
        </w:rPr>
        <w:t xml:space="preserve">. 3.2.2). </w:t>
      </w:r>
    </w:p>
    <w:p w:rsidR="001D6F48" w:rsidRPr="007863ED" w:rsidRDefault="001D6F48" w:rsidP="001D6F48">
      <w:pPr>
        <w:rPr>
          <w:rFonts w:cs="Arial"/>
        </w:rPr>
      </w:pPr>
      <w:r w:rsidRPr="007863ED">
        <w:rPr>
          <w:rFonts w:cs="Arial"/>
        </w:rPr>
        <w:t xml:space="preserve">La Banca ha proceduto all’implementazione del nuovo sistema informatico, il quale si è rivelato un investimento caro ma ottimo per l’efficienza. In controtendenza, per fortuna, a quello che sta accadendo in altri istituti bancari, </w:t>
      </w:r>
      <w:proofErr w:type="spellStart"/>
      <w:r w:rsidRPr="007863ED">
        <w:rPr>
          <w:rFonts w:cs="Arial"/>
        </w:rPr>
        <w:t>BancaStato</w:t>
      </w:r>
      <w:proofErr w:type="spellEnd"/>
      <w:r w:rsidRPr="007863ED">
        <w:rPr>
          <w:rFonts w:cs="Arial"/>
        </w:rPr>
        <w:t xml:space="preserve"> ha aperto una nuova succursale a </w:t>
      </w:r>
      <w:proofErr w:type="spellStart"/>
      <w:r w:rsidRPr="007863ED">
        <w:rPr>
          <w:rFonts w:cs="Arial"/>
        </w:rPr>
        <w:t>Gordola</w:t>
      </w:r>
      <w:proofErr w:type="spellEnd"/>
      <w:r w:rsidRPr="007863ED">
        <w:rPr>
          <w:rFonts w:cs="Arial"/>
        </w:rPr>
        <w:t xml:space="preserve"> e sta per aprirne un’altra a Manno.</w:t>
      </w:r>
    </w:p>
    <w:p w:rsidR="001D6F48" w:rsidRPr="007863ED" w:rsidRDefault="001D6F48" w:rsidP="001D6F48">
      <w:pPr>
        <w:rPr>
          <w:rFonts w:cs="Arial"/>
        </w:rPr>
      </w:pPr>
      <w:r w:rsidRPr="007863ED">
        <w:rPr>
          <w:rFonts w:cs="Arial"/>
        </w:rPr>
        <w:t xml:space="preserve">La Banca ha condotto e concluso l’operazione di acquisto degli attivi della </w:t>
      </w:r>
      <w:proofErr w:type="spellStart"/>
      <w:r w:rsidRPr="007863ED">
        <w:rPr>
          <w:rFonts w:cs="Arial"/>
        </w:rPr>
        <w:t>Société</w:t>
      </w:r>
      <w:proofErr w:type="spellEnd"/>
      <w:r w:rsidRPr="007863ED">
        <w:rPr>
          <w:rFonts w:cs="Arial"/>
        </w:rPr>
        <w:t xml:space="preserve"> </w:t>
      </w:r>
      <w:proofErr w:type="spellStart"/>
      <w:r w:rsidRPr="007863ED">
        <w:rPr>
          <w:rFonts w:cs="Arial"/>
        </w:rPr>
        <w:t>Génerale</w:t>
      </w:r>
      <w:proofErr w:type="spellEnd"/>
      <w:r w:rsidRPr="007863ED">
        <w:rPr>
          <w:rFonts w:cs="Arial"/>
        </w:rPr>
        <w:t xml:space="preserve"> Private Banking SA (Lugano-Svizzera), la quale ha permesso ad </w:t>
      </w:r>
      <w:proofErr w:type="spellStart"/>
      <w:r w:rsidRPr="007863ED">
        <w:rPr>
          <w:rFonts w:cs="Arial"/>
        </w:rPr>
        <w:t>Axion</w:t>
      </w:r>
      <w:proofErr w:type="spellEnd"/>
      <w:r w:rsidRPr="007863ED">
        <w:rPr>
          <w:rFonts w:cs="Arial"/>
        </w:rPr>
        <w:t xml:space="preserve"> </w:t>
      </w:r>
      <w:proofErr w:type="spellStart"/>
      <w:r w:rsidRPr="007863ED">
        <w:rPr>
          <w:rFonts w:cs="Arial"/>
        </w:rPr>
        <w:t>Bank</w:t>
      </w:r>
      <w:proofErr w:type="spellEnd"/>
      <w:r w:rsidRPr="007863ED">
        <w:rPr>
          <w:rFonts w:cs="Arial"/>
        </w:rPr>
        <w:t xml:space="preserve"> SA di raddoppiare i volumi gestione.</w:t>
      </w:r>
    </w:p>
    <w:p w:rsidR="001D6F48" w:rsidRPr="007863ED" w:rsidRDefault="001D6F48" w:rsidP="001D6F48">
      <w:pPr>
        <w:rPr>
          <w:rFonts w:cs="Arial"/>
        </w:rPr>
      </w:pPr>
      <w:r w:rsidRPr="007863ED">
        <w:rPr>
          <w:rFonts w:cs="Arial"/>
        </w:rPr>
        <w:t xml:space="preserve">In un mondo bancario sotto pressione, </w:t>
      </w:r>
      <w:proofErr w:type="spellStart"/>
      <w:r w:rsidRPr="007863ED">
        <w:rPr>
          <w:rFonts w:cs="Arial"/>
        </w:rPr>
        <w:t>BancaStato</w:t>
      </w:r>
      <w:proofErr w:type="spellEnd"/>
      <w:r w:rsidRPr="007863ED">
        <w:rPr>
          <w:rFonts w:cs="Arial"/>
        </w:rPr>
        <w:t xml:space="preserve">, grazie ad una politica prudente e a delle strategie ben ponderate, è riuscita a migliorarsi. Nel confronto </w:t>
      </w:r>
      <w:proofErr w:type="spellStart"/>
      <w:r w:rsidRPr="007863ED">
        <w:rPr>
          <w:rFonts w:cs="Arial"/>
        </w:rPr>
        <w:t>intercantonale</w:t>
      </w:r>
      <w:proofErr w:type="spellEnd"/>
      <w:r w:rsidRPr="007863ED">
        <w:rPr>
          <w:rFonts w:cs="Arial"/>
        </w:rPr>
        <w:t>, durante gli ultimi anni, la propria posizione è costantemente migliorata.</w:t>
      </w:r>
    </w:p>
    <w:p w:rsidR="001D6F48" w:rsidRPr="007863ED" w:rsidRDefault="001D6F48" w:rsidP="001D6F48">
      <w:pPr>
        <w:rPr>
          <w:rFonts w:cs="Arial"/>
        </w:rPr>
      </w:pPr>
      <w:r w:rsidRPr="007863ED">
        <w:rPr>
          <w:rFonts w:cs="Arial"/>
        </w:rPr>
        <w:t>Ciò permette di affrontare il futuro con delle basi abbastanza solide e soddisfacenti, anche se vi sono molte incognite nella gestione dei patrimoni e nella regolamentazione sulle banche, in fase di inasprimento. La FINMA richiede un costante scambio d’informazioni sulla base delle nuove regolamentazioni, comportando un notevole lavoro per la Banca.</w:t>
      </w:r>
    </w:p>
    <w:p w:rsidR="001D6F48" w:rsidRDefault="001D6F48" w:rsidP="001D6F48">
      <w:pPr>
        <w:rPr>
          <w:rFonts w:cs="Arial"/>
        </w:rPr>
      </w:pPr>
    </w:p>
    <w:p w:rsidR="001D6F48" w:rsidRPr="007863ED" w:rsidRDefault="001D6F48" w:rsidP="001D6F48">
      <w:pPr>
        <w:rPr>
          <w:rFonts w:cs="Arial"/>
        </w:rPr>
      </w:pPr>
    </w:p>
    <w:p w:rsidR="001D6F48" w:rsidRPr="007863ED" w:rsidRDefault="001D6F48" w:rsidP="00202840">
      <w:pPr>
        <w:pStyle w:val="Titolo2"/>
      </w:pPr>
      <w:bookmarkStart w:id="4" w:name="_Toc465169031"/>
      <w:r w:rsidRPr="007863ED">
        <w:t>2.2</w:t>
      </w:r>
      <w:r w:rsidRPr="007863ED">
        <w:tab/>
        <w:t>Dati e indicatori quantitativi</w:t>
      </w:r>
      <w:bookmarkEnd w:id="4"/>
    </w:p>
    <w:p w:rsidR="001D6F48" w:rsidRPr="007863ED" w:rsidRDefault="001D6F48" w:rsidP="001D6F48">
      <w:pPr>
        <w:rPr>
          <w:rFonts w:cs="Arial"/>
        </w:rPr>
      </w:pPr>
      <w:r w:rsidRPr="007863ED">
        <w:rPr>
          <w:rFonts w:cs="Arial"/>
        </w:rPr>
        <w:t xml:space="preserve">Il 2015 sarà un anno da ricordare per i risultati operativi della banca estremamente positivi. L’attività si estende a tutti i servizi, quale Banca Universale, ma è incentrata, come tradizione, sulla concessione di </w:t>
      </w:r>
      <w:r w:rsidRPr="007863ED">
        <w:rPr>
          <w:rFonts w:cs="Arial"/>
          <w:i/>
        </w:rPr>
        <w:t>crediti ipotecari</w:t>
      </w:r>
      <w:r w:rsidRPr="007863ED">
        <w:rPr>
          <w:rFonts w:cs="Arial"/>
        </w:rPr>
        <w:t xml:space="preserve">. Gli stessi sono aumentati del </w:t>
      </w:r>
      <w:r w:rsidRPr="007863ED">
        <w:rPr>
          <w:rFonts w:cs="Arial"/>
          <w:b/>
        </w:rPr>
        <w:t xml:space="preserve">5.8% </w:t>
      </w:r>
      <w:r w:rsidRPr="007863ED">
        <w:rPr>
          <w:rFonts w:cs="Arial"/>
        </w:rPr>
        <w:t xml:space="preserve">attestandosi a oltre 7.7 miliardi. I tassi d’interesse estremamente bassi hanno ulteriormente favorito tale tipo di operazioni, incrementando la percentuale d’ipoteche a tasso fisso. Alla luce di un’eventuale bolla immobiliare la commissione ha chiesto </w:t>
      </w:r>
      <w:r w:rsidRPr="007863ED">
        <w:rPr>
          <w:rFonts w:cs="Arial"/>
        </w:rPr>
        <w:lastRenderedPageBreak/>
        <w:t>rassicurazioni alla direzione nel merito. La stessa è stata rassicurata in particolare grazie alla particolare attenzione che la banca rivolge a questo settore. I crediti ipotecari concessi per il 76% sono rappresentati da ipoteche inferiori a 500'000. Ciò significa una capillare diversificazione e un rischio basso per la Banca.</w:t>
      </w:r>
    </w:p>
    <w:p w:rsidR="001D6F48" w:rsidRPr="007863ED" w:rsidRDefault="001D6F48" w:rsidP="001D6F48">
      <w:pPr>
        <w:rPr>
          <w:rFonts w:cs="Arial"/>
        </w:rPr>
      </w:pPr>
      <w:r w:rsidRPr="007863ED">
        <w:rPr>
          <w:rFonts w:cs="Arial"/>
        </w:rPr>
        <w:t xml:space="preserve">Regrediscono invece i </w:t>
      </w:r>
      <w:r w:rsidRPr="007863ED">
        <w:rPr>
          <w:rFonts w:cs="Arial"/>
          <w:i/>
        </w:rPr>
        <w:t>credi nei confronti della clientela</w:t>
      </w:r>
      <w:r w:rsidRPr="007863ED">
        <w:rPr>
          <w:rFonts w:cs="Arial"/>
        </w:rPr>
        <w:t xml:space="preserve">; Tengono invece molto bene i </w:t>
      </w:r>
      <w:r w:rsidRPr="007863ED">
        <w:rPr>
          <w:rFonts w:cs="Arial"/>
          <w:i/>
        </w:rPr>
        <w:t>crediti nei confronti degli Enti Pubblici</w:t>
      </w:r>
      <w:r w:rsidRPr="007863ED">
        <w:rPr>
          <w:rFonts w:cs="Arial"/>
        </w:rPr>
        <w:t>, permettendo alla Banca di avere una posizione leader in questo settore.</w:t>
      </w:r>
    </w:p>
    <w:p w:rsidR="001D6F48" w:rsidRPr="007863ED" w:rsidRDefault="001D6F48" w:rsidP="001D6F48">
      <w:pPr>
        <w:rPr>
          <w:rFonts w:cs="Arial"/>
        </w:rPr>
      </w:pPr>
      <w:r w:rsidRPr="007863ED">
        <w:rPr>
          <w:rFonts w:cs="Arial"/>
        </w:rPr>
        <w:t xml:space="preserve">Per quanto riguarda il volume dei </w:t>
      </w:r>
      <w:r w:rsidRPr="007863ED">
        <w:rPr>
          <w:rFonts w:cs="Arial"/>
          <w:i/>
        </w:rPr>
        <w:t>patrimoni in gestione</w:t>
      </w:r>
      <w:r w:rsidRPr="007863ED">
        <w:rPr>
          <w:rFonts w:cs="Arial"/>
        </w:rPr>
        <w:t xml:space="preserve">, gli stessi sono diminuiti di 149 mio (-1.6%); Malgrado ci sia stato un afflusso netto di denaro fresco di 135 mio, considerando un’uscita di </w:t>
      </w:r>
      <w:proofErr w:type="spellStart"/>
      <w:r w:rsidRPr="007863ED">
        <w:rPr>
          <w:rFonts w:cs="Arial"/>
        </w:rPr>
        <w:t>ca</w:t>
      </w:r>
      <w:proofErr w:type="spellEnd"/>
      <w:r w:rsidRPr="007863ED">
        <w:rPr>
          <w:rFonts w:cs="Arial"/>
        </w:rPr>
        <w:t xml:space="preserve"> 300 mio dovuta alla </w:t>
      </w:r>
      <w:proofErr w:type="spellStart"/>
      <w:r w:rsidRPr="007863ED">
        <w:rPr>
          <w:rFonts w:cs="Arial"/>
        </w:rPr>
        <w:t>Voluntary</w:t>
      </w:r>
      <w:proofErr w:type="spellEnd"/>
      <w:r w:rsidRPr="007863ED">
        <w:rPr>
          <w:rFonts w:cs="Arial"/>
        </w:rPr>
        <w:t xml:space="preserve"> </w:t>
      </w:r>
      <w:proofErr w:type="spellStart"/>
      <w:r w:rsidRPr="007863ED">
        <w:rPr>
          <w:rFonts w:cs="Arial"/>
        </w:rPr>
        <w:t>Disclosure</w:t>
      </w:r>
      <w:proofErr w:type="spellEnd"/>
      <w:r w:rsidRPr="007863ED">
        <w:rPr>
          <w:rFonts w:cs="Arial"/>
        </w:rPr>
        <w:t>, l’evoluzione dei prezzi sui mercati borsistici e dei cambi, legata all’abbandono del sostegno del cambio EUR/CHF da parte di BNS, ha provocato una diminuzione di valore di 284 mio.</w:t>
      </w:r>
    </w:p>
    <w:p w:rsidR="001D6F48" w:rsidRPr="007863ED" w:rsidRDefault="001D6F48" w:rsidP="001D6F48">
      <w:pPr>
        <w:rPr>
          <w:rFonts w:cs="Arial"/>
        </w:rPr>
      </w:pPr>
      <w:r w:rsidRPr="007863ED">
        <w:rPr>
          <w:rFonts w:cs="Arial"/>
        </w:rPr>
        <w:t xml:space="preserve">Presso </w:t>
      </w:r>
      <w:proofErr w:type="spellStart"/>
      <w:r w:rsidRPr="007863ED">
        <w:rPr>
          <w:rFonts w:cs="Arial"/>
        </w:rPr>
        <w:t>Axion</w:t>
      </w:r>
      <w:proofErr w:type="spellEnd"/>
      <w:r w:rsidRPr="007863ED">
        <w:rPr>
          <w:rFonts w:cs="Arial"/>
        </w:rPr>
        <w:t xml:space="preserve"> </w:t>
      </w:r>
      <w:proofErr w:type="spellStart"/>
      <w:r w:rsidRPr="007863ED">
        <w:rPr>
          <w:rFonts w:cs="Arial"/>
        </w:rPr>
        <w:t>Sswiss</w:t>
      </w:r>
      <w:proofErr w:type="spellEnd"/>
      <w:r w:rsidRPr="007863ED">
        <w:rPr>
          <w:rFonts w:cs="Arial"/>
        </w:rPr>
        <w:t xml:space="preserve"> </w:t>
      </w:r>
      <w:proofErr w:type="spellStart"/>
      <w:r w:rsidRPr="007863ED">
        <w:rPr>
          <w:rFonts w:cs="Arial"/>
        </w:rPr>
        <w:t>Bank</w:t>
      </w:r>
      <w:proofErr w:type="spellEnd"/>
      <w:r w:rsidRPr="007863ED">
        <w:rPr>
          <w:rFonts w:cs="Arial"/>
        </w:rPr>
        <w:t xml:space="preserve"> SA invece, i patrimoni gestiti sono progrediti di 65 mio, attestandosi a poco meno di 2.3 miliardi.</w:t>
      </w:r>
    </w:p>
    <w:p w:rsidR="001D6F48" w:rsidRPr="007863ED" w:rsidRDefault="001D6F48" w:rsidP="001D6F48">
      <w:pPr>
        <w:rPr>
          <w:rFonts w:cs="Arial"/>
        </w:rPr>
      </w:pPr>
      <w:r w:rsidRPr="007863ED">
        <w:rPr>
          <w:rFonts w:cs="Arial"/>
        </w:rPr>
        <w:t>Dal Conto economico si evincono in particolare i seguenti risultati:</w:t>
      </w:r>
    </w:p>
    <w:p w:rsidR="001D6F48" w:rsidRPr="007863ED" w:rsidRDefault="001D6F48" w:rsidP="001D6F48">
      <w:pPr>
        <w:rPr>
          <w:rFonts w:cs="Arial"/>
        </w:rPr>
      </w:pPr>
      <w:r w:rsidRPr="007863ED">
        <w:rPr>
          <w:rFonts w:cs="Arial"/>
        </w:rPr>
        <w:t xml:space="preserve">Il </w:t>
      </w:r>
      <w:r w:rsidRPr="007863ED">
        <w:rPr>
          <w:rFonts w:cs="Arial"/>
          <w:i/>
        </w:rPr>
        <w:t>Risultato su operazioni da interesse</w:t>
      </w:r>
      <w:r w:rsidRPr="007863ED">
        <w:rPr>
          <w:rFonts w:cs="Arial"/>
        </w:rPr>
        <w:t xml:space="preserve"> è cresciuto del 7.9%. La Banca è riuscita a sostenere il margine d’interesse nonostante i tassi in discesa e la conseguente erosione dei margini. I </w:t>
      </w:r>
      <w:r w:rsidRPr="007863ED">
        <w:rPr>
          <w:rFonts w:cs="Arial"/>
          <w:i/>
        </w:rPr>
        <w:t>Ricavi netti</w:t>
      </w:r>
      <w:r w:rsidRPr="007863ED">
        <w:rPr>
          <w:rFonts w:cs="Arial"/>
          <w:b/>
        </w:rPr>
        <w:t xml:space="preserve"> </w:t>
      </w:r>
      <w:r w:rsidRPr="007863ED">
        <w:rPr>
          <w:rFonts w:cs="Arial"/>
        </w:rPr>
        <w:t xml:space="preserve">sono aumentati di 11 mio di franchi. </w:t>
      </w:r>
      <w:r w:rsidRPr="007863ED">
        <w:rPr>
          <w:rFonts w:cs="Arial"/>
          <w:i/>
        </w:rPr>
        <w:t>Le Spese per il personale</w:t>
      </w:r>
      <w:r w:rsidRPr="007863ED">
        <w:rPr>
          <w:rFonts w:cs="Arial"/>
        </w:rPr>
        <w:t xml:space="preserve"> sono diminuite del 23.5% (nel 2014 si era registrato un costo di </w:t>
      </w:r>
      <w:proofErr w:type="spellStart"/>
      <w:r w:rsidRPr="007863ED">
        <w:rPr>
          <w:rFonts w:cs="Arial"/>
        </w:rPr>
        <w:t>ca</w:t>
      </w:r>
      <w:proofErr w:type="spellEnd"/>
      <w:r w:rsidRPr="007863ED">
        <w:rPr>
          <w:rFonts w:cs="Arial"/>
        </w:rPr>
        <w:t xml:space="preserve"> 20 milioni per il piano di prepensionamento).  </w:t>
      </w:r>
      <w:r w:rsidRPr="007863ED">
        <w:rPr>
          <w:rFonts w:cs="Arial"/>
          <w:i/>
        </w:rPr>
        <w:t>Le Spese per il materiale</w:t>
      </w:r>
      <w:r w:rsidRPr="007863ED">
        <w:rPr>
          <w:rFonts w:cs="Arial"/>
        </w:rPr>
        <w:t xml:space="preserve"> hanno subito un aumento del 6.4% (causa travaso di costi dal personale al materiale).</w:t>
      </w:r>
      <w:r w:rsidRPr="007863ED">
        <w:rPr>
          <w:rFonts w:cs="Arial"/>
          <w:i/>
        </w:rPr>
        <w:t>I Costi d’esercizio</w:t>
      </w:r>
      <w:r w:rsidRPr="007863ED">
        <w:rPr>
          <w:rFonts w:cs="Arial"/>
        </w:rPr>
        <w:t xml:space="preserve"> hanno conosciuto una diminuzione del 15.8% e </w:t>
      </w:r>
      <w:r w:rsidRPr="007863ED">
        <w:rPr>
          <w:rFonts w:cs="Arial"/>
          <w:i/>
        </w:rPr>
        <w:t>l’Utile Lordo</w:t>
      </w:r>
      <w:r w:rsidRPr="007863ED">
        <w:rPr>
          <w:rFonts w:cs="Arial"/>
        </w:rPr>
        <w:t xml:space="preserve"> è aumentato del 56.9%. Gli </w:t>
      </w:r>
      <w:r w:rsidRPr="007863ED">
        <w:rPr>
          <w:rFonts w:cs="Arial"/>
          <w:i/>
        </w:rPr>
        <w:t>Ammortamenti</w:t>
      </w:r>
      <w:r w:rsidRPr="007863ED">
        <w:rPr>
          <w:rFonts w:cs="Arial"/>
          <w:b/>
        </w:rPr>
        <w:t xml:space="preserve"> </w:t>
      </w:r>
      <w:r w:rsidRPr="007863ED">
        <w:rPr>
          <w:rFonts w:cs="Arial"/>
        </w:rPr>
        <w:t xml:space="preserve">sono lievemente aumentati, mentre che la voce </w:t>
      </w:r>
      <w:r w:rsidRPr="007863ED">
        <w:rPr>
          <w:rFonts w:cs="Arial"/>
          <w:i/>
        </w:rPr>
        <w:t>rettifiche di valore</w:t>
      </w:r>
      <w:r w:rsidRPr="007863ED">
        <w:rPr>
          <w:rFonts w:cs="Arial"/>
          <w:b/>
        </w:rPr>
        <w:t xml:space="preserve">, </w:t>
      </w:r>
      <w:r w:rsidRPr="007863ED">
        <w:rPr>
          <w:rFonts w:cs="Arial"/>
          <w:i/>
        </w:rPr>
        <w:t>accantonamenti e perdite</w:t>
      </w:r>
      <w:r w:rsidRPr="007863ED">
        <w:rPr>
          <w:rFonts w:cs="Arial"/>
        </w:rPr>
        <w:t xml:space="preserve"> si riduce, liberando di conseguenza accantonamenti. Come detto all’inizio, il </w:t>
      </w:r>
      <w:r w:rsidRPr="007863ED">
        <w:rPr>
          <w:rFonts w:cs="Arial"/>
          <w:i/>
        </w:rPr>
        <w:t>Risultato d’esercizio</w:t>
      </w:r>
      <w:r w:rsidRPr="007863ED">
        <w:rPr>
          <w:rFonts w:cs="Arial"/>
        </w:rPr>
        <w:t xml:space="preserve"> si asseta con un aumento rispetto all’anno precedente del 96.2%.</w:t>
      </w:r>
    </w:p>
    <w:p w:rsidR="001D6F48" w:rsidRPr="007863ED" w:rsidRDefault="001D6F48" w:rsidP="001D6F48">
      <w:pPr>
        <w:rPr>
          <w:rFonts w:cs="Arial"/>
        </w:rPr>
      </w:pPr>
      <w:r w:rsidRPr="007863ED">
        <w:rPr>
          <w:rFonts w:cs="Arial"/>
          <w:i/>
        </w:rPr>
        <w:t>I Ricavi straordinari</w:t>
      </w:r>
      <w:r w:rsidRPr="007863ED">
        <w:rPr>
          <w:rFonts w:cs="Arial"/>
        </w:rPr>
        <w:t xml:space="preserve"> hanno un incremento del 1’046% toccando gli 8'503'000. Questa cifra comprende circa 7'000'000 di franchi provenienti dalla vendita del pacchetto </w:t>
      </w:r>
      <w:proofErr w:type="spellStart"/>
      <w:r w:rsidRPr="007863ED">
        <w:rPr>
          <w:rFonts w:cs="Arial"/>
        </w:rPr>
        <w:t>Swisscanto</w:t>
      </w:r>
      <w:proofErr w:type="spellEnd"/>
      <w:r w:rsidRPr="007863ED">
        <w:rPr>
          <w:rFonts w:cs="Arial"/>
        </w:rPr>
        <w:t xml:space="preserve"> alla </w:t>
      </w:r>
      <w:proofErr w:type="spellStart"/>
      <w:r w:rsidRPr="007863ED">
        <w:rPr>
          <w:rFonts w:cs="Arial"/>
        </w:rPr>
        <w:t>Zuercher</w:t>
      </w:r>
      <w:proofErr w:type="spellEnd"/>
      <w:r w:rsidRPr="007863ED">
        <w:rPr>
          <w:rFonts w:cs="Arial"/>
        </w:rPr>
        <w:t xml:space="preserve"> </w:t>
      </w:r>
      <w:proofErr w:type="spellStart"/>
      <w:r w:rsidRPr="007863ED">
        <w:rPr>
          <w:rFonts w:cs="Arial"/>
        </w:rPr>
        <w:t>KantonalBank</w:t>
      </w:r>
      <w:proofErr w:type="spellEnd"/>
      <w:r w:rsidRPr="007863ED">
        <w:rPr>
          <w:rFonts w:cs="Arial"/>
        </w:rPr>
        <w:t xml:space="preserve">: Si tratta di un utile straordinario e parziale, poiché tale cifra corrisponde alla prima tranche; la seconda dovrebbe corrispondere ad altri 4 milioni di franchi. </w:t>
      </w:r>
      <w:r w:rsidRPr="007863ED">
        <w:rPr>
          <w:rFonts w:cs="Arial"/>
          <w:i/>
        </w:rPr>
        <w:t>I Costi straordinari</w:t>
      </w:r>
      <w:r w:rsidRPr="007863ED">
        <w:rPr>
          <w:rFonts w:cs="Arial"/>
        </w:rPr>
        <w:t xml:space="preserve"> corrispondono ai 6 milioni impiegati per costituire il capitale della Fondazione del Centenario. Si sono potuti destinare 22 milioni di franchi per riserve e rischi bancari generali e rafforzare i fondi propri della Banca. </w:t>
      </w:r>
      <w:r w:rsidRPr="007863ED">
        <w:rPr>
          <w:rFonts w:cs="Arial"/>
          <w:i/>
        </w:rPr>
        <w:t>L’Utile netto</w:t>
      </w:r>
      <w:r w:rsidRPr="007863ED">
        <w:rPr>
          <w:rFonts w:cs="Arial"/>
        </w:rPr>
        <w:t xml:space="preserve"> è aumentato del 12.4%.</w:t>
      </w:r>
    </w:p>
    <w:p w:rsidR="001D6F48" w:rsidRDefault="001D6F48" w:rsidP="001D6F48">
      <w:pPr>
        <w:rPr>
          <w:rFonts w:cs="Arial"/>
        </w:rPr>
      </w:pPr>
    </w:p>
    <w:p w:rsidR="001D6F48" w:rsidRPr="007863ED" w:rsidRDefault="001D6F48" w:rsidP="001D6F48">
      <w:pPr>
        <w:rPr>
          <w:rFonts w:cs="Arial"/>
        </w:rPr>
      </w:pPr>
    </w:p>
    <w:p w:rsidR="001D6F48" w:rsidRPr="007863ED" w:rsidRDefault="001D6F48" w:rsidP="00202840">
      <w:pPr>
        <w:pStyle w:val="Titolo2"/>
      </w:pPr>
      <w:bookmarkStart w:id="5" w:name="_Toc465169032"/>
      <w:r w:rsidRPr="007863ED">
        <w:t>2.3</w:t>
      </w:r>
      <w:r w:rsidR="00D21A21">
        <w:tab/>
      </w:r>
      <w:r w:rsidRPr="007863ED">
        <w:t>Indici finanziari</w:t>
      </w:r>
      <w:bookmarkEnd w:id="5"/>
    </w:p>
    <w:p w:rsidR="001D6F48" w:rsidRPr="003846B0" w:rsidRDefault="001D6F48" w:rsidP="001D6F48">
      <w:pPr>
        <w:rPr>
          <w:rFonts w:cs="Arial"/>
          <w:sz w:val="12"/>
          <w:szCs w:val="12"/>
        </w:rPr>
      </w:pPr>
    </w:p>
    <w:tbl>
      <w:tblPr>
        <w:tblStyle w:val="Grigliatabella"/>
        <w:tblW w:w="0" w:type="auto"/>
        <w:tblLook w:val="04A0" w:firstRow="1" w:lastRow="0" w:firstColumn="1" w:lastColumn="0" w:noHBand="0" w:noVBand="1"/>
      </w:tblPr>
      <w:tblGrid>
        <w:gridCol w:w="4666"/>
        <w:gridCol w:w="1318"/>
        <w:gridCol w:w="1318"/>
        <w:gridCol w:w="1573"/>
        <w:gridCol w:w="840"/>
      </w:tblGrid>
      <w:tr w:rsidR="001D6F48" w:rsidRPr="003846B0" w:rsidTr="002959BC">
        <w:tc>
          <w:tcPr>
            <w:tcW w:w="0" w:type="auto"/>
          </w:tcPr>
          <w:p w:rsidR="001D6F48" w:rsidRPr="003846B0" w:rsidRDefault="001D6F48" w:rsidP="002959BC">
            <w:pPr>
              <w:jc w:val="both"/>
              <w:rPr>
                <w:rFonts w:cs="Arial"/>
                <w:b/>
                <w:sz w:val="22"/>
              </w:rPr>
            </w:pPr>
            <w:r w:rsidRPr="003846B0">
              <w:rPr>
                <w:rFonts w:cs="Arial"/>
                <w:b/>
                <w:sz w:val="22"/>
              </w:rPr>
              <w:t>BILANCIO – CIFRE PRINCIPALI</w:t>
            </w:r>
          </w:p>
        </w:tc>
        <w:tc>
          <w:tcPr>
            <w:tcW w:w="0" w:type="auto"/>
          </w:tcPr>
          <w:p w:rsidR="001D6F48" w:rsidRPr="003846B0" w:rsidRDefault="001D6F48" w:rsidP="002959BC">
            <w:pPr>
              <w:jc w:val="both"/>
              <w:rPr>
                <w:rFonts w:cs="Arial"/>
                <w:b/>
                <w:sz w:val="22"/>
              </w:rPr>
            </w:pPr>
            <w:r w:rsidRPr="003846B0">
              <w:rPr>
                <w:rFonts w:cs="Arial"/>
                <w:b/>
                <w:sz w:val="22"/>
              </w:rPr>
              <w:t>31.12.2015</w:t>
            </w:r>
          </w:p>
        </w:tc>
        <w:tc>
          <w:tcPr>
            <w:tcW w:w="0" w:type="auto"/>
          </w:tcPr>
          <w:p w:rsidR="001D6F48" w:rsidRPr="003846B0" w:rsidRDefault="001D6F48" w:rsidP="002959BC">
            <w:pPr>
              <w:jc w:val="both"/>
              <w:rPr>
                <w:rFonts w:cs="Arial"/>
                <w:b/>
                <w:sz w:val="22"/>
              </w:rPr>
            </w:pPr>
            <w:r w:rsidRPr="003846B0">
              <w:rPr>
                <w:rFonts w:cs="Arial"/>
                <w:b/>
                <w:sz w:val="22"/>
              </w:rPr>
              <w:t>31.12.2014</w:t>
            </w:r>
          </w:p>
        </w:tc>
        <w:tc>
          <w:tcPr>
            <w:tcW w:w="0" w:type="auto"/>
          </w:tcPr>
          <w:p w:rsidR="001D6F48" w:rsidRPr="003846B0" w:rsidRDefault="001D6F48" w:rsidP="002959BC">
            <w:pPr>
              <w:jc w:val="both"/>
              <w:rPr>
                <w:rFonts w:cs="Arial"/>
                <w:b/>
                <w:sz w:val="22"/>
              </w:rPr>
            </w:pPr>
            <w:r w:rsidRPr="003846B0">
              <w:rPr>
                <w:rFonts w:cs="Arial"/>
                <w:b/>
                <w:sz w:val="22"/>
              </w:rPr>
              <w:t>VARIAZIONE</w:t>
            </w:r>
          </w:p>
        </w:tc>
        <w:tc>
          <w:tcPr>
            <w:tcW w:w="0" w:type="auto"/>
          </w:tcPr>
          <w:p w:rsidR="001D6F48" w:rsidRPr="003846B0" w:rsidRDefault="001D6F48" w:rsidP="002959BC">
            <w:pPr>
              <w:jc w:val="both"/>
              <w:rPr>
                <w:rFonts w:cs="Arial"/>
                <w:b/>
                <w:sz w:val="22"/>
              </w:rPr>
            </w:pPr>
            <w:r w:rsidRPr="003846B0">
              <w:rPr>
                <w:rFonts w:cs="Arial"/>
                <w:b/>
                <w:sz w:val="22"/>
              </w:rPr>
              <w:t>IN%</w:t>
            </w:r>
          </w:p>
        </w:tc>
      </w:tr>
      <w:tr w:rsidR="001D6F48" w:rsidRPr="003846B0" w:rsidTr="002959BC">
        <w:tc>
          <w:tcPr>
            <w:tcW w:w="0" w:type="auto"/>
          </w:tcPr>
          <w:p w:rsidR="001D6F48" w:rsidRPr="003846B0" w:rsidRDefault="001D6F48" w:rsidP="002959BC">
            <w:pPr>
              <w:jc w:val="both"/>
              <w:rPr>
                <w:rFonts w:cs="Arial"/>
                <w:sz w:val="22"/>
              </w:rPr>
            </w:pPr>
            <w:r w:rsidRPr="003846B0">
              <w:rPr>
                <w:rFonts w:cs="Arial"/>
                <w:sz w:val="22"/>
              </w:rPr>
              <w:t xml:space="preserve">(in </w:t>
            </w:r>
            <w:proofErr w:type="spellStart"/>
            <w:r w:rsidRPr="003846B0">
              <w:rPr>
                <w:rFonts w:cs="Arial"/>
                <w:sz w:val="22"/>
              </w:rPr>
              <w:t>CHFf</w:t>
            </w:r>
            <w:proofErr w:type="spellEnd"/>
            <w:r w:rsidRPr="003846B0">
              <w:rPr>
                <w:rFonts w:cs="Arial"/>
                <w:sz w:val="22"/>
              </w:rPr>
              <w:t xml:space="preserve"> 1'000)</w:t>
            </w:r>
          </w:p>
        </w:tc>
        <w:tc>
          <w:tcPr>
            <w:tcW w:w="0" w:type="auto"/>
          </w:tcPr>
          <w:p w:rsidR="001D6F48" w:rsidRPr="003846B0" w:rsidRDefault="001D6F48" w:rsidP="002959BC">
            <w:pPr>
              <w:jc w:val="both"/>
              <w:rPr>
                <w:rFonts w:cs="Arial"/>
                <w:b/>
                <w:sz w:val="22"/>
              </w:rPr>
            </w:pPr>
          </w:p>
        </w:tc>
        <w:tc>
          <w:tcPr>
            <w:tcW w:w="0" w:type="auto"/>
          </w:tcPr>
          <w:p w:rsidR="001D6F48" w:rsidRPr="003846B0" w:rsidRDefault="001D6F48" w:rsidP="002959BC">
            <w:pPr>
              <w:jc w:val="both"/>
              <w:rPr>
                <w:rFonts w:cs="Arial"/>
                <w:b/>
                <w:sz w:val="22"/>
              </w:rPr>
            </w:pPr>
          </w:p>
        </w:tc>
        <w:tc>
          <w:tcPr>
            <w:tcW w:w="0" w:type="auto"/>
          </w:tcPr>
          <w:p w:rsidR="001D6F48" w:rsidRPr="003846B0" w:rsidRDefault="001D6F48" w:rsidP="002959BC">
            <w:pPr>
              <w:jc w:val="both"/>
              <w:rPr>
                <w:rFonts w:cs="Arial"/>
                <w:b/>
                <w:sz w:val="22"/>
              </w:rPr>
            </w:pPr>
          </w:p>
        </w:tc>
        <w:tc>
          <w:tcPr>
            <w:tcW w:w="0" w:type="auto"/>
          </w:tcPr>
          <w:p w:rsidR="001D6F48" w:rsidRPr="003846B0" w:rsidRDefault="001D6F48" w:rsidP="002959BC">
            <w:pPr>
              <w:jc w:val="both"/>
              <w:rPr>
                <w:rFonts w:cs="Arial"/>
                <w:b/>
                <w:sz w:val="22"/>
              </w:rPr>
            </w:pPr>
          </w:p>
        </w:tc>
      </w:tr>
      <w:tr w:rsidR="001D6F48" w:rsidRPr="003846B0" w:rsidTr="002959BC">
        <w:tc>
          <w:tcPr>
            <w:tcW w:w="0" w:type="auto"/>
          </w:tcPr>
          <w:p w:rsidR="001D6F48" w:rsidRPr="003846B0" w:rsidRDefault="001D6F48" w:rsidP="002959BC">
            <w:pPr>
              <w:jc w:val="both"/>
              <w:rPr>
                <w:rFonts w:cs="Arial"/>
                <w:b/>
                <w:sz w:val="22"/>
              </w:rPr>
            </w:pPr>
            <w:r w:rsidRPr="003846B0">
              <w:rPr>
                <w:rFonts w:cs="Arial"/>
                <w:b/>
                <w:sz w:val="22"/>
              </w:rPr>
              <w:t>Crediti ipotecari</w:t>
            </w:r>
          </w:p>
        </w:tc>
        <w:tc>
          <w:tcPr>
            <w:tcW w:w="0" w:type="auto"/>
          </w:tcPr>
          <w:p w:rsidR="001D6F48" w:rsidRPr="003846B0" w:rsidRDefault="001D6F48" w:rsidP="002959BC">
            <w:pPr>
              <w:jc w:val="both"/>
              <w:rPr>
                <w:rFonts w:cs="Arial"/>
                <w:b/>
                <w:sz w:val="22"/>
              </w:rPr>
            </w:pPr>
            <w:r w:rsidRPr="003846B0">
              <w:rPr>
                <w:rFonts w:cs="Arial"/>
                <w:b/>
                <w:sz w:val="22"/>
              </w:rPr>
              <w:t>7'738’404</w:t>
            </w:r>
          </w:p>
        </w:tc>
        <w:tc>
          <w:tcPr>
            <w:tcW w:w="0" w:type="auto"/>
          </w:tcPr>
          <w:p w:rsidR="001D6F48" w:rsidRPr="003846B0" w:rsidRDefault="001D6F48" w:rsidP="002959BC">
            <w:pPr>
              <w:jc w:val="both"/>
              <w:rPr>
                <w:rFonts w:cs="Arial"/>
                <w:sz w:val="22"/>
              </w:rPr>
            </w:pPr>
            <w:r w:rsidRPr="003846B0">
              <w:rPr>
                <w:rFonts w:cs="Arial"/>
                <w:sz w:val="22"/>
              </w:rPr>
              <w:t>7'314’789</w:t>
            </w:r>
          </w:p>
        </w:tc>
        <w:tc>
          <w:tcPr>
            <w:tcW w:w="0" w:type="auto"/>
          </w:tcPr>
          <w:p w:rsidR="001D6F48" w:rsidRPr="003846B0" w:rsidRDefault="001D6F48" w:rsidP="002959BC">
            <w:pPr>
              <w:jc w:val="both"/>
              <w:rPr>
                <w:rFonts w:cs="Arial"/>
                <w:b/>
                <w:sz w:val="22"/>
              </w:rPr>
            </w:pPr>
            <w:r w:rsidRPr="003846B0">
              <w:rPr>
                <w:rFonts w:cs="Arial"/>
                <w:b/>
                <w:sz w:val="22"/>
              </w:rPr>
              <w:t>423’615</w:t>
            </w:r>
          </w:p>
        </w:tc>
        <w:tc>
          <w:tcPr>
            <w:tcW w:w="0" w:type="auto"/>
          </w:tcPr>
          <w:p w:rsidR="001D6F48" w:rsidRPr="003846B0" w:rsidRDefault="001D6F48" w:rsidP="002959BC">
            <w:pPr>
              <w:jc w:val="both"/>
              <w:rPr>
                <w:rFonts w:cs="Arial"/>
                <w:sz w:val="22"/>
              </w:rPr>
            </w:pPr>
            <w:r w:rsidRPr="003846B0">
              <w:rPr>
                <w:rFonts w:cs="Arial"/>
                <w:sz w:val="22"/>
              </w:rPr>
              <w:t>5.79</w:t>
            </w:r>
          </w:p>
        </w:tc>
      </w:tr>
      <w:tr w:rsidR="001D6F48" w:rsidRPr="003846B0" w:rsidTr="002959BC">
        <w:tc>
          <w:tcPr>
            <w:tcW w:w="0" w:type="auto"/>
          </w:tcPr>
          <w:p w:rsidR="001D6F48" w:rsidRPr="003846B0" w:rsidRDefault="001D6F48" w:rsidP="002959BC">
            <w:pPr>
              <w:jc w:val="both"/>
              <w:rPr>
                <w:rFonts w:cs="Arial"/>
                <w:b/>
                <w:sz w:val="22"/>
              </w:rPr>
            </w:pPr>
            <w:r w:rsidRPr="003846B0">
              <w:rPr>
                <w:rFonts w:cs="Arial"/>
                <w:b/>
                <w:sz w:val="22"/>
              </w:rPr>
              <w:t>Crediti nei confronti della clientela</w:t>
            </w:r>
          </w:p>
        </w:tc>
        <w:tc>
          <w:tcPr>
            <w:tcW w:w="0" w:type="auto"/>
          </w:tcPr>
          <w:p w:rsidR="001D6F48" w:rsidRPr="003846B0" w:rsidRDefault="001D6F48" w:rsidP="002959BC">
            <w:pPr>
              <w:jc w:val="both"/>
              <w:rPr>
                <w:rFonts w:cs="Arial"/>
                <w:b/>
                <w:sz w:val="22"/>
              </w:rPr>
            </w:pPr>
            <w:r w:rsidRPr="003846B0">
              <w:rPr>
                <w:rFonts w:cs="Arial"/>
                <w:b/>
                <w:sz w:val="22"/>
              </w:rPr>
              <w:t>1'784’253</w:t>
            </w:r>
          </w:p>
        </w:tc>
        <w:tc>
          <w:tcPr>
            <w:tcW w:w="0" w:type="auto"/>
          </w:tcPr>
          <w:p w:rsidR="001D6F48" w:rsidRPr="003846B0" w:rsidRDefault="001D6F48" w:rsidP="002959BC">
            <w:pPr>
              <w:jc w:val="both"/>
              <w:rPr>
                <w:rFonts w:cs="Arial"/>
                <w:sz w:val="22"/>
              </w:rPr>
            </w:pPr>
            <w:r w:rsidRPr="003846B0">
              <w:rPr>
                <w:rFonts w:cs="Arial"/>
                <w:sz w:val="22"/>
              </w:rPr>
              <w:t>1'838’792</w:t>
            </w:r>
          </w:p>
        </w:tc>
        <w:tc>
          <w:tcPr>
            <w:tcW w:w="0" w:type="auto"/>
          </w:tcPr>
          <w:p w:rsidR="001D6F48" w:rsidRPr="003846B0" w:rsidRDefault="001D6F48" w:rsidP="002959BC">
            <w:pPr>
              <w:jc w:val="both"/>
              <w:rPr>
                <w:rFonts w:cs="Arial"/>
                <w:b/>
                <w:sz w:val="22"/>
              </w:rPr>
            </w:pPr>
            <w:r w:rsidRPr="003846B0">
              <w:rPr>
                <w:rFonts w:cs="Arial"/>
                <w:b/>
                <w:sz w:val="22"/>
              </w:rPr>
              <w:t>-54’539</w:t>
            </w:r>
          </w:p>
        </w:tc>
        <w:tc>
          <w:tcPr>
            <w:tcW w:w="0" w:type="auto"/>
          </w:tcPr>
          <w:p w:rsidR="001D6F48" w:rsidRPr="003846B0" w:rsidRDefault="001D6F48" w:rsidP="002959BC">
            <w:pPr>
              <w:jc w:val="both"/>
              <w:rPr>
                <w:rFonts w:cs="Arial"/>
                <w:sz w:val="22"/>
              </w:rPr>
            </w:pPr>
            <w:r w:rsidRPr="003846B0">
              <w:rPr>
                <w:rFonts w:cs="Arial"/>
                <w:sz w:val="22"/>
              </w:rPr>
              <w:t>-2.97</w:t>
            </w:r>
          </w:p>
        </w:tc>
      </w:tr>
      <w:tr w:rsidR="001D6F48" w:rsidRPr="003846B0" w:rsidTr="002959BC">
        <w:tc>
          <w:tcPr>
            <w:tcW w:w="0" w:type="auto"/>
          </w:tcPr>
          <w:p w:rsidR="001D6F48" w:rsidRPr="003846B0" w:rsidRDefault="001D6F48" w:rsidP="002959BC">
            <w:pPr>
              <w:jc w:val="both"/>
              <w:rPr>
                <w:rFonts w:cs="Arial"/>
                <w:b/>
                <w:sz w:val="22"/>
              </w:rPr>
            </w:pPr>
            <w:r w:rsidRPr="003846B0">
              <w:rPr>
                <w:rFonts w:cs="Arial"/>
                <w:b/>
                <w:sz w:val="22"/>
              </w:rPr>
              <w:t>Totale crediti alla clientela</w:t>
            </w:r>
          </w:p>
        </w:tc>
        <w:tc>
          <w:tcPr>
            <w:tcW w:w="0" w:type="auto"/>
          </w:tcPr>
          <w:p w:rsidR="001D6F48" w:rsidRPr="003846B0" w:rsidRDefault="001D6F48" w:rsidP="002959BC">
            <w:pPr>
              <w:jc w:val="both"/>
              <w:rPr>
                <w:rFonts w:cs="Arial"/>
                <w:b/>
                <w:sz w:val="22"/>
              </w:rPr>
            </w:pPr>
            <w:r w:rsidRPr="003846B0">
              <w:rPr>
                <w:rFonts w:cs="Arial"/>
                <w:b/>
                <w:sz w:val="22"/>
              </w:rPr>
              <w:t>9'522’657</w:t>
            </w:r>
          </w:p>
        </w:tc>
        <w:tc>
          <w:tcPr>
            <w:tcW w:w="0" w:type="auto"/>
          </w:tcPr>
          <w:p w:rsidR="001D6F48" w:rsidRPr="003846B0" w:rsidRDefault="001D6F48" w:rsidP="002959BC">
            <w:pPr>
              <w:jc w:val="both"/>
              <w:rPr>
                <w:rFonts w:cs="Arial"/>
                <w:sz w:val="22"/>
              </w:rPr>
            </w:pPr>
            <w:r w:rsidRPr="003846B0">
              <w:rPr>
                <w:rFonts w:cs="Arial"/>
                <w:sz w:val="22"/>
              </w:rPr>
              <w:t>9'153’581</w:t>
            </w:r>
          </w:p>
        </w:tc>
        <w:tc>
          <w:tcPr>
            <w:tcW w:w="0" w:type="auto"/>
          </w:tcPr>
          <w:p w:rsidR="001D6F48" w:rsidRPr="003846B0" w:rsidRDefault="001D6F48" w:rsidP="002959BC">
            <w:pPr>
              <w:jc w:val="both"/>
              <w:rPr>
                <w:rFonts w:cs="Arial"/>
                <w:b/>
                <w:sz w:val="22"/>
              </w:rPr>
            </w:pPr>
            <w:r w:rsidRPr="003846B0">
              <w:rPr>
                <w:rFonts w:cs="Arial"/>
                <w:b/>
                <w:sz w:val="22"/>
              </w:rPr>
              <w:t>369’076</w:t>
            </w:r>
          </w:p>
        </w:tc>
        <w:tc>
          <w:tcPr>
            <w:tcW w:w="0" w:type="auto"/>
          </w:tcPr>
          <w:p w:rsidR="001D6F48" w:rsidRPr="003846B0" w:rsidRDefault="001D6F48" w:rsidP="002959BC">
            <w:pPr>
              <w:jc w:val="both"/>
              <w:rPr>
                <w:rFonts w:cs="Arial"/>
                <w:sz w:val="22"/>
              </w:rPr>
            </w:pPr>
            <w:r w:rsidRPr="003846B0">
              <w:rPr>
                <w:rFonts w:cs="Arial"/>
                <w:sz w:val="22"/>
              </w:rPr>
              <w:t>4.03</w:t>
            </w:r>
          </w:p>
        </w:tc>
      </w:tr>
      <w:tr w:rsidR="001D6F48" w:rsidRPr="003846B0" w:rsidTr="002959BC">
        <w:tc>
          <w:tcPr>
            <w:tcW w:w="0" w:type="auto"/>
          </w:tcPr>
          <w:p w:rsidR="001D6F48" w:rsidRPr="003846B0" w:rsidRDefault="001D6F48" w:rsidP="002959BC">
            <w:pPr>
              <w:jc w:val="both"/>
              <w:rPr>
                <w:rFonts w:cs="Arial"/>
                <w:b/>
                <w:sz w:val="22"/>
              </w:rPr>
            </w:pPr>
          </w:p>
        </w:tc>
        <w:tc>
          <w:tcPr>
            <w:tcW w:w="0" w:type="auto"/>
          </w:tcPr>
          <w:p w:rsidR="001D6F48" w:rsidRPr="003846B0" w:rsidRDefault="001D6F48" w:rsidP="002959BC">
            <w:pPr>
              <w:jc w:val="both"/>
              <w:rPr>
                <w:rFonts w:cs="Arial"/>
                <w:b/>
                <w:sz w:val="22"/>
              </w:rPr>
            </w:pPr>
          </w:p>
        </w:tc>
        <w:tc>
          <w:tcPr>
            <w:tcW w:w="0" w:type="auto"/>
          </w:tcPr>
          <w:p w:rsidR="001D6F48" w:rsidRPr="003846B0" w:rsidRDefault="001D6F48" w:rsidP="002959BC">
            <w:pPr>
              <w:jc w:val="both"/>
              <w:rPr>
                <w:rFonts w:cs="Arial"/>
                <w:sz w:val="22"/>
              </w:rPr>
            </w:pPr>
          </w:p>
        </w:tc>
        <w:tc>
          <w:tcPr>
            <w:tcW w:w="0" w:type="auto"/>
          </w:tcPr>
          <w:p w:rsidR="001D6F48" w:rsidRPr="003846B0" w:rsidRDefault="001D6F48" w:rsidP="002959BC">
            <w:pPr>
              <w:jc w:val="both"/>
              <w:rPr>
                <w:rFonts w:cs="Arial"/>
                <w:b/>
                <w:sz w:val="22"/>
              </w:rPr>
            </w:pPr>
          </w:p>
        </w:tc>
        <w:tc>
          <w:tcPr>
            <w:tcW w:w="0" w:type="auto"/>
          </w:tcPr>
          <w:p w:rsidR="001D6F48" w:rsidRPr="003846B0" w:rsidRDefault="001D6F48" w:rsidP="002959BC">
            <w:pPr>
              <w:jc w:val="both"/>
              <w:rPr>
                <w:rFonts w:cs="Arial"/>
                <w:sz w:val="22"/>
              </w:rPr>
            </w:pPr>
          </w:p>
        </w:tc>
      </w:tr>
      <w:tr w:rsidR="001D6F48" w:rsidRPr="003846B0" w:rsidTr="002959BC">
        <w:tc>
          <w:tcPr>
            <w:tcW w:w="0" w:type="auto"/>
          </w:tcPr>
          <w:p w:rsidR="001D6F48" w:rsidRPr="003846B0" w:rsidRDefault="001D6F48" w:rsidP="002959BC">
            <w:pPr>
              <w:jc w:val="both"/>
              <w:rPr>
                <w:rFonts w:cs="Arial"/>
                <w:b/>
                <w:sz w:val="22"/>
              </w:rPr>
            </w:pPr>
            <w:r w:rsidRPr="003846B0">
              <w:rPr>
                <w:rFonts w:cs="Arial"/>
                <w:b/>
                <w:sz w:val="22"/>
              </w:rPr>
              <w:t>Obbligazioni di cassa</w:t>
            </w:r>
          </w:p>
        </w:tc>
        <w:tc>
          <w:tcPr>
            <w:tcW w:w="0" w:type="auto"/>
          </w:tcPr>
          <w:p w:rsidR="001D6F48" w:rsidRPr="003846B0" w:rsidRDefault="001D6F48" w:rsidP="002959BC">
            <w:pPr>
              <w:jc w:val="both"/>
              <w:rPr>
                <w:rFonts w:cs="Arial"/>
                <w:b/>
                <w:sz w:val="22"/>
              </w:rPr>
            </w:pPr>
            <w:r w:rsidRPr="003846B0">
              <w:rPr>
                <w:rFonts w:cs="Arial"/>
                <w:b/>
                <w:sz w:val="22"/>
              </w:rPr>
              <w:t>5’765</w:t>
            </w:r>
          </w:p>
        </w:tc>
        <w:tc>
          <w:tcPr>
            <w:tcW w:w="0" w:type="auto"/>
          </w:tcPr>
          <w:p w:rsidR="001D6F48" w:rsidRPr="003846B0" w:rsidRDefault="001D6F48" w:rsidP="002959BC">
            <w:pPr>
              <w:jc w:val="both"/>
              <w:rPr>
                <w:rFonts w:cs="Arial"/>
                <w:sz w:val="22"/>
              </w:rPr>
            </w:pPr>
            <w:r w:rsidRPr="003846B0">
              <w:rPr>
                <w:rFonts w:cs="Arial"/>
                <w:sz w:val="22"/>
              </w:rPr>
              <w:t>10’288</w:t>
            </w:r>
          </w:p>
        </w:tc>
        <w:tc>
          <w:tcPr>
            <w:tcW w:w="0" w:type="auto"/>
          </w:tcPr>
          <w:p w:rsidR="001D6F48" w:rsidRPr="003846B0" w:rsidRDefault="001D6F48" w:rsidP="002959BC">
            <w:pPr>
              <w:jc w:val="both"/>
              <w:rPr>
                <w:rFonts w:cs="Arial"/>
                <w:b/>
                <w:sz w:val="22"/>
              </w:rPr>
            </w:pPr>
            <w:r w:rsidRPr="003846B0">
              <w:rPr>
                <w:rFonts w:cs="Arial"/>
                <w:b/>
                <w:sz w:val="22"/>
              </w:rPr>
              <w:t>-4’523</w:t>
            </w:r>
          </w:p>
        </w:tc>
        <w:tc>
          <w:tcPr>
            <w:tcW w:w="0" w:type="auto"/>
          </w:tcPr>
          <w:p w:rsidR="001D6F48" w:rsidRPr="003846B0" w:rsidRDefault="001D6F48" w:rsidP="002959BC">
            <w:pPr>
              <w:jc w:val="both"/>
              <w:rPr>
                <w:rFonts w:cs="Arial"/>
                <w:sz w:val="22"/>
              </w:rPr>
            </w:pPr>
            <w:r w:rsidRPr="003846B0">
              <w:rPr>
                <w:rFonts w:cs="Arial"/>
                <w:sz w:val="22"/>
              </w:rPr>
              <w:t>-43.97</w:t>
            </w:r>
          </w:p>
        </w:tc>
      </w:tr>
      <w:tr w:rsidR="001D6F48" w:rsidRPr="003846B0" w:rsidTr="002959BC">
        <w:tc>
          <w:tcPr>
            <w:tcW w:w="0" w:type="auto"/>
          </w:tcPr>
          <w:p w:rsidR="001D6F48" w:rsidRPr="003846B0" w:rsidRDefault="001D6F48" w:rsidP="002959BC">
            <w:pPr>
              <w:jc w:val="both"/>
              <w:rPr>
                <w:rFonts w:cs="Arial"/>
                <w:b/>
                <w:sz w:val="22"/>
              </w:rPr>
            </w:pPr>
            <w:r w:rsidRPr="003846B0">
              <w:rPr>
                <w:rFonts w:cs="Arial"/>
                <w:b/>
                <w:sz w:val="22"/>
              </w:rPr>
              <w:t>Totale impegni nei confronti della clientela</w:t>
            </w:r>
          </w:p>
        </w:tc>
        <w:tc>
          <w:tcPr>
            <w:tcW w:w="0" w:type="auto"/>
          </w:tcPr>
          <w:p w:rsidR="001D6F48" w:rsidRPr="003846B0" w:rsidRDefault="001D6F48" w:rsidP="002959BC">
            <w:pPr>
              <w:jc w:val="both"/>
              <w:rPr>
                <w:rFonts w:cs="Arial"/>
                <w:b/>
                <w:sz w:val="22"/>
              </w:rPr>
            </w:pPr>
            <w:r w:rsidRPr="003846B0">
              <w:rPr>
                <w:rFonts w:cs="Arial"/>
                <w:b/>
                <w:sz w:val="22"/>
              </w:rPr>
              <w:t>6'769’000</w:t>
            </w:r>
          </w:p>
        </w:tc>
        <w:tc>
          <w:tcPr>
            <w:tcW w:w="0" w:type="auto"/>
          </w:tcPr>
          <w:p w:rsidR="001D6F48" w:rsidRPr="003846B0" w:rsidRDefault="001D6F48" w:rsidP="002959BC">
            <w:pPr>
              <w:jc w:val="both"/>
              <w:rPr>
                <w:rFonts w:cs="Arial"/>
                <w:sz w:val="22"/>
              </w:rPr>
            </w:pPr>
            <w:r w:rsidRPr="003846B0">
              <w:rPr>
                <w:rFonts w:cs="Arial"/>
                <w:sz w:val="22"/>
              </w:rPr>
              <w:t>6'595’000</w:t>
            </w:r>
          </w:p>
        </w:tc>
        <w:tc>
          <w:tcPr>
            <w:tcW w:w="0" w:type="auto"/>
          </w:tcPr>
          <w:p w:rsidR="001D6F48" w:rsidRPr="003846B0" w:rsidRDefault="001D6F48" w:rsidP="002959BC">
            <w:pPr>
              <w:jc w:val="both"/>
              <w:rPr>
                <w:rFonts w:cs="Arial"/>
                <w:b/>
                <w:sz w:val="22"/>
              </w:rPr>
            </w:pPr>
            <w:r w:rsidRPr="003846B0">
              <w:rPr>
                <w:rFonts w:cs="Arial"/>
                <w:b/>
                <w:sz w:val="22"/>
              </w:rPr>
              <w:t>174’000</w:t>
            </w:r>
          </w:p>
        </w:tc>
        <w:tc>
          <w:tcPr>
            <w:tcW w:w="0" w:type="auto"/>
          </w:tcPr>
          <w:p w:rsidR="001D6F48" w:rsidRPr="003846B0" w:rsidRDefault="001D6F48" w:rsidP="002959BC">
            <w:pPr>
              <w:jc w:val="both"/>
              <w:rPr>
                <w:rFonts w:cs="Arial"/>
                <w:sz w:val="22"/>
              </w:rPr>
            </w:pPr>
            <w:r w:rsidRPr="003846B0">
              <w:rPr>
                <w:rFonts w:cs="Arial"/>
                <w:sz w:val="22"/>
              </w:rPr>
              <w:t>2.7</w:t>
            </w:r>
          </w:p>
        </w:tc>
      </w:tr>
      <w:tr w:rsidR="001D6F48" w:rsidRPr="003846B0" w:rsidTr="002959BC">
        <w:tc>
          <w:tcPr>
            <w:tcW w:w="0" w:type="auto"/>
          </w:tcPr>
          <w:p w:rsidR="001D6F48" w:rsidRPr="003846B0" w:rsidRDefault="001D6F48" w:rsidP="002959BC">
            <w:pPr>
              <w:jc w:val="both"/>
              <w:rPr>
                <w:rFonts w:cs="Arial"/>
                <w:b/>
                <w:sz w:val="22"/>
              </w:rPr>
            </w:pPr>
            <w:r w:rsidRPr="003846B0">
              <w:rPr>
                <w:rFonts w:cs="Arial"/>
                <w:b/>
                <w:sz w:val="22"/>
              </w:rPr>
              <w:t>Capitale proprio</w:t>
            </w:r>
          </w:p>
        </w:tc>
        <w:tc>
          <w:tcPr>
            <w:tcW w:w="0" w:type="auto"/>
          </w:tcPr>
          <w:p w:rsidR="001D6F48" w:rsidRPr="003846B0" w:rsidRDefault="001D6F48" w:rsidP="002959BC">
            <w:pPr>
              <w:jc w:val="both"/>
              <w:rPr>
                <w:rFonts w:cs="Arial"/>
                <w:b/>
                <w:sz w:val="22"/>
              </w:rPr>
            </w:pPr>
            <w:r w:rsidRPr="003846B0">
              <w:rPr>
                <w:rFonts w:cs="Arial"/>
                <w:b/>
                <w:sz w:val="22"/>
              </w:rPr>
              <w:t>886'445</w:t>
            </w:r>
          </w:p>
        </w:tc>
        <w:tc>
          <w:tcPr>
            <w:tcW w:w="0" w:type="auto"/>
          </w:tcPr>
          <w:p w:rsidR="001D6F48" w:rsidRPr="003846B0" w:rsidRDefault="001D6F48" w:rsidP="002959BC">
            <w:pPr>
              <w:jc w:val="both"/>
              <w:rPr>
                <w:rFonts w:cs="Arial"/>
                <w:sz w:val="22"/>
              </w:rPr>
            </w:pPr>
            <w:r w:rsidRPr="003846B0">
              <w:rPr>
                <w:rFonts w:cs="Arial"/>
                <w:sz w:val="22"/>
              </w:rPr>
              <w:t>852’918</w:t>
            </w:r>
          </w:p>
        </w:tc>
        <w:tc>
          <w:tcPr>
            <w:tcW w:w="0" w:type="auto"/>
          </w:tcPr>
          <w:p w:rsidR="001D6F48" w:rsidRPr="003846B0" w:rsidRDefault="001D6F48" w:rsidP="002959BC">
            <w:pPr>
              <w:jc w:val="both"/>
              <w:rPr>
                <w:rFonts w:cs="Arial"/>
                <w:b/>
                <w:sz w:val="22"/>
              </w:rPr>
            </w:pPr>
            <w:r w:rsidRPr="003846B0">
              <w:rPr>
                <w:rFonts w:cs="Arial"/>
                <w:b/>
                <w:sz w:val="22"/>
              </w:rPr>
              <w:t>33527</w:t>
            </w:r>
          </w:p>
        </w:tc>
        <w:tc>
          <w:tcPr>
            <w:tcW w:w="0" w:type="auto"/>
          </w:tcPr>
          <w:p w:rsidR="001D6F48" w:rsidRPr="003846B0" w:rsidRDefault="001D6F48" w:rsidP="002959BC">
            <w:pPr>
              <w:jc w:val="both"/>
              <w:rPr>
                <w:rFonts w:cs="Arial"/>
                <w:sz w:val="22"/>
              </w:rPr>
            </w:pPr>
            <w:r w:rsidRPr="003846B0">
              <w:rPr>
                <w:rFonts w:cs="Arial"/>
                <w:sz w:val="22"/>
              </w:rPr>
              <w:t>3.93</w:t>
            </w:r>
          </w:p>
        </w:tc>
      </w:tr>
      <w:tr w:rsidR="001D6F48" w:rsidRPr="003846B0" w:rsidTr="002959BC">
        <w:tc>
          <w:tcPr>
            <w:tcW w:w="0" w:type="auto"/>
          </w:tcPr>
          <w:p w:rsidR="001D6F48" w:rsidRPr="003846B0" w:rsidRDefault="001D6F48" w:rsidP="002959BC">
            <w:pPr>
              <w:jc w:val="both"/>
              <w:rPr>
                <w:rFonts w:cs="Arial"/>
                <w:b/>
                <w:sz w:val="22"/>
              </w:rPr>
            </w:pPr>
            <w:r w:rsidRPr="003846B0">
              <w:rPr>
                <w:rFonts w:cs="Arial"/>
                <w:b/>
                <w:sz w:val="22"/>
              </w:rPr>
              <w:t>Utile Lordo</w:t>
            </w:r>
          </w:p>
        </w:tc>
        <w:tc>
          <w:tcPr>
            <w:tcW w:w="0" w:type="auto"/>
          </w:tcPr>
          <w:p w:rsidR="001D6F48" w:rsidRPr="003846B0" w:rsidRDefault="001D6F48" w:rsidP="002959BC">
            <w:pPr>
              <w:jc w:val="both"/>
              <w:rPr>
                <w:rFonts w:cs="Arial"/>
                <w:b/>
                <w:sz w:val="22"/>
              </w:rPr>
            </w:pPr>
            <w:r w:rsidRPr="003846B0">
              <w:rPr>
                <w:rFonts w:cs="Arial"/>
                <w:b/>
                <w:sz w:val="22"/>
              </w:rPr>
              <w:t>82’500</w:t>
            </w:r>
          </w:p>
        </w:tc>
        <w:tc>
          <w:tcPr>
            <w:tcW w:w="0" w:type="auto"/>
          </w:tcPr>
          <w:p w:rsidR="001D6F48" w:rsidRPr="003846B0" w:rsidRDefault="001D6F48" w:rsidP="002959BC">
            <w:pPr>
              <w:jc w:val="both"/>
              <w:rPr>
                <w:rFonts w:cs="Arial"/>
                <w:sz w:val="22"/>
              </w:rPr>
            </w:pPr>
            <w:r w:rsidRPr="003846B0">
              <w:rPr>
                <w:rFonts w:cs="Arial"/>
                <w:sz w:val="22"/>
              </w:rPr>
              <w:t>52’600</w:t>
            </w:r>
          </w:p>
        </w:tc>
        <w:tc>
          <w:tcPr>
            <w:tcW w:w="0" w:type="auto"/>
          </w:tcPr>
          <w:p w:rsidR="001D6F48" w:rsidRPr="003846B0" w:rsidRDefault="001D6F48" w:rsidP="002959BC">
            <w:pPr>
              <w:jc w:val="both"/>
              <w:rPr>
                <w:rFonts w:cs="Arial"/>
                <w:b/>
                <w:sz w:val="22"/>
              </w:rPr>
            </w:pPr>
            <w:r w:rsidRPr="003846B0">
              <w:rPr>
                <w:rFonts w:cs="Arial"/>
                <w:b/>
                <w:sz w:val="22"/>
              </w:rPr>
              <w:t>29’900</w:t>
            </w:r>
          </w:p>
        </w:tc>
        <w:tc>
          <w:tcPr>
            <w:tcW w:w="0" w:type="auto"/>
          </w:tcPr>
          <w:p w:rsidR="001D6F48" w:rsidRPr="003846B0" w:rsidRDefault="001D6F48" w:rsidP="002959BC">
            <w:pPr>
              <w:jc w:val="both"/>
              <w:rPr>
                <w:rFonts w:cs="Arial"/>
                <w:sz w:val="22"/>
              </w:rPr>
            </w:pPr>
            <w:r w:rsidRPr="003846B0">
              <w:rPr>
                <w:rFonts w:cs="Arial"/>
                <w:sz w:val="22"/>
              </w:rPr>
              <w:t>56.84</w:t>
            </w:r>
          </w:p>
        </w:tc>
      </w:tr>
      <w:tr w:rsidR="001D6F48" w:rsidRPr="003846B0" w:rsidTr="002959BC">
        <w:tc>
          <w:tcPr>
            <w:tcW w:w="0" w:type="auto"/>
          </w:tcPr>
          <w:p w:rsidR="001D6F48" w:rsidRPr="003846B0" w:rsidRDefault="001D6F48" w:rsidP="002959BC">
            <w:pPr>
              <w:jc w:val="both"/>
              <w:rPr>
                <w:rFonts w:cs="Arial"/>
                <w:b/>
                <w:sz w:val="22"/>
              </w:rPr>
            </w:pPr>
            <w:r w:rsidRPr="003846B0">
              <w:rPr>
                <w:rFonts w:cs="Arial"/>
                <w:b/>
                <w:sz w:val="22"/>
              </w:rPr>
              <w:t>Utile netto</w:t>
            </w:r>
          </w:p>
        </w:tc>
        <w:tc>
          <w:tcPr>
            <w:tcW w:w="0" w:type="auto"/>
          </w:tcPr>
          <w:p w:rsidR="001D6F48" w:rsidRPr="003846B0" w:rsidRDefault="001D6F48" w:rsidP="002959BC">
            <w:pPr>
              <w:jc w:val="both"/>
              <w:rPr>
                <w:rFonts w:cs="Arial"/>
                <w:b/>
                <w:sz w:val="22"/>
              </w:rPr>
            </w:pPr>
            <w:r w:rsidRPr="003846B0">
              <w:rPr>
                <w:rFonts w:cs="Arial"/>
                <w:b/>
                <w:sz w:val="22"/>
              </w:rPr>
              <w:t>43’800</w:t>
            </w:r>
          </w:p>
        </w:tc>
        <w:tc>
          <w:tcPr>
            <w:tcW w:w="0" w:type="auto"/>
          </w:tcPr>
          <w:p w:rsidR="001D6F48" w:rsidRPr="003846B0" w:rsidRDefault="001D6F48" w:rsidP="002959BC">
            <w:pPr>
              <w:jc w:val="both"/>
              <w:rPr>
                <w:rFonts w:cs="Arial"/>
                <w:sz w:val="22"/>
              </w:rPr>
            </w:pPr>
            <w:r w:rsidRPr="003846B0">
              <w:rPr>
                <w:rFonts w:cs="Arial"/>
                <w:sz w:val="22"/>
              </w:rPr>
              <w:t>39’000</w:t>
            </w:r>
          </w:p>
        </w:tc>
        <w:tc>
          <w:tcPr>
            <w:tcW w:w="0" w:type="auto"/>
          </w:tcPr>
          <w:p w:rsidR="001D6F48" w:rsidRPr="003846B0" w:rsidRDefault="001D6F48" w:rsidP="002959BC">
            <w:pPr>
              <w:jc w:val="both"/>
              <w:rPr>
                <w:rFonts w:cs="Arial"/>
                <w:b/>
                <w:sz w:val="22"/>
              </w:rPr>
            </w:pPr>
            <w:r w:rsidRPr="003846B0">
              <w:rPr>
                <w:rFonts w:cs="Arial"/>
                <w:b/>
                <w:sz w:val="22"/>
              </w:rPr>
              <w:t>4’800</w:t>
            </w:r>
          </w:p>
        </w:tc>
        <w:tc>
          <w:tcPr>
            <w:tcW w:w="0" w:type="auto"/>
          </w:tcPr>
          <w:p w:rsidR="001D6F48" w:rsidRPr="003846B0" w:rsidRDefault="001D6F48" w:rsidP="002959BC">
            <w:pPr>
              <w:jc w:val="both"/>
              <w:rPr>
                <w:rFonts w:cs="Arial"/>
                <w:sz w:val="22"/>
              </w:rPr>
            </w:pPr>
            <w:r w:rsidRPr="003846B0">
              <w:rPr>
                <w:rFonts w:cs="Arial"/>
                <w:sz w:val="22"/>
              </w:rPr>
              <w:t>12.3</w:t>
            </w:r>
          </w:p>
        </w:tc>
      </w:tr>
      <w:tr w:rsidR="001D6F48" w:rsidRPr="003846B0" w:rsidTr="002959BC">
        <w:tc>
          <w:tcPr>
            <w:tcW w:w="0" w:type="auto"/>
          </w:tcPr>
          <w:p w:rsidR="001D6F48" w:rsidRPr="003846B0" w:rsidRDefault="001D6F48" w:rsidP="002959BC">
            <w:pPr>
              <w:jc w:val="both"/>
              <w:rPr>
                <w:rFonts w:cs="Arial"/>
                <w:b/>
                <w:sz w:val="22"/>
              </w:rPr>
            </w:pPr>
            <w:r w:rsidRPr="003846B0">
              <w:rPr>
                <w:rFonts w:cs="Arial"/>
                <w:b/>
                <w:sz w:val="22"/>
              </w:rPr>
              <w:t>Versamento al Cantone</w:t>
            </w:r>
          </w:p>
        </w:tc>
        <w:tc>
          <w:tcPr>
            <w:tcW w:w="0" w:type="auto"/>
          </w:tcPr>
          <w:p w:rsidR="001D6F48" w:rsidRPr="003846B0" w:rsidRDefault="001D6F48" w:rsidP="002959BC">
            <w:pPr>
              <w:jc w:val="both"/>
              <w:rPr>
                <w:rFonts w:cs="Arial"/>
                <w:b/>
                <w:sz w:val="22"/>
              </w:rPr>
            </w:pPr>
            <w:r w:rsidRPr="003846B0">
              <w:rPr>
                <w:rFonts w:cs="Arial"/>
                <w:b/>
                <w:sz w:val="22"/>
              </w:rPr>
              <w:t>33’200</w:t>
            </w:r>
          </w:p>
        </w:tc>
        <w:tc>
          <w:tcPr>
            <w:tcW w:w="0" w:type="auto"/>
          </w:tcPr>
          <w:p w:rsidR="001D6F48" w:rsidRPr="003846B0" w:rsidRDefault="001D6F48" w:rsidP="002959BC">
            <w:pPr>
              <w:jc w:val="both"/>
              <w:rPr>
                <w:rFonts w:cs="Arial"/>
                <w:sz w:val="22"/>
              </w:rPr>
            </w:pPr>
            <w:r w:rsidRPr="003846B0">
              <w:rPr>
                <w:rFonts w:cs="Arial"/>
                <w:sz w:val="22"/>
              </w:rPr>
              <w:t>29’300</w:t>
            </w:r>
          </w:p>
        </w:tc>
        <w:tc>
          <w:tcPr>
            <w:tcW w:w="0" w:type="auto"/>
          </w:tcPr>
          <w:p w:rsidR="001D6F48" w:rsidRPr="003846B0" w:rsidRDefault="001D6F48" w:rsidP="002959BC">
            <w:pPr>
              <w:jc w:val="both"/>
              <w:rPr>
                <w:rFonts w:cs="Arial"/>
                <w:b/>
                <w:sz w:val="22"/>
              </w:rPr>
            </w:pPr>
            <w:r w:rsidRPr="003846B0">
              <w:rPr>
                <w:rFonts w:cs="Arial"/>
                <w:b/>
                <w:sz w:val="22"/>
              </w:rPr>
              <w:t>3’900</w:t>
            </w:r>
          </w:p>
        </w:tc>
        <w:tc>
          <w:tcPr>
            <w:tcW w:w="0" w:type="auto"/>
          </w:tcPr>
          <w:p w:rsidR="001D6F48" w:rsidRPr="003846B0" w:rsidRDefault="001D6F48" w:rsidP="002959BC">
            <w:pPr>
              <w:jc w:val="both"/>
              <w:rPr>
                <w:rFonts w:cs="Arial"/>
                <w:sz w:val="22"/>
              </w:rPr>
            </w:pPr>
            <w:r w:rsidRPr="003846B0">
              <w:rPr>
                <w:rFonts w:cs="Arial"/>
                <w:sz w:val="22"/>
              </w:rPr>
              <w:t>13.31</w:t>
            </w:r>
          </w:p>
        </w:tc>
      </w:tr>
      <w:tr w:rsidR="001D6F48" w:rsidRPr="003846B0" w:rsidTr="002959BC">
        <w:tc>
          <w:tcPr>
            <w:tcW w:w="0" w:type="auto"/>
          </w:tcPr>
          <w:p w:rsidR="001D6F48" w:rsidRPr="003846B0" w:rsidRDefault="001D6F48" w:rsidP="002959BC">
            <w:pPr>
              <w:jc w:val="both"/>
              <w:rPr>
                <w:rFonts w:cs="Arial"/>
                <w:b/>
                <w:sz w:val="22"/>
              </w:rPr>
            </w:pPr>
            <w:r w:rsidRPr="003846B0">
              <w:rPr>
                <w:rFonts w:cs="Arial"/>
                <w:b/>
                <w:sz w:val="22"/>
              </w:rPr>
              <w:t>Totale cifra di bilancio</w:t>
            </w:r>
          </w:p>
        </w:tc>
        <w:tc>
          <w:tcPr>
            <w:tcW w:w="0" w:type="auto"/>
          </w:tcPr>
          <w:p w:rsidR="001D6F48" w:rsidRPr="003846B0" w:rsidRDefault="001D6F48" w:rsidP="002959BC">
            <w:pPr>
              <w:jc w:val="both"/>
              <w:rPr>
                <w:rFonts w:cs="Arial"/>
                <w:b/>
                <w:sz w:val="22"/>
              </w:rPr>
            </w:pPr>
            <w:r w:rsidRPr="003846B0">
              <w:rPr>
                <w:rFonts w:cs="Arial"/>
                <w:b/>
                <w:sz w:val="22"/>
              </w:rPr>
              <w:t>11'409’930</w:t>
            </w:r>
          </w:p>
        </w:tc>
        <w:tc>
          <w:tcPr>
            <w:tcW w:w="0" w:type="auto"/>
          </w:tcPr>
          <w:p w:rsidR="001D6F48" w:rsidRPr="003846B0" w:rsidRDefault="001D6F48" w:rsidP="002959BC">
            <w:pPr>
              <w:jc w:val="both"/>
              <w:rPr>
                <w:rFonts w:cs="Arial"/>
                <w:sz w:val="22"/>
              </w:rPr>
            </w:pPr>
            <w:r w:rsidRPr="003846B0">
              <w:rPr>
                <w:rFonts w:cs="Arial"/>
                <w:sz w:val="22"/>
              </w:rPr>
              <w:t>10'854’154</w:t>
            </w:r>
          </w:p>
        </w:tc>
        <w:tc>
          <w:tcPr>
            <w:tcW w:w="0" w:type="auto"/>
          </w:tcPr>
          <w:p w:rsidR="001D6F48" w:rsidRPr="003846B0" w:rsidRDefault="001D6F48" w:rsidP="002959BC">
            <w:pPr>
              <w:jc w:val="both"/>
              <w:rPr>
                <w:rFonts w:cs="Arial"/>
                <w:b/>
                <w:sz w:val="22"/>
              </w:rPr>
            </w:pPr>
            <w:r w:rsidRPr="003846B0">
              <w:rPr>
                <w:rFonts w:cs="Arial"/>
                <w:b/>
                <w:sz w:val="22"/>
              </w:rPr>
              <w:t>555’776</w:t>
            </w:r>
          </w:p>
        </w:tc>
        <w:tc>
          <w:tcPr>
            <w:tcW w:w="0" w:type="auto"/>
          </w:tcPr>
          <w:p w:rsidR="001D6F48" w:rsidRPr="003846B0" w:rsidRDefault="001D6F48" w:rsidP="002959BC">
            <w:pPr>
              <w:jc w:val="both"/>
              <w:rPr>
                <w:rFonts w:cs="Arial"/>
                <w:sz w:val="22"/>
              </w:rPr>
            </w:pPr>
            <w:r w:rsidRPr="003846B0">
              <w:rPr>
                <w:rFonts w:cs="Arial"/>
                <w:sz w:val="22"/>
              </w:rPr>
              <w:t>5.12</w:t>
            </w:r>
          </w:p>
        </w:tc>
      </w:tr>
    </w:tbl>
    <w:p w:rsidR="001D6F48" w:rsidRPr="007863ED" w:rsidRDefault="001D6F48" w:rsidP="001D6F48">
      <w:pPr>
        <w:rPr>
          <w:rFonts w:cs="Arial"/>
          <w:b/>
        </w:rPr>
      </w:pPr>
    </w:p>
    <w:p w:rsidR="001D6F48" w:rsidRPr="007863ED" w:rsidRDefault="001D6F48" w:rsidP="001D6F48">
      <w:pPr>
        <w:rPr>
          <w:rFonts w:cs="Arial"/>
          <w:b/>
        </w:rPr>
      </w:pPr>
    </w:p>
    <w:p w:rsidR="001D6F48" w:rsidRPr="007863ED" w:rsidRDefault="001D6F48" w:rsidP="001D6F48">
      <w:pPr>
        <w:rPr>
          <w:rFonts w:cs="Arial"/>
        </w:rPr>
      </w:pPr>
      <w:r w:rsidRPr="007863ED">
        <w:rPr>
          <w:rFonts w:cs="Arial"/>
        </w:rPr>
        <w:lastRenderedPageBreak/>
        <w:t xml:space="preserve">I due indicatori necessari per una valutazione quantitativa dei risultati </w:t>
      </w:r>
    </w:p>
    <w:p w:rsidR="001D6F48" w:rsidRPr="007863ED" w:rsidRDefault="001D6F48" w:rsidP="001D6F48">
      <w:pPr>
        <w:rPr>
          <w:rFonts w:cs="Arial"/>
        </w:rPr>
      </w:pPr>
      <w:r w:rsidRPr="007863ED">
        <w:rPr>
          <w:rFonts w:cs="Arial"/>
        </w:rPr>
        <w:t>sono normalmente:</w:t>
      </w:r>
    </w:p>
    <w:p w:rsidR="001D6F48" w:rsidRPr="007863ED" w:rsidRDefault="001D6F48" w:rsidP="003846B0">
      <w:pPr>
        <w:spacing w:before="60"/>
        <w:ind w:left="284" w:hanging="284"/>
        <w:rPr>
          <w:rFonts w:cs="Arial"/>
        </w:rPr>
      </w:pPr>
      <w:r w:rsidRPr="007863ED">
        <w:rPr>
          <w:rFonts w:cs="Arial"/>
        </w:rPr>
        <w:t>-</w:t>
      </w:r>
      <w:r>
        <w:rPr>
          <w:rFonts w:cs="Arial"/>
        </w:rPr>
        <w:tab/>
      </w:r>
      <w:r w:rsidRPr="007863ED">
        <w:rPr>
          <w:rFonts w:cs="Arial"/>
        </w:rPr>
        <w:t xml:space="preserve">Il </w:t>
      </w:r>
      <w:r w:rsidRPr="007863ED">
        <w:rPr>
          <w:rFonts w:cs="Arial"/>
          <w:b/>
        </w:rPr>
        <w:t xml:space="preserve">ROE, </w:t>
      </w:r>
      <w:r w:rsidRPr="007863ED">
        <w:rPr>
          <w:rFonts w:cs="Arial"/>
        </w:rPr>
        <w:t>vale a dire la redditività dei fondi propri, ossia il rapporto tra utile netto e capitale proprio netto (che migliora se cresce)</w:t>
      </w:r>
    </w:p>
    <w:p w:rsidR="001D6F48" w:rsidRPr="007863ED" w:rsidRDefault="001D6F48" w:rsidP="003846B0">
      <w:pPr>
        <w:spacing w:before="60"/>
        <w:ind w:left="284" w:hanging="284"/>
        <w:rPr>
          <w:rFonts w:cs="Arial"/>
        </w:rPr>
      </w:pPr>
      <w:r w:rsidRPr="007863ED">
        <w:rPr>
          <w:rFonts w:cs="Arial"/>
        </w:rPr>
        <w:t>-</w:t>
      </w:r>
      <w:r>
        <w:rPr>
          <w:rFonts w:cs="Arial"/>
        </w:rPr>
        <w:tab/>
      </w:r>
      <w:r w:rsidRPr="007863ED">
        <w:rPr>
          <w:rFonts w:cs="Arial"/>
        </w:rPr>
        <w:t xml:space="preserve">Il </w:t>
      </w:r>
      <w:proofErr w:type="spellStart"/>
      <w:r w:rsidRPr="007863ED">
        <w:rPr>
          <w:rFonts w:cs="Arial"/>
          <w:b/>
        </w:rPr>
        <w:t>Cost</w:t>
      </w:r>
      <w:proofErr w:type="spellEnd"/>
      <w:r w:rsidRPr="007863ED">
        <w:rPr>
          <w:rFonts w:cs="Arial"/>
          <w:b/>
        </w:rPr>
        <w:t>/</w:t>
      </w:r>
      <w:proofErr w:type="spellStart"/>
      <w:r w:rsidRPr="007863ED">
        <w:rPr>
          <w:rFonts w:cs="Arial"/>
          <w:b/>
        </w:rPr>
        <w:t>Incom</w:t>
      </w:r>
      <w:proofErr w:type="spellEnd"/>
      <w:r w:rsidRPr="007863ED">
        <w:rPr>
          <w:rFonts w:cs="Arial"/>
          <w:b/>
        </w:rPr>
        <w:t xml:space="preserve"> , </w:t>
      </w:r>
      <w:r w:rsidRPr="007863ED">
        <w:rPr>
          <w:rFonts w:cs="Arial"/>
        </w:rPr>
        <w:t>l’indicatore di efficienza, ossia il rapporto tra costi d’esercizio e ricavi netti ( che migliora se diminuisce).</w:t>
      </w:r>
    </w:p>
    <w:p w:rsidR="001D6F48" w:rsidRPr="007863ED" w:rsidRDefault="001D6F48" w:rsidP="003846B0">
      <w:pPr>
        <w:spacing w:before="120"/>
        <w:rPr>
          <w:rFonts w:cs="Arial"/>
        </w:rPr>
      </w:pPr>
      <w:r w:rsidRPr="007863ED">
        <w:rPr>
          <w:rFonts w:cs="Arial"/>
        </w:rPr>
        <w:t xml:space="preserve">Il ROE cresce dal 7.4% al 7.9% mentre che il </w:t>
      </w:r>
      <w:proofErr w:type="spellStart"/>
      <w:r w:rsidRPr="007863ED">
        <w:rPr>
          <w:rFonts w:cs="Arial"/>
          <w:i/>
        </w:rPr>
        <w:t>Cost</w:t>
      </w:r>
      <w:proofErr w:type="spellEnd"/>
      <w:r w:rsidRPr="007863ED">
        <w:rPr>
          <w:rFonts w:cs="Arial"/>
          <w:i/>
        </w:rPr>
        <w:t>/</w:t>
      </w:r>
      <w:proofErr w:type="spellStart"/>
      <w:r w:rsidRPr="007863ED">
        <w:rPr>
          <w:rFonts w:cs="Arial"/>
          <w:i/>
        </w:rPr>
        <w:t>Income</w:t>
      </w:r>
      <w:proofErr w:type="spellEnd"/>
      <w:r w:rsidRPr="007863ED">
        <w:rPr>
          <w:rFonts w:cs="Arial"/>
        </w:rPr>
        <w:t xml:space="preserve"> scende dal 59.1% al 54.8%.</w:t>
      </w:r>
    </w:p>
    <w:p w:rsidR="003846B0" w:rsidRDefault="003846B0" w:rsidP="001D6F48">
      <w:pPr>
        <w:rPr>
          <w:rFonts w:cs="Arial"/>
        </w:rPr>
      </w:pPr>
    </w:p>
    <w:p w:rsidR="001D6F48" w:rsidRPr="007863ED" w:rsidRDefault="001D6F48" w:rsidP="001D6F48">
      <w:pPr>
        <w:rPr>
          <w:rFonts w:cs="Arial"/>
        </w:rPr>
      </w:pPr>
      <w:r w:rsidRPr="007863ED">
        <w:rPr>
          <w:rFonts w:cs="Arial"/>
        </w:rPr>
        <w:t xml:space="preserve">Il </w:t>
      </w:r>
      <w:r w:rsidRPr="007863ED">
        <w:rPr>
          <w:rFonts w:cs="Arial"/>
          <w:i/>
        </w:rPr>
        <w:t xml:space="preserve">Capital </w:t>
      </w:r>
      <w:proofErr w:type="spellStart"/>
      <w:r w:rsidRPr="007863ED">
        <w:rPr>
          <w:rFonts w:cs="Arial"/>
          <w:i/>
        </w:rPr>
        <w:t>Adequacy</w:t>
      </w:r>
      <w:proofErr w:type="spellEnd"/>
      <w:r w:rsidRPr="007863ED">
        <w:rPr>
          <w:rFonts w:cs="Arial"/>
          <w:i/>
        </w:rPr>
        <w:t xml:space="preserve"> </w:t>
      </w:r>
      <w:proofErr w:type="spellStart"/>
      <w:r w:rsidRPr="007863ED">
        <w:rPr>
          <w:rFonts w:cs="Arial"/>
          <w:i/>
        </w:rPr>
        <w:t>Tier</w:t>
      </w:r>
      <w:proofErr w:type="spellEnd"/>
      <w:r w:rsidRPr="007863ED">
        <w:rPr>
          <w:rFonts w:cs="Arial"/>
          <w:i/>
        </w:rPr>
        <w:t xml:space="preserve"> 2</w:t>
      </w:r>
      <w:r w:rsidRPr="007863ED">
        <w:rPr>
          <w:rFonts w:cs="Arial"/>
        </w:rPr>
        <w:t>, che indica la solidità patrimoniale, sale dal 15.3% al 17%.</w:t>
      </w:r>
    </w:p>
    <w:p w:rsidR="001D6F48" w:rsidRPr="007863ED" w:rsidRDefault="001D6F48" w:rsidP="001D6F48">
      <w:pPr>
        <w:rPr>
          <w:rFonts w:cs="Arial"/>
        </w:rPr>
      </w:pPr>
      <w:r w:rsidRPr="007863ED">
        <w:rPr>
          <w:rFonts w:cs="Arial"/>
        </w:rPr>
        <w:t>Le unità di personale sono diminuite da 421 a 400, con l’obiettivo di arrivare a 390.</w:t>
      </w:r>
    </w:p>
    <w:p w:rsidR="001D6F48" w:rsidRDefault="001D6F48" w:rsidP="001D6F48">
      <w:pPr>
        <w:rPr>
          <w:rFonts w:cs="Arial"/>
        </w:rPr>
      </w:pPr>
    </w:p>
    <w:p w:rsidR="001D6F48" w:rsidRPr="007863ED" w:rsidRDefault="001D6F48" w:rsidP="001D6F48">
      <w:pPr>
        <w:rPr>
          <w:rFonts w:cs="Arial"/>
        </w:rPr>
      </w:pPr>
    </w:p>
    <w:p w:rsidR="001D6F48" w:rsidRPr="007863ED" w:rsidRDefault="001D6F48" w:rsidP="00202840">
      <w:pPr>
        <w:pStyle w:val="Titolo2"/>
      </w:pPr>
      <w:bookmarkStart w:id="6" w:name="_Toc465169033"/>
      <w:r w:rsidRPr="007863ED">
        <w:t>2.4</w:t>
      </w:r>
      <w:r w:rsidRPr="007863ED">
        <w:tab/>
        <w:t>Evoluzione</w:t>
      </w:r>
      <w:bookmarkEnd w:id="6"/>
    </w:p>
    <w:p w:rsidR="001D6F48" w:rsidRPr="007863ED" w:rsidRDefault="001D6F48" w:rsidP="001D6F48">
      <w:pPr>
        <w:rPr>
          <w:rFonts w:cs="Arial"/>
        </w:rPr>
      </w:pPr>
      <w:r w:rsidRPr="007863ED">
        <w:rPr>
          <w:rFonts w:cs="Arial"/>
        </w:rPr>
        <w:t xml:space="preserve">Oltre ciò precedentemente scritto in merito allo sviluppo di </w:t>
      </w:r>
      <w:proofErr w:type="spellStart"/>
      <w:r w:rsidRPr="007863ED">
        <w:rPr>
          <w:rFonts w:cs="Arial"/>
        </w:rPr>
        <w:t>BancaStato</w:t>
      </w:r>
      <w:proofErr w:type="spellEnd"/>
      <w:r w:rsidRPr="007863ED">
        <w:rPr>
          <w:rFonts w:cs="Arial"/>
        </w:rPr>
        <w:t>, in particolare per ciò che attiene ai positivi risultati degli ultimi anni, si può meglio capire l’evoluzione degli stessi tramite alcuni grafici significativi che si trovano da pagina 31 a pagina 33 del Rapporto Annuale.</w:t>
      </w:r>
    </w:p>
    <w:p w:rsidR="001D6F48" w:rsidRPr="007863ED" w:rsidRDefault="001D6F48" w:rsidP="001D6F48">
      <w:pPr>
        <w:rPr>
          <w:rFonts w:cs="Arial"/>
        </w:rPr>
      </w:pPr>
      <w:r w:rsidRPr="007863ED">
        <w:rPr>
          <w:rFonts w:cs="Arial"/>
        </w:rPr>
        <w:t>Tutti i grafici mostrano evoluzioni positive:</w:t>
      </w:r>
    </w:p>
    <w:p w:rsidR="001D6F48" w:rsidRPr="007863ED" w:rsidRDefault="001D6F48" w:rsidP="001D6F48">
      <w:pPr>
        <w:rPr>
          <w:rFonts w:cs="Arial"/>
        </w:rPr>
      </w:pPr>
      <w:r w:rsidRPr="007863ED">
        <w:rPr>
          <w:rFonts w:cs="Arial"/>
          <w:i/>
        </w:rPr>
        <w:t>I crediti ipotecari</w:t>
      </w:r>
      <w:r w:rsidRPr="007863ED">
        <w:rPr>
          <w:rFonts w:cs="Arial"/>
        </w:rPr>
        <w:t xml:space="preserve">, core business della Banca, da 11 anni sono in crescita. Stesso discorso per gli </w:t>
      </w:r>
      <w:r w:rsidRPr="007863ED">
        <w:rPr>
          <w:rFonts w:cs="Arial"/>
          <w:i/>
        </w:rPr>
        <w:t>impegni nei confronti della clientela</w:t>
      </w:r>
      <w:r w:rsidRPr="007863ED">
        <w:rPr>
          <w:rFonts w:cs="Arial"/>
        </w:rPr>
        <w:t>, che sono giustamente in continua crescita.</w:t>
      </w:r>
    </w:p>
    <w:p w:rsidR="001D6F48" w:rsidRPr="007863ED" w:rsidRDefault="001D6F48" w:rsidP="001D6F48">
      <w:pPr>
        <w:rPr>
          <w:rFonts w:cs="Arial"/>
        </w:rPr>
      </w:pPr>
      <w:r w:rsidRPr="007863ED">
        <w:rPr>
          <w:rFonts w:cs="Arial"/>
        </w:rPr>
        <w:t>Un discorso un po’ diverso va fatto per quanto riguarda utile lordo e utile netto:</w:t>
      </w:r>
    </w:p>
    <w:p w:rsidR="001D6F48" w:rsidRPr="007863ED" w:rsidRDefault="001D6F48" w:rsidP="001D6F48">
      <w:pPr>
        <w:rPr>
          <w:rFonts w:cs="Arial"/>
        </w:rPr>
      </w:pPr>
      <w:r w:rsidRPr="007863ED">
        <w:rPr>
          <w:rFonts w:cs="Arial"/>
        </w:rPr>
        <w:t xml:space="preserve">Gli stessi hanno toccato un livello per </w:t>
      </w:r>
      <w:proofErr w:type="spellStart"/>
      <w:r w:rsidRPr="007863ED">
        <w:rPr>
          <w:rFonts w:cs="Arial"/>
        </w:rPr>
        <w:t>BancaStato</w:t>
      </w:r>
      <w:proofErr w:type="spellEnd"/>
      <w:r w:rsidRPr="007863ED">
        <w:rPr>
          <w:rFonts w:cs="Arial"/>
        </w:rPr>
        <w:t xml:space="preserve"> importanti, anche se nel confronto </w:t>
      </w:r>
      <w:proofErr w:type="spellStart"/>
      <w:r w:rsidRPr="007863ED">
        <w:rPr>
          <w:rFonts w:cs="Arial"/>
        </w:rPr>
        <w:t>intercantonale</w:t>
      </w:r>
      <w:proofErr w:type="spellEnd"/>
      <w:r w:rsidRPr="007863ED">
        <w:rPr>
          <w:rFonts w:cs="Arial"/>
        </w:rPr>
        <w:t xml:space="preserve"> sono nella media e notevolmente superiori rispetto alle passate gestioni. L’utile lordo ha visto un incremento del 56.9% grazie ad una somma di fattori importanti, tra i quali ve n’è uno legato alla Banca Nazionale: Quest’ultima ha concesso un plafond di esenzione dai tassi negativi che, nel caso di </w:t>
      </w:r>
      <w:proofErr w:type="spellStart"/>
      <w:r w:rsidRPr="007863ED">
        <w:rPr>
          <w:rFonts w:cs="Arial"/>
        </w:rPr>
        <w:t>BancaStato</w:t>
      </w:r>
      <w:proofErr w:type="spellEnd"/>
      <w:r w:rsidRPr="007863ED">
        <w:rPr>
          <w:rFonts w:cs="Arial"/>
        </w:rPr>
        <w:t>, è molto alto rispetto alle necessità. Ciò che ha permesso alla Banca di utilizzare la differenza di cui non ha avuto bisogno per operazioni di tesoreria, permettendo di sostenere in modo molto marcato il conto interessi. La politica della Banca è stata quella di non ribaltare sulla clientela tassi negativi, poiché non era costretta a pagarli.</w:t>
      </w:r>
    </w:p>
    <w:p w:rsidR="001D6F48" w:rsidRPr="007863ED" w:rsidRDefault="001D6F48" w:rsidP="001D6F48">
      <w:pPr>
        <w:rPr>
          <w:rFonts w:cs="Arial"/>
        </w:rPr>
      </w:pPr>
      <w:r w:rsidRPr="007863ED">
        <w:rPr>
          <w:rFonts w:cs="Arial"/>
        </w:rPr>
        <w:t xml:space="preserve">Grazie al buon risultato ha potuto rafforzare i fondi propri e creare, come richiesto dal Cantone, la” Fondazione del </w:t>
      </w:r>
      <w:proofErr w:type="spellStart"/>
      <w:r w:rsidRPr="007863ED">
        <w:rPr>
          <w:rFonts w:cs="Arial"/>
        </w:rPr>
        <w:t>CentenarioBancaStato</w:t>
      </w:r>
      <w:proofErr w:type="spellEnd"/>
      <w:r w:rsidRPr="007863ED">
        <w:rPr>
          <w:rFonts w:cs="Arial"/>
        </w:rPr>
        <w:t xml:space="preserve">” subentrando alla Fondazione Agire </w:t>
      </w:r>
      <w:proofErr w:type="spellStart"/>
      <w:r w:rsidRPr="007863ED">
        <w:rPr>
          <w:rFonts w:cs="Arial"/>
        </w:rPr>
        <w:t>Invest</w:t>
      </w:r>
      <w:proofErr w:type="spellEnd"/>
      <w:r w:rsidRPr="007863ED">
        <w:rPr>
          <w:rFonts w:cs="Arial"/>
        </w:rPr>
        <w:t xml:space="preserve"> SA, che sarebbe dovuto essere ricapitalizzata. La Fondazione del centenario sostituisce la Fondazione Agire. Nonostante ciò, l’utile netto a fine 2015 è cresciuto del 12.4% rispetto al 2014.</w:t>
      </w:r>
    </w:p>
    <w:p w:rsidR="001D6F48" w:rsidRPr="007863ED" w:rsidRDefault="001D6F48" w:rsidP="001D6F48">
      <w:pPr>
        <w:rPr>
          <w:rFonts w:cs="Arial"/>
        </w:rPr>
      </w:pPr>
      <w:r w:rsidRPr="007863ED">
        <w:rPr>
          <w:rFonts w:cs="Arial"/>
        </w:rPr>
        <w:t xml:space="preserve">Il </w:t>
      </w:r>
      <w:r w:rsidRPr="007863ED">
        <w:rPr>
          <w:rFonts w:cs="Arial"/>
          <w:i/>
        </w:rPr>
        <w:t>versamento al Cantone</w:t>
      </w:r>
      <w:r w:rsidRPr="007863ED">
        <w:rPr>
          <w:rFonts w:cs="Arial"/>
        </w:rPr>
        <w:t>, infine, segna pure un aumento del 13.3% rispetto alla precedente gestione. Lo stesso è leggermente superiore rispetto alla media degli ultimi 7 anni, durante i quali lo stesso si quantificava tra i 25 e i 29 milioni di franchi.</w:t>
      </w:r>
    </w:p>
    <w:p w:rsidR="001D6F48" w:rsidRDefault="001D6F48" w:rsidP="001D6F48">
      <w:pPr>
        <w:rPr>
          <w:rFonts w:cs="Arial"/>
        </w:rPr>
      </w:pPr>
    </w:p>
    <w:p w:rsidR="003846B0" w:rsidRDefault="003846B0" w:rsidP="001D6F48">
      <w:pPr>
        <w:rPr>
          <w:rFonts w:cs="Arial"/>
        </w:rPr>
      </w:pPr>
    </w:p>
    <w:p w:rsidR="001D6F48" w:rsidRPr="007863ED" w:rsidRDefault="001D6F48" w:rsidP="001D6F48">
      <w:pPr>
        <w:rPr>
          <w:rFonts w:cs="Arial"/>
        </w:rPr>
      </w:pPr>
    </w:p>
    <w:p w:rsidR="001D6F48" w:rsidRPr="007863ED" w:rsidRDefault="001D6F48" w:rsidP="00202840">
      <w:pPr>
        <w:pStyle w:val="Titolo1"/>
      </w:pPr>
      <w:bookmarkStart w:id="7" w:name="_Toc465169034"/>
      <w:r w:rsidRPr="007863ED">
        <w:t>SUCCESSI E CRITICHE</w:t>
      </w:r>
      <w:bookmarkEnd w:id="7"/>
    </w:p>
    <w:p w:rsidR="001D6F48" w:rsidRPr="007863ED" w:rsidRDefault="001D6F48" w:rsidP="00202840">
      <w:pPr>
        <w:pStyle w:val="Titolo2"/>
      </w:pPr>
      <w:bookmarkStart w:id="8" w:name="_Toc465169035"/>
      <w:r w:rsidRPr="007863ED">
        <w:t>3.1</w:t>
      </w:r>
      <w:r w:rsidRPr="007863ED">
        <w:tab/>
        <w:t>Elementi di successo</w:t>
      </w:r>
      <w:bookmarkEnd w:id="8"/>
    </w:p>
    <w:p w:rsidR="001D6F48" w:rsidRPr="007863ED" w:rsidRDefault="001D6F48" w:rsidP="001D6F48">
      <w:pPr>
        <w:rPr>
          <w:rFonts w:cs="Arial"/>
        </w:rPr>
      </w:pPr>
      <w:r w:rsidRPr="007863ED">
        <w:rPr>
          <w:rFonts w:cs="Arial"/>
        </w:rPr>
        <w:t xml:space="preserve">Il risultato positivo conseguito dalla Banca durante il 2015, come anche l’anno precedente, in un mondo bancario in generale in difficoltà, deve essere ricondotto certamente anche alla fiducia che i clienti ripongono nella stessa. Tanti piccoli clienti, fedeli di lunga data, hanno permesso d’incrementare e rafforzare negli anni delle specifiche posizioni di bilancio. L’aumento degli impegni nei confronti della clientela è sicuramente da menzionare. Grazie a ciò la Banca ha potuto operare con la necessaria tranquillità e </w:t>
      </w:r>
      <w:r w:rsidRPr="007863ED">
        <w:rPr>
          <w:rFonts w:cs="Arial"/>
        </w:rPr>
        <w:lastRenderedPageBreak/>
        <w:t xml:space="preserve">sicurezza, affrontando cambiamenti (FINMA) e progetti che le hanno permesso di migliorare in generale tutti gli indicatori finanziari. La direzione ha percepito le difficoltà degli anni passati e in collaborazione con il Consiglio di Amministrazione ha implementato nuove strategie, in parte terminate, in parte in corso, che si possono ritenere abbastanza bene riuscite. Non hanno lavorato unicamente con l’obiettivo puntato sui risultati finanziari, ma, come in passato, si è agito nel sostegno a enti, associazioni e società attive in ambiti sportivi e culturali e benefici.  Tutto ciò, aggiunto alla varietà dei servizi offerti alla clientela, permette alla Banca di giocare un ruolo importante di affidabilità e sicurezza per tutta la clientela. </w:t>
      </w:r>
    </w:p>
    <w:p w:rsidR="001D6F48" w:rsidRDefault="001D6F48" w:rsidP="001D6F48">
      <w:pPr>
        <w:rPr>
          <w:rFonts w:cs="Arial"/>
        </w:rPr>
      </w:pPr>
    </w:p>
    <w:p w:rsidR="003846B0" w:rsidRPr="007863ED" w:rsidRDefault="003846B0" w:rsidP="001D6F48">
      <w:pPr>
        <w:rPr>
          <w:rFonts w:cs="Arial"/>
        </w:rPr>
      </w:pPr>
    </w:p>
    <w:p w:rsidR="001D6F48" w:rsidRPr="007863ED" w:rsidRDefault="001D6F48" w:rsidP="00202840">
      <w:pPr>
        <w:pStyle w:val="Titolo2"/>
      </w:pPr>
      <w:bookmarkStart w:id="9" w:name="_Toc465169036"/>
      <w:r w:rsidRPr="007863ED">
        <w:t>3.2</w:t>
      </w:r>
      <w:r w:rsidRPr="007863ED">
        <w:tab/>
        <w:t>Personale</w:t>
      </w:r>
      <w:bookmarkEnd w:id="9"/>
    </w:p>
    <w:p w:rsidR="001D6F48" w:rsidRPr="007863ED" w:rsidRDefault="001D6F48" w:rsidP="001D6F48">
      <w:pPr>
        <w:rPr>
          <w:rFonts w:cs="Arial"/>
        </w:rPr>
      </w:pPr>
      <w:r w:rsidRPr="007863ED">
        <w:rPr>
          <w:rFonts w:cs="Arial"/>
        </w:rPr>
        <w:t xml:space="preserve">Come spesso ricordato nei precedenti rapporti di questa commissione, in passato i costi del personale hanno giocato un ruolo negativo dal profilo finanziario e dei risultati. La direzione e il </w:t>
      </w:r>
      <w:proofErr w:type="spellStart"/>
      <w:r w:rsidRPr="007863ED">
        <w:rPr>
          <w:rFonts w:cs="Arial"/>
        </w:rPr>
        <w:t>CdA</w:t>
      </w:r>
      <w:proofErr w:type="spellEnd"/>
      <w:r w:rsidRPr="007863ED">
        <w:rPr>
          <w:rFonts w:cs="Arial"/>
        </w:rPr>
        <w:t xml:space="preserve"> della Banca hanno lavorato in tal senso, progetto Zenit, riducendo signorilmente il personale.  Dalle oltre 500 persone impiegate in passato, si è scesi a fine 2015 a 400 unità effettive. Questa diminuzione ha permesso alla Banca una notevole diminuzione di costi.</w:t>
      </w:r>
    </w:p>
    <w:p w:rsidR="001D6F48" w:rsidRPr="007863ED" w:rsidRDefault="001D6F48" w:rsidP="001D6F48">
      <w:pPr>
        <w:rPr>
          <w:rFonts w:cs="Arial"/>
        </w:rPr>
      </w:pPr>
      <w:r w:rsidRPr="007863ED">
        <w:rPr>
          <w:rFonts w:cs="Arial"/>
        </w:rPr>
        <w:t>L’obbiettivo fissato, se non si apriranno altre succursali, o si intraprendessero altre attività, rimane quello di 390 unità lavorative.</w:t>
      </w:r>
    </w:p>
    <w:p w:rsidR="001D6F48" w:rsidRDefault="001D6F48" w:rsidP="001D6F48">
      <w:pPr>
        <w:rPr>
          <w:rFonts w:cs="Arial"/>
        </w:rPr>
      </w:pPr>
    </w:p>
    <w:p w:rsidR="001D6F48" w:rsidRPr="007863ED" w:rsidRDefault="001D6F48" w:rsidP="001D6F48">
      <w:pPr>
        <w:rPr>
          <w:rFonts w:cs="Arial"/>
        </w:rPr>
      </w:pPr>
    </w:p>
    <w:p w:rsidR="001D6F48" w:rsidRPr="007863ED" w:rsidRDefault="003846B0" w:rsidP="003846B0">
      <w:pPr>
        <w:pStyle w:val="Titolo2"/>
        <w:tabs>
          <w:tab w:val="clear" w:pos="567"/>
          <w:tab w:val="left" w:pos="709"/>
        </w:tabs>
      </w:pPr>
      <w:bookmarkStart w:id="10" w:name="_Toc465169037"/>
      <w:r>
        <w:t>3.3</w:t>
      </w:r>
      <w:r>
        <w:tab/>
      </w:r>
      <w:r w:rsidR="001D6F48" w:rsidRPr="007863ED">
        <w:t>Aspetti critici</w:t>
      </w:r>
      <w:bookmarkEnd w:id="10"/>
    </w:p>
    <w:p w:rsidR="001D6F48" w:rsidRPr="007863ED" w:rsidRDefault="003846B0" w:rsidP="003846B0">
      <w:pPr>
        <w:pStyle w:val="Titolo3"/>
      </w:pPr>
      <w:bookmarkStart w:id="11" w:name="_Toc465169038"/>
      <w:r>
        <w:t>3.3.1</w:t>
      </w:r>
      <w:r>
        <w:tab/>
      </w:r>
      <w:r w:rsidR="001D6F48" w:rsidRPr="007863ED">
        <w:t>Crediti</w:t>
      </w:r>
      <w:bookmarkEnd w:id="11"/>
    </w:p>
    <w:p w:rsidR="001D6F48" w:rsidRPr="007863ED" w:rsidRDefault="001D6F48" w:rsidP="001D6F48">
      <w:pPr>
        <w:rPr>
          <w:rFonts w:cs="Arial"/>
        </w:rPr>
      </w:pPr>
      <w:r w:rsidRPr="007863ED">
        <w:rPr>
          <w:rFonts w:cs="Arial"/>
        </w:rPr>
        <w:t xml:space="preserve"> Come già in passato, se da un lato l’importo dei crediti in costante crescita è da considerare positivamente, poiché conferma la sempre maggior importanza della Banca, la maggior penetrazione di mercato e l’aumento della clientela, dall’altro lato, un importo di crediti, soprattutto ipotecari, così elevato impone alla Banca di agire anche sul fronte dei fondi propri, in ossequi alle rigide direttive dettate dalla FINMA.</w:t>
      </w:r>
    </w:p>
    <w:p w:rsidR="001D6F48" w:rsidRPr="007863ED" w:rsidRDefault="001D6F48" w:rsidP="001D6F48">
      <w:pPr>
        <w:rPr>
          <w:rFonts w:cs="Arial"/>
        </w:rPr>
      </w:pPr>
    </w:p>
    <w:p w:rsidR="001D6F48" w:rsidRPr="007863ED" w:rsidRDefault="001D6F48" w:rsidP="001D6F48">
      <w:pPr>
        <w:rPr>
          <w:rFonts w:cs="Arial"/>
        </w:rPr>
      </w:pPr>
      <w:r w:rsidRPr="007863ED">
        <w:rPr>
          <w:rFonts w:cs="Arial"/>
        </w:rPr>
        <w:t>Oltre a ciò, una forte esposizione nei crediti ipotecari, impone di dare una particolare attenzione della situazione del mercato immobiliare nel Cantone.</w:t>
      </w:r>
    </w:p>
    <w:p w:rsidR="001D6F48" w:rsidRPr="007863ED" w:rsidRDefault="001D6F48" w:rsidP="001D6F48">
      <w:pPr>
        <w:rPr>
          <w:rFonts w:cs="Arial"/>
        </w:rPr>
      </w:pPr>
      <w:r w:rsidRPr="007863ED">
        <w:rPr>
          <w:rFonts w:cs="Arial"/>
        </w:rPr>
        <w:t>La paura di una bolla immobiliare nel corso del 2015 si è rivelata infondata, ma per l’immediato futuro tale rischio viene preso comunque ancora n considerazione.</w:t>
      </w:r>
    </w:p>
    <w:p w:rsidR="001D6F48" w:rsidRPr="007863ED" w:rsidRDefault="001D6F48" w:rsidP="001D6F48">
      <w:pPr>
        <w:rPr>
          <w:rFonts w:cs="Arial"/>
        </w:rPr>
      </w:pPr>
      <w:r w:rsidRPr="007863ED">
        <w:rPr>
          <w:rFonts w:cs="Arial"/>
        </w:rPr>
        <w:t>La speciale sottocommissione del Controllo del Mandato Pubblico della Banca ha richiesto rassicurazioni su questo importante settore. La direzione ha dato le seguenti risposte sul tema.</w:t>
      </w:r>
    </w:p>
    <w:p w:rsidR="001D6F48" w:rsidRPr="007863ED" w:rsidRDefault="001D6F48" w:rsidP="001D6F48">
      <w:pPr>
        <w:rPr>
          <w:rFonts w:cs="Arial"/>
        </w:rPr>
      </w:pPr>
      <w:r w:rsidRPr="007863ED">
        <w:rPr>
          <w:rFonts w:cs="Arial"/>
        </w:rPr>
        <w:t>Il 76% dei mutui concessi è inferiore a 500'000, come detto in precedenza.</w:t>
      </w:r>
    </w:p>
    <w:p w:rsidR="001D6F48" w:rsidRPr="007863ED" w:rsidRDefault="001D6F48" w:rsidP="001D6F48">
      <w:pPr>
        <w:rPr>
          <w:rFonts w:cs="Arial"/>
        </w:rPr>
      </w:pPr>
      <w:r w:rsidRPr="007863ED">
        <w:rPr>
          <w:rFonts w:cs="Arial"/>
        </w:rPr>
        <w:t>Dei 7'760'410 miliardi di crediti ipotecari, 5'741'570 miliardi riguardano stabili abitativi. La Banca ha proseguito con una politica creditizia improntata alla prudenza, tanto che la qualità del portafoglio creditizio risulta essere buona.</w:t>
      </w:r>
    </w:p>
    <w:p w:rsidR="001D6F48" w:rsidRPr="007863ED" w:rsidRDefault="001D6F48" w:rsidP="001D6F48">
      <w:pPr>
        <w:rPr>
          <w:rFonts w:cs="Arial"/>
          <w:b/>
        </w:rPr>
      </w:pPr>
    </w:p>
    <w:p w:rsidR="001D6F48" w:rsidRPr="007863ED" w:rsidRDefault="001D6F48" w:rsidP="003846B0">
      <w:pPr>
        <w:pStyle w:val="Titolo3"/>
      </w:pPr>
      <w:bookmarkStart w:id="12" w:name="_Toc465169039"/>
      <w:r w:rsidRPr="007863ED">
        <w:t>3.3.2</w:t>
      </w:r>
      <w:r w:rsidRPr="007863ED">
        <w:tab/>
        <w:t>Fondi propri</w:t>
      </w:r>
      <w:bookmarkEnd w:id="12"/>
    </w:p>
    <w:p w:rsidR="001D6F48" w:rsidRPr="003846B0" w:rsidRDefault="001D6F48" w:rsidP="003846B0">
      <w:pPr>
        <w:spacing w:after="120"/>
        <w:rPr>
          <w:rFonts w:cs="Arial"/>
          <w:b/>
          <w:sz w:val="23"/>
          <w:szCs w:val="23"/>
        </w:rPr>
      </w:pPr>
      <w:r w:rsidRPr="003846B0">
        <w:rPr>
          <w:rFonts w:cs="Arial"/>
          <w:b/>
          <w:sz w:val="23"/>
          <w:szCs w:val="23"/>
        </w:rPr>
        <w:t>Situazione al 31.12.2015</w:t>
      </w:r>
    </w:p>
    <w:p w:rsidR="001D6F48" w:rsidRPr="007863ED" w:rsidRDefault="001D6F48" w:rsidP="001D6F48">
      <w:pPr>
        <w:rPr>
          <w:rFonts w:cs="Arial"/>
        </w:rPr>
      </w:pPr>
      <w:r w:rsidRPr="007863ED">
        <w:rPr>
          <w:rFonts w:cs="Arial"/>
        </w:rPr>
        <w:t>Per quanto riguarda i fondi propri della banca, gettando uno sguardo alla situazione, varrebbe lo stesso identico commento del passato rapporto della commissione della gestione. È però necessario, in quest’occasione, approfondire il tema per meglio comprendere fino in fondo la nuova situazione legata anche ai dettami della FINMA</w:t>
      </w:r>
      <w:r>
        <w:rPr>
          <w:rFonts w:cs="Arial"/>
        </w:rPr>
        <w:t>.</w:t>
      </w:r>
    </w:p>
    <w:p w:rsidR="001D6F48" w:rsidRPr="007863ED" w:rsidRDefault="001D6F48" w:rsidP="001D6F48">
      <w:pPr>
        <w:rPr>
          <w:rFonts w:cs="Arial"/>
        </w:rPr>
      </w:pPr>
    </w:p>
    <w:p w:rsidR="001D6F48" w:rsidRPr="007863ED" w:rsidRDefault="001D6F48" w:rsidP="001D6F48">
      <w:pPr>
        <w:rPr>
          <w:rFonts w:cs="Arial"/>
        </w:rPr>
      </w:pPr>
    </w:p>
    <w:p w:rsidR="001D6F48" w:rsidRPr="007863ED" w:rsidRDefault="001D6F48" w:rsidP="001D6F48">
      <w:pPr>
        <w:rPr>
          <w:rFonts w:cs="Arial"/>
        </w:rPr>
      </w:pPr>
      <w:r>
        <w:rPr>
          <w:rFonts w:cs="Arial"/>
          <w:noProof/>
          <w:lang w:eastAsia="it-CH"/>
        </w:rPr>
        <w:drawing>
          <wp:inline distT="0" distB="0" distL="0" distR="0" wp14:anchorId="28EEA924" wp14:editId="66DB96F4">
            <wp:extent cx="6120130" cy="423672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i propriDEF.png"/>
                    <pic:cNvPicPr/>
                  </pic:nvPicPr>
                  <pic:blipFill>
                    <a:blip r:embed="rId9">
                      <a:extLst>
                        <a:ext uri="{28A0092B-C50C-407E-A947-70E740481C1C}">
                          <a14:useLocalDpi xmlns:a14="http://schemas.microsoft.com/office/drawing/2010/main" val="0"/>
                        </a:ext>
                      </a:extLst>
                    </a:blip>
                    <a:stretch>
                      <a:fillRect/>
                    </a:stretch>
                  </pic:blipFill>
                  <pic:spPr>
                    <a:xfrm>
                      <a:off x="0" y="0"/>
                      <a:ext cx="6120130" cy="4236720"/>
                    </a:xfrm>
                    <a:prstGeom prst="rect">
                      <a:avLst/>
                    </a:prstGeom>
                  </pic:spPr>
                </pic:pic>
              </a:graphicData>
            </a:graphic>
          </wp:inline>
        </w:drawing>
      </w:r>
    </w:p>
    <w:p w:rsidR="001D6F48" w:rsidRPr="007863ED" w:rsidRDefault="001D6F48" w:rsidP="001D6F48">
      <w:pPr>
        <w:rPr>
          <w:rFonts w:cs="Arial"/>
        </w:rPr>
      </w:pPr>
    </w:p>
    <w:p w:rsidR="001D6F48" w:rsidRPr="007863ED" w:rsidRDefault="001D6F48" w:rsidP="001D6F48">
      <w:pPr>
        <w:rPr>
          <w:rFonts w:cs="Arial"/>
        </w:rPr>
      </w:pPr>
      <w:r w:rsidRPr="007863ED">
        <w:rPr>
          <w:rFonts w:cs="Arial"/>
        </w:rPr>
        <w:t xml:space="preserve">Il grafico rappresenta il rapporto tra i fondi propri disponibili (computabili), quelli che la Banca può tenere in considerazione e quelli che la banca deve disporre secondo le normative in funzione dei rischi che si assume. La percentuale che deve essere rispettata è del </w:t>
      </w:r>
      <w:r w:rsidRPr="007863ED">
        <w:rPr>
          <w:rFonts w:cs="Arial"/>
          <w:b/>
        </w:rPr>
        <w:t>140%</w:t>
      </w:r>
      <w:r w:rsidRPr="007863ED">
        <w:rPr>
          <w:rFonts w:cs="Arial"/>
        </w:rPr>
        <w:t xml:space="preserve">. Dall’evoluzione si costata che la Banca è passata dal 155.7% del 2010, al </w:t>
      </w:r>
      <w:r w:rsidRPr="007863ED">
        <w:rPr>
          <w:rFonts w:cs="Arial"/>
          <w:b/>
        </w:rPr>
        <w:t>211.9%</w:t>
      </w:r>
      <w:r w:rsidRPr="007863ED">
        <w:rPr>
          <w:rFonts w:cs="Arial"/>
        </w:rPr>
        <w:t xml:space="preserve"> del 2015. (livello molto solido.)</w:t>
      </w:r>
    </w:p>
    <w:p w:rsidR="001D6F48" w:rsidRPr="007863ED" w:rsidRDefault="001D6F48" w:rsidP="001D6F48">
      <w:pPr>
        <w:rPr>
          <w:rFonts w:cs="Arial"/>
        </w:rPr>
      </w:pPr>
      <w:r w:rsidRPr="007863ED">
        <w:rPr>
          <w:rFonts w:cs="Arial"/>
        </w:rPr>
        <w:t xml:space="preserve">A livello internazionale la soglia minima è il 100%, ma la FINMA ritiene che le banche svizzere debbano essere più solide e quindi stabilisce lei il margine di copertura. Nella scala delle banche da 1 (grandi) a 5 (piccole), </w:t>
      </w:r>
      <w:proofErr w:type="spellStart"/>
      <w:r w:rsidRPr="007863ED">
        <w:rPr>
          <w:rFonts w:cs="Arial"/>
        </w:rPr>
        <w:t>BancaStato</w:t>
      </w:r>
      <w:proofErr w:type="spellEnd"/>
      <w:r w:rsidRPr="007863ED">
        <w:rPr>
          <w:rFonts w:cs="Arial"/>
        </w:rPr>
        <w:t xml:space="preserve"> appartiene alla categoria 4, ma nella stessa è considerata come grande. Il </w:t>
      </w:r>
      <w:proofErr w:type="spellStart"/>
      <w:r w:rsidRPr="007863ED">
        <w:rPr>
          <w:rFonts w:cs="Arial"/>
        </w:rPr>
        <w:t>CdA</w:t>
      </w:r>
      <w:proofErr w:type="spellEnd"/>
      <w:r w:rsidRPr="007863ED">
        <w:rPr>
          <w:rFonts w:cs="Arial"/>
        </w:rPr>
        <w:t xml:space="preserve"> della Banca ha deciso di fissare come obiettivo strategico la soglia minima al 160%. Le banche cantonali raggiungono in media il 200%, quindi la FINMA spinge </w:t>
      </w:r>
      <w:proofErr w:type="spellStart"/>
      <w:r w:rsidRPr="007863ED">
        <w:rPr>
          <w:rFonts w:cs="Arial"/>
        </w:rPr>
        <w:t>affinchè</w:t>
      </w:r>
      <w:proofErr w:type="spellEnd"/>
      <w:r w:rsidRPr="007863ED">
        <w:rPr>
          <w:rFonts w:cs="Arial"/>
        </w:rPr>
        <w:t xml:space="preserve"> si raggiunga questa percentuale!</w:t>
      </w:r>
    </w:p>
    <w:p w:rsidR="001D6F48" w:rsidRPr="007863ED" w:rsidRDefault="001D6F48" w:rsidP="001D6F48">
      <w:pPr>
        <w:rPr>
          <w:rFonts w:cs="Arial"/>
        </w:rPr>
      </w:pPr>
      <w:proofErr w:type="spellStart"/>
      <w:r w:rsidRPr="007863ED">
        <w:rPr>
          <w:rFonts w:cs="Arial"/>
        </w:rPr>
        <w:t>BancaStato</w:t>
      </w:r>
      <w:proofErr w:type="spellEnd"/>
      <w:r w:rsidRPr="007863ED">
        <w:rPr>
          <w:rFonts w:cs="Arial"/>
        </w:rPr>
        <w:t xml:space="preserve"> oggi ha un buon livello di fondi propri, ma ha un problema nella composizione degli stessi disponibili (computabili), poiché, benché sia rispettata la normativa, il capitale in dotazione </w:t>
      </w:r>
      <w:r w:rsidRPr="007863ED">
        <w:rPr>
          <w:rFonts w:cs="Arial"/>
          <w:b/>
        </w:rPr>
        <w:t xml:space="preserve">CET1 </w:t>
      </w:r>
      <w:r w:rsidRPr="007863ED">
        <w:rPr>
          <w:rFonts w:cs="Arial"/>
        </w:rPr>
        <w:t>(Capitale in dotazione sommato alle riserve per rischi bancari e alle riserve legali) rappresenta una quota troppo contenuta rispetto al totale del capitale a disposizione, il quale include anche i prestiti postergati del Cantone (prestito postergato emesso nel 2011). A medio termine è quindi importante aumentare tale quota.  La FINMA suggerisce a tal proposito di migliorare la qualità del capitale. È considerato capitale di qualità: il capitale di dotazione, le riserve legali e le riserve per rischi bancari. Per contro i capitali derivanti dalle emissioni di prestiti obbligazionari postergati sono considerati di minore qualità.</w:t>
      </w:r>
    </w:p>
    <w:p w:rsidR="001D6F48" w:rsidRPr="007863ED" w:rsidRDefault="001D6F48" w:rsidP="001D6F48">
      <w:pPr>
        <w:rPr>
          <w:rFonts w:cs="Arial"/>
        </w:rPr>
      </w:pPr>
      <w:r w:rsidRPr="007863ED">
        <w:rPr>
          <w:rFonts w:cs="Arial"/>
        </w:rPr>
        <w:t xml:space="preserve">È opportuno rilevare che, come risulta dall’istogramma rosso (fondi propri richiesti), le posizioni sono ponderate in funzione del rischio; come vi è una crescita dei crediti, per esempio ipotecari, ecco che il rischio di credito impatta su questa posizione: quindi non </w:t>
      </w:r>
      <w:r w:rsidRPr="007863ED">
        <w:rPr>
          <w:rFonts w:cs="Arial"/>
        </w:rPr>
        <w:lastRenderedPageBreak/>
        <w:t xml:space="preserve">sono i rischi operativi o senza controparte a porre problemi, ma è il rischio di credito legato al settore tradizionale di </w:t>
      </w:r>
      <w:proofErr w:type="spellStart"/>
      <w:r w:rsidRPr="007863ED">
        <w:rPr>
          <w:rFonts w:cs="Arial"/>
        </w:rPr>
        <w:t>BancaStato</w:t>
      </w:r>
      <w:proofErr w:type="spellEnd"/>
      <w:r w:rsidRPr="007863ED">
        <w:rPr>
          <w:rFonts w:cs="Arial"/>
        </w:rPr>
        <w:t xml:space="preserve"> che necessita di fondi.</w:t>
      </w:r>
    </w:p>
    <w:p w:rsidR="001D6F48" w:rsidRPr="007863ED" w:rsidRDefault="001D6F48" w:rsidP="001D6F48">
      <w:pPr>
        <w:rPr>
          <w:rFonts w:cs="Arial"/>
        </w:rPr>
      </w:pPr>
      <w:r w:rsidRPr="007863ED">
        <w:rPr>
          <w:rFonts w:cs="Arial"/>
        </w:rPr>
        <w:t xml:space="preserve">Nel 2010 </w:t>
      </w:r>
      <w:proofErr w:type="spellStart"/>
      <w:r w:rsidRPr="007863ED">
        <w:rPr>
          <w:rFonts w:cs="Arial"/>
        </w:rPr>
        <w:t>BancaStato</w:t>
      </w:r>
      <w:proofErr w:type="spellEnd"/>
      <w:r w:rsidRPr="007863ED">
        <w:rPr>
          <w:rFonts w:cs="Arial"/>
        </w:rPr>
        <w:t xml:space="preserve"> era al 155.7% e per aumentare i fondi propri ha proceduto all’emissione di un prestito di 175 milioni della durata di dieci anni. (2020). Dal punto di vista dei fondi propri, il meccanismo di questo strumento fa si che anche se a bilancio figurano sempre 175 milioni, in termini di validità come fondi propri questo prestito diminuisce annualmente di 17.5 milioni, importo che deve essere recuperato per mantenere la soglia. In seguito, l’acquisto di </w:t>
      </w:r>
      <w:proofErr w:type="spellStart"/>
      <w:r w:rsidRPr="007863ED">
        <w:rPr>
          <w:rFonts w:cs="Arial"/>
        </w:rPr>
        <w:t>Axion</w:t>
      </w:r>
      <w:proofErr w:type="spellEnd"/>
      <w:r w:rsidRPr="007863ED">
        <w:rPr>
          <w:rFonts w:cs="Arial"/>
        </w:rPr>
        <w:t xml:space="preserve"> Swiss </w:t>
      </w:r>
      <w:proofErr w:type="spellStart"/>
      <w:r w:rsidRPr="007863ED">
        <w:rPr>
          <w:rFonts w:cs="Arial"/>
        </w:rPr>
        <w:t>Bank</w:t>
      </w:r>
      <w:proofErr w:type="spellEnd"/>
      <w:r w:rsidRPr="007863ED">
        <w:rPr>
          <w:rFonts w:cs="Arial"/>
        </w:rPr>
        <w:t xml:space="preserve"> SA, ha comportato un investimento totale di 78 milioni, i quali devono essere sottratti ai fondi propri. Per aumentare la solidità della Banca, nel 2011 si è aumentato il Capitale in dotazione: 10 milioni, competenza Consiglio di Stato, e 130 milioni con messaggio governativo e avvallo del Gran Consiglio. ( versati 2013 e 2014). Quest’aumento non è stato sufficiente, quindi il Consiglio di Stato ha deciso di contrarre un prestito postergato, che non si riduce come il precedente, di 60 milioni nel 2014 e 40 milioni nel 2015.</w:t>
      </w:r>
    </w:p>
    <w:p w:rsidR="001D6F48" w:rsidRPr="007863ED" w:rsidRDefault="001D6F48" w:rsidP="001D6F48">
      <w:pPr>
        <w:rPr>
          <w:rFonts w:cs="Arial"/>
        </w:rPr>
      </w:pPr>
      <w:r w:rsidRPr="007863ED">
        <w:rPr>
          <w:rFonts w:cs="Arial"/>
        </w:rPr>
        <w:t xml:space="preserve">Considerando che </w:t>
      </w:r>
      <w:proofErr w:type="spellStart"/>
      <w:r w:rsidRPr="007863ED">
        <w:rPr>
          <w:rFonts w:cs="Arial"/>
        </w:rPr>
        <w:t>BancaStato</w:t>
      </w:r>
      <w:proofErr w:type="spellEnd"/>
      <w:r w:rsidRPr="007863ED">
        <w:rPr>
          <w:rFonts w:cs="Arial"/>
        </w:rPr>
        <w:t xml:space="preserve"> ha una politica di versamento dell’utile molto generosa: Il Cantone, infatti, riceve </w:t>
      </w:r>
      <w:proofErr w:type="spellStart"/>
      <w:r w:rsidRPr="007863ED">
        <w:rPr>
          <w:rFonts w:cs="Arial"/>
        </w:rPr>
        <w:t>ca</w:t>
      </w:r>
      <w:proofErr w:type="spellEnd"/>
      <w:r w:rsidRPr="007863ED">
        <w:rPr>
          <w:rFonts w:cs="Arial"/>
        </w:rPr>
        <w:t xml:space="preserve">. il 75% dello stesso annualmente, rimane solo una piccola parte da destinare ai fondi propri. (autofinanziamento). Di conseguenza la stessa non riesce a coprire l’aumento del “consumo” di fondi propri dovuto alla crescita della Banca legata all’erogazione dei crediti. Nel 2015, grazie all’ottimo risultato, il </w:t>
      </w:r>
      <w:proofErr w:type="spellStart"/>
      <w:r w:rsidRPr="007863ED">
        <w:rPr>
          <w:rFonts w:cs="Arial"/>
        </w:rPr>
        <w:t>CdA</w:t>
      </w:r>
      <w:proofErr w:type="spellEnd"/>
      <w:r w:rsidRPr="007863ED">
        <w:rPr>
          <w:rFonts w:cs="Arial"/>
        </w:rPr>
        <w:t xml:space="preserve"> è riuscito in parte a compensare questo problema attribuendo 22 milioni alle riserve per rischi bancari generali, che si sono aggiunti al capitale. In futuro quest’operazione dovrebbe essere pari ad almeno 10 milioni all’anno per compensare la crescita. In caso contrario l’equilibrio non sarebbe garantito. Oltre a tutto ciò, vi è stato il già citato inasprimento normativo che ha toccato anche le banche cantonali.</w:t>
      </w:r>
    </w:p>
    <w:p w:rsidR="001D6F48" w:rsidRPr="007863ED" w:rsidRDefault="001D6F48" w:rsidP="001D6F48">
      <w:pPr>
        <w:rPr>
          <w:rFonts w:cs="Arial"/>
        </w:rPr>
      </w:pPr>
    </w:p>
    <w:p w:rsidR="001D6F48" w:rsidRPr="003846B0" w:rsidRDefault="001D6F48" w:rsidP="003846B0">
      <w:pPr>
        <w:spacing w:after="120"/>
        <w:rPr>
          <w:rFonts w:cs="Arial"/>
          <w:b/>
          <w:sz w:val="23"/>
          <w:szCs w:val="23"/>
        </w:rPr>
      </w:pPr>
      <w:r w:rsidRPr="003846B0">
        <w:rPr>
          <w:rFonts w:cs="Arial"/>
          <w:b/>
          <w:sz w:val="23"/>
          <w:szCs w:val="23"/>
        </w:rPr>
        <w:t>In futuro</w:t>
      </w:r>
    </w:p>
    <w:p w:rsidR="001D6F48" w:rsidRPr="007863ED" w:rsidRDefault="001D6F48" w:rsidP="001D6F48">
      <w:pPr>
        <w:rPr>
          <w:rFonts w:cs="Arial"/>
        </w:rPr>
      </w:pPr>
      <w:r w:rsidRPr="007863ED">
        <w:rPr>
          <w:rFonts w:cs="Arial"/>
        </w:rPr>
        <w:t>Sono previste diverse misure per rafforzare i fondi propri. Sommando prestiti postergati, prestiti con restituzione e investimenti effettuati, si raggiunge la somma di 242.5 milioni. Il capitale in dotazione dovrebbe quindi essere aumentato almeno per la stessa somma. La Banca sta discutendo con il Consiglio di Stato per ottenere l’aumento del capitale in dotazione di 260 milioni, il quale sarà remunerato al Cantone al 5%. Con quest’operazione si potranno raggiungere i 500 milioni di capitale in dotazione, grazie ai quali la Banca dovrebbe riuscire a crescere in modo equilibrato, ossia fare utili destinandone una parte alle Riserve legali.</w:t>
      </w:r>
    </w:p>
    <w:p w:rsidR="001D6F48" w:rsidRPr="007863ED" w:rsidRDefault="001D6F48" w:rsidP="001D6F48">
      <w:pPr>
        <w:rPr>
          <w:rFonts w:cs="Arial"/>
        </w:rPr>
      </w:pPr>
      <w:r w:rsidRPr="007863ED">
        <w:rPr>
          <w:rFonts w:cs="Arial"/>
        </w:rPr>
        <w:t>Se ciò non fosse possibile dovrebbero essere intraprese altre strategie, contemplando pure una drastica riduzione dell’utile da distribuire allo Stato. Un’alternativa a tutto questo, poco condivisa da tutti, consisterebbe nel bloccare la crescita dell’erogazione di crediti così da diminuire la necessità di apporti in capitale.</w:t>
      </w:r>
    </w:p>
    <w:p w:rsidR="001D6F48" w:rsidRDefault="001D6F48" w:rsidP="001D6F48">
      <w:pPr>
        <w:rPr>
          <w:rFonts w:cs="Arial"/>
        </w:rPr>
      </w:pPr>
    </w:p>
    <w:p w:rsidR="001D6F48" w:rsidRDefault="001D6F48" w:rsidP="001D6F48">
      <w:pPr>
        <w:rPr>
          <w:rFonts w:cs="Arial"/>
        </w:rPr>
      </w:pPr>
    </w:p>
    <w:p w:rsidR="003846B0" w:rsidRPr="007863ED" w:rsidRDefault="003846B0" w:rsidP="001D6F48">
      <w:pPr>
        <w:rPr>
          <w:rFonts w:cs="Arial"/>
        </w:rPr>
      </w:pPr>
    </w:p>
    <w:p w:rsidR="001D6F48" w:rsidRPr="007863ED" w:rsidRDefault="001D6F48" w:rsidP="00202840">
      <w:pPr>
        <w:pStyle w:val="Titolo1"/>
      </w:pPr>
      <w:bookmarkStart w:id="13" w:name="_Toc465169040"/>
      <w:r w:rsidRPr="007863ED">
        <w:t>AXION SWISS BANK SA</w:t>
      </w:r>
      <w:bookmarkEnd w:id="13"/>
    </w:p>
    <w:p w:rsidR="001D6F48" w:rsidRPr="007863ED" w:rsidRDefault="001D6F48" w:rsidP="001D6F48">
      <w:pPr>
        <w:rPr>
          <w:rFonts w:cs="Arial"/>
        </w:rPr>
      </w:pPr>
      <w:r w:rsidRPr="007863ED">
        <w:rPr>
          <w:rFonts w:cs="Arial"/>
        </w:rPr>
        <w:t xml:space="preserve">Per quanto riguarda la </w:t>
      </w:r>
      <w:proofErr w:type="spellStart"/>
      <w:r w:rsidRPr="007863ED">
        <w:rPr>
          <w:rFonts w:cs="Arial"/>
        </w:rPr>
        <w:t>Axion</w:t>
      </w:r>
      <w:proofErr w:type="spellEnd"/>
      <w:r w:rsidRPr="007863ED">
        <w:rPr>
          <w:rFonts w:cs="Arial"/>
        </w:rPr>
        <w:t xml:space="preserve"> Swiss </w:t>
      </w:r>
      <w:proofErr w:type="spellStart"/>
      <w:r w:rsidRPr="007863ED">
        <w:rPr>
          <w:rFonts w:cs="Arial"/>
        </w:rPr>
        <w:t>Bank</w:t>
      </w:r>
      <w:proofErr w:type="spellEnd"/>
      <w:r w:rsidRPr="007863ED">
        <w:rPr>
          <w:rFonts w:cs="Arial"/>
        </w:rPr>
        <w:t xml:space="preserve"> AG vi è stata una crescita dei </w:t>
      </w:r>
      <w:r w:rsidRPr="007863ED">
        <w:rPr>
          <w:rFonts w:cs="Arial"/>
          <w:i/>
        </w:rPr>
        <w:t>Crediti nei Confronti della clientela</w:t>
      </w:r>
      <w:r w:rsidRPr="007863ED">
        <w:rPr>
          <w:rFonts w:cs="Arial"/>
        </w:rPr>
        <w:t xml:space="preserve">. (16.2%); gli </w:t>
      </w:r>
      <w:r w:rsidRPr="007863ED">
        <w:rPr>
          <w:rFonts w:cs="Arial"/>
          <w:i/>
        </w:rPr>
        <w:t>impegni risultanti da depositi della clientela</w:t>
      </w:r>
      <w:r w:rsidRPr="007863ED">
        <w:rPr>
          <w:rFonts w:cs="Arial"/>
        </w:rPr>
        <w:t xml:space="preserve"> sono cresciuti del 2.7% mentre i </w:t>
      </w:r>
      <w:r w:rsidRPr="007863ED">
        <w:rPr>
          <w:rFonts w:cs="Arial"/>
          <w:i/>
        </w:rPr>
        <w:t>Fondi Propri</w:t>
      </w:r>
      <w:r w:rsidRPr="007863ED">
        <w:rPr>
          <w:rFonts w:cs="Arial"/>
        </w:rPr>
        <w:t xml:space="preserve"> sono diminuiti dello 0.7%. Il totale della </w:t>
      </w:r>
      <w:r w:rsidRPr="007863ED">
        <w:rPr>
          <w:rFonts w:cs="Arial"/>
          <w:i/>
        </w:rPr>
        <w:t>Cifra di Bilancio</w:t>
      </w:r>
      <w:r w:rsidRPr="007863ED">
        <w:rPr>
          <w:rFonts w:cs="Arial"/>
        </w:rPr>
        <w:t xml:space="preserve"> è cresciuta dell’1.7% e gli </w:t>
      </w:r>
      <w:proofErr w:type="spellStart"/>
      <w:r w:rsidRPr="007863ED">
        <w:rPr>
          <w:rFonts w:cs="Arial"/>
          <w:i/>
        </w:rPr>
        <w:t>Asset</w:t>
      </w:r>
      <w:proofErr w:type="spellEnd"/>
      <w:r w:rsidRPr="007863ED">
        <w:rPr>
          <w:rFonts w:cs="Arial"/>
          <w:i/>
        </w:rPr>
        <w:t xml:space="preserve"> Under Management</w:t>
      </w:r>
      <w:r w:rsidRPr="007863ED">
        <w:rPr>
          <w:rFonts w:cs="Arial"/>
        </w:rPr>
        <w:t xml:space="preserve"> del 2.9%. Per quanto riguarda il Conto Economico: Vi è stata una diminuzione dell’1.9% del </w:t>
      </w:r>
      <w:r w:rsidRPr="007863ED">
        <w:rPr>
          <w:rFonts w:cs="Arial"/>
          <w:i/>
        </w:rPr>
        <w:t>Risultato netto da Operazioni da Interesse</w:t>
      </w:r>
      <w:r w:rsidRPr="007863ED">
        <w:rPr>
          <w:rFonts w:cs="Arial"/>
        </w:rPr>
        <w:t xml:space="preserve"> e del 10.2% del </w:t>
      </w:r>
      <w:r w:rsidRPr="007863ED">
        <w:rPr>
          <w:rFonts w:cs="Arial"/>
          <w:i/>
        </w:rPr>
        <w:t>risultato da operazioni in commissione e prestazioni di servizio</w:t>
      </w:r>
      <w:r w:rsidRPr="007863ED">
        <w:rPr>
          <w:rFonts w:cs="Arial"/>
        </w:rPr>
        <w:t xml:space="preserve">. (effetto probabilmente solo legato al cambio) I </w:t>
      </w:r>
      <w:r w:rsidRPr="007863ED">
        <w:rPr>
          <w:rFonts w:cs="Arial"/>
          <w:i/>
        </w:rPr>
        <w:t>Ricavi netti</w:t>
      </w:r>
      <w:r w:rsidRPr="007863ED">
        <w:rPr>
          <w:rFonts w:cs="Arial"/>
        </w:rPr>
        <w:t xml:space="preserve"> sono diminuiti leggermente, -2.6%. Il </w:t>
      </w:r>
      <w:r w:rsidRPr="007863ED">
        <w:rPr>
          <w:rFonts w:cs="Arial"/>
          <w:i/>
        </w:rPr>
        <w:t>Risultato d’esercizio</w:t>
      </w:r>
      <w:r w:rsidRPr="007863ED">
        <w:rPr>
          <w:rFonts w:cs="Arial"/>
        </w:rPr>
        <w:t xml:space="preserve"> è sceso del 23.7% a causa </w:t>
      </w:r>
      <w:r w:rsidRPr="007863ED">
        <w:rPr>
          <w:rFonts w:cs="Arial"/>
        </w:rPr>
        <w:lastRenderedPageBreak/>
        <w:t xml:space="preserve">prevalentemente dell’effetto del cambio e quindi anche </w:t>
      </w:r>
      <w:r w:rsidRPr="007863ED">
        <w:rPr>
          <w:rFonts w:cs="Arial"/>
          <w:i/>
        </w:rPr>
        <w:t>l’utile d’esercizio</w:t>
      </w:r>
      <w:r w:rsidRPr="007863ED">
        <w:rPr>
          <w:rFonts w:cs="Arial"/>
        </w:rPr>
        <w:t xml:space="preserve"> è sceso del 25.5%Il risultato globale è ritenuto dalla Direzione e dal </w:t>
      </w:r>
      <w:proofErr w:type="spellStart"/>
      <w:r w:rsidRPr="007863ED">
        <w:rPr>
          <w:rFonts w:cs="Arial"/>
        </w:rPr>
        <w:t>CdA</w:t>
      </w:r>
      <w:proofErr w:type="spellEnd"/>
      <w:r w:rsidRPr="007863ED">
        <w:rPr>
          <w:rFonts w:cs="Arial"/>
        </w:rPr>
        <w:t xml:space="preserve">, tutto sommato, soddisfacente, visto l’anno difficile e tenuto conto che il 40% della clientela è italiana. Da notare, che tra le banche private comparabili della piazza luganese,  la </w:t>
      </w:r>
      <w:proofErr w:type="spellStart"/>
      <w:r w:rsidRPr="007863ED">
        <w:rPr>
          <w:rFonts w:cs="Arial"/>
        </w:rPr>
        <w:t>Axion</w:t>
      </w:r>
      <w:proofErr w:type="spellEnd"/>
      <w:r w:rsidRPr="007863ED">
        <w:rPr>
          <w:rFonts w:cs="Arial"/>
        </w:rPr>
        <w:t xml:space="preserve"> Swiss </w:t>
      </w:r>
      <w:proofErr w:type="spellStart"/>
      <w:r w:rsidRPr="007863ED">
        <w:rPr>
          <w:rFonts w:cs="Arial"/>
        </w:rPr>
        <w:t>Bank</w:t>
      </w:r>
      <w:proofErr w:type="spellEnd"/>
      <w:r w:rsidRPr="007863ED">
        <w:rPr>
          <w:rFonts w:cs="Arial"/>
        </w:rPr>
        <w:t xml:space="preserve"> AG è una fra le uniche che nel 2015 non sia uscita in perdita.</w:t>
      </w:r>
    </w:p>
    <w:p w:rsidR="001D6F48" w:rsidRPr="007863ED" w:rsidRDefault="001D6F48" w:rsidP="001D6F48">
      <w:pPr>
        <w:rPr>
          <w:rFonts w:cs="Arial"/>
        </w:rPr>
      </w:pPr>
    </w:p>
    <w:p w:rsidR="001D6F48" w:rsidRPr="007863ED" w:rsidRDefault="001D6F48" w:rsidP="001D6F48">
      <w:pPr>
        <w:rPr>
          <w:rFonts w:cs="Arial"/>
        </w:rPr>
      </w:pPr>
      <w:r w:rsidRPr="007863ED">
        <w:rPr>
          <w:rFonts w:cs="Arial"/>
          <w:noProof/>
          <w:lang w:eastAsia="it-CH"/>
        </w:rPr>
        <w:drawing>
          <wp:inline distT="0" distB="0" distL="0" distR="0" wp14:anchorId="23F7A8C8" wp14:editId="6F12CE94">
            <wp:extent cx="6120130" cy="273240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ionBilancio.jpg"/>
                    <pic:cNvPicPr/>
                  </pic:nvPicPr>
                  <pic:blipFill>
                    <a:blip r:embed="rId10">
                      <a:extLst>
                        <a:ext uri="{28A0092B-C50C-407E-A947-70E740481C1C}">
                          <a14:useLocalDpi xmlns:a14="http://schemas.microsoft.com/office/drawing/2010/main" val="0"/>
                        </a:ext>
                      </a:extLst>
                    </a:blip>
                    <a:stretch>
                      <a:fillRect/>
                    </a:stretch>
                  </pic:blipFill>
                  <pic:spPr>
                    <a:xfrm>
                      <a:off x="0" y="0"/>
                      <a:ext cx="6120130" cy="2732405"/>
                    </a:xfrm>
                    <a:prstGeom prst="rect">
                      <a:avLst/>
                    </a:prstGeom>
                  </pic:spPr>
                </pic:pic>
              </a:graphicData>
            </a:graphic>
          </wp:inline>
        </w:drawing>
      </w:r>
    </w:p>
    <w:p w:rsidR="001D6F48" w:rsidRPr="007863ED" w:rsidRDefault="001D6F48" w:rsidP="001D6F48">
      <w:pPr>
        <w:rPr>
          <w:rFonts w:cs="Arial"/>
        </w:rPr>
      </w:pPr>
      <w:r w:rsidRPr="007863ED">
        <w:rPr>
          <w:rFonts w:cs="Arial"/>
          <w:noProof/>
          <w:lang w:eastAsia="it-CH"/>
        </w:rPr>
        <w:drawing>
          <wp:inline distT="0" distB="0" distL="0" distR="0" wp14:anchorId="78F7190C" wp14:editId="3A88C7B6">
            <wp:extent cx="6120130" cy="274637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ionContoEconomico.jpg"/>
                    <pic:cNvPicPr/>
                  </pic:nvPicPr>
                  <pic:blipFill>
                    <a:blip r:embed="rId11">
                      <a:extLst>
                        <a:ext uri="{28A0092B-C50C-407E-A947-70E740481C1C}">
                          <a14:useLocalDpi xmlns:a14="http://schemas.microsoft.com/office/drawing/2010/main" val="0"/>
                        </a:ext>
                      </a:extLst>
                    </a:blip>
                    <a:stretch>
                      <a:fillRect/>
                    </a:stretch>
                  </pic:blipFill>
                  <pic:spPr>
                    <a:xfrm>
                      <a:off x="0" y="0"/>
                      <a:ext cx="6120130" cy="2746375"/>
                    </a:xfrm>
                    <a:prstGeom prst="rect">
                      <a:avLst/>
                    </a:prstGeom>
                  </pic:spPr>
                </pic:pic>
              </a:graphicData>
            </a:graphic>
          </wp:inline>
        </w:drawing>
      </w:r>
    </w:p>
    <w:p w:rsidR="001D6F48" w:rsidRDefault="001D6F48" w:rsidP="001D6F48">
      <w:pPr>
        <w:rPr>
          <w:rFonts w:cs="Arial"/>
        </w:rPr>
      </w:pPr>
    </w:p>
    <w:p w:rsidR="003846B0" w:rsidRPr="007863ED" w:rsidRDefault="003846B0" w:rsidP="001D6F48">
      <w:pPr>
        <w:rPr>
          <w:rFonts w:cs="Arial"/>
        </w:rPr>
      </w:pPr>
    </w:p>
    <w:p w:rsidR="001D6F48" w:rsidRPr="007863ED" w:rsidRDefault="001D6F48" w:rsidP="001D6F48">
      <w:pPr>
        <w:rPr>
          <w:rFonts w:cs="Arial"/>
        </w:rPr>
      </w:pPr>
    </w:p>
    <w:p w:rsidR="001D6F48" w:rsidRPr="007863ED" w:rsidRDefault="001D6F48" w:rsidP="00202840">
      <w:pPr>
        <w:pStyle w:val="Titolo1"/>
      </w:pPr>
      <w:bookmarkStart w:id="14" w:name="_Toc465169041"/>
      <w:r w:rsidRPr="007863ED">
        <w:t>Prospettive</w:t>
      </w:r>
      <w:bookmarkEnd w:id="14"/>
    </w:p>
    <w:p w:rsidR="001D6F48" w:rsidRPr="007863ED" w:rsidRDefault="001D6F48" w:rsidP="001D6F48">
      <w:pPr>
        <w:rPr>
          <w:rFonts w:cs="Arial"/>
        </w:rPr>
      </w:pPr>
      <w:r w:rsidRPr="007863ED">
        <w:rPr>
          <w:rFonts w:cs="Arial"/>
        </w:rPr>
        <w:t xml:space="preserve">Il presidente del </w:t>
      </w:r>
      <w:proofErr w:type="spellStart"/>
      <w:r w:rsidRPr="007863ED">
        <w:rPr>
          <w:rFonts w:cs="Arial"/>
        </w:rPr>
        <w:t>CdA</w:t>
      </w:r>
      <w:proofErr w:type="spellEnd"/>
      <w:r w:rsidRPr="007863ED">
        <w:rPr>
          <w:rFonts w:cs="Arial"/>
        </w:rPr>
        <w:t xml:space="preserve"> ha detto che la Banca affronta il futuro con una base abbastanza solida e soddisfacente, anche se vi sono molte incognite nella gestione cross </w:t>
      </w:r>
      <w:proofErr w:type="spellStart"/>
      <w:r w:rsidRPr="007863ED">
        <w:rPr>
          <w:rFonts w:cs="Arial"/>
        </w:rPr>
        <w:t>border</w:t>
      </w:r>
      <w:proofErr w:type="spellEnd"/>
      <w:r w:rsidRPr="007863ED">
        <w:rPr>
          <w:rFonts w:cs="Arial"/>
        </w:rPr>
        <w:t xml:space="preserve"> dei patrimoni e nella regolamentazione sulle banche, in fase d’inasprimento.</w:t>
      </w:r>
    </w:p>
    <w:p w:rsidR="001D6F48" w:rsidRPr="007863ED" w:rsidRDefault="001D6F48" w:rsidP="001D6F48">
      <w:pPr>
        <w:rPr>
          <w:rFonts w:cs="Arial"/>
        </w:rPr>
      </w:pPr>
      <w:r w:rsidRPr="007863ED">
        <w:rPr>
          <w:rFonts w:cs="Arial"/>
        </w:rPr>
        <w:t>Quest’aspetto comporta un’elevata attività di scambio d’informazioni e di controlli con la FINMA e di conseguenza procura molto lavoro. Il Direttore generale ha affermato che nel primo trimestre del 2016, i risultati sono il 20% migliori di quelli a budget. Se la tendenza si confermasse, si può dire che anche il 2016, malgrado inferiore al 2015, potrà essere considerato un anno positivo.</w:t>
      </w:r>
    </w:p>
    <w:p w:rsidR="001D6F48" w:rsidRPr="007863ED" w:rsidRDefault="001D6F48" w:rsidP="001D6F48">
      <w:pPr>
        <w:rPr>
          <w:rFonts w:cs="Arial"/>
        </w:rPr>
      </w:pPr>
      <w:r w:rsidRPr="007863ED">
        <w:rPr>
          <w:rFonts w:cs="Arial"/>
        </w:rPr>
        <w:lastRenderedPageBreak/>
        <w:t xml:space="preserve">La Banca, per il 2016, ha previsto di mantenere una politica prudente soprattutto nell’erogazione di crediti ipotecari. A budget è previsto di conseguenza lo stesso importo di crescita come in passato. </w:t>
      </w:r>
    </w:p>
    <w:p w:rsidR="001D6F48" w:rsidRPr="007863ED" w:rsidRDefault="001D6F48" w:rsidP="001D6F48">
      <w:pPr>
        <w:rPr>
          <w:rFonts w:cs="Arial"/>
        </w:rPr>
      </w:pPr>
      <w:r w:rsidRPr="007863ED">
        <w:rPr>
          <w:rFonts w:cs="Arial"/>
        </w:rPr>
        <w:t>Evoluzione della strategia “Light” /2014 – 2017:</w:t>
      </w:r>
    </w:p>
    <w:p w:rsidR="001D6F48" w:rsidRPr="007863ED" w:rsidRDefault="001D6F48" w:rsidP="001D6F48">
      <w:pPr>
        <w:rPr>
          <w:rFonts w:cs="Arial"/>
        </w:rPr>
      </w:pPr>
      <w:r w:rsidRPr="007863ED">
        <w:rPr>
          <w:rFonts w:cs="Arial"/>
        </w:rPr>
        <w:t>La Banca pianificava strategie quinquennali</w:t>
      </w:r>
      <w:r w:rsidR="00956AAA">
        <w:rPr>
          <w:rFonts w:cs="Arial"/>
        </w:rPr>
        <w:t>.</w:t>
      </w:r>
      <w:r w:rsidRPr="007863ED">
        <w:rPr>
          <w:rFonts w:cs="Arial"/>
        </w:rPr>
        <w:t xml:space="preserve"> Dopo la crisi finanziaria del 2008 ha deciso di ridurre l’intervallo a tre anni, vista in particolare l’impossibilità di prevedere l’evoluzione di dollaro, euro, franco svizzero e tassi d’interesse.</w:t>
      </w:r>
    </w:p>
    <w:p w:rsidR="001D6F48" w:rsidRPr="007863ED" w:rsidRDefault="001D6F48" w:rsidP="001D6F48">
      <w:pPr>
        <w:rPr>
          <w:rFonts w:cs="Arial"/>
        </w:rPr>
      </w:pPr>
      <w:r w:rsidRPr="007863ED">
        <w:rPr>
          <w:rFonts w:cs="Arial"/>
        </w:rPr>
        <w:t>La stessa ha quindi definito tre obiettivi strategici in materia di redditività, efficienza e produttività. In precedenza sono stati presentati i dati che dimostrano come diversi obiettivi siano stati raggiunti. Da rilevare un dato significativo: Nel 2007 l’utile per collaboratore era di 92'040 franchi, con 571 collaboratori, nel 2015 lo stesso è pari a205’936 franchi con 150 dipendenti in meno.</w:t>
      </w:r>
    </w:p>
    <w:p w:rsidR="001D6F48" w:rsidRPr="007863ED" w:rsidRDefault="001D6F48" w:rsidP="001D6F48">
      <w:pPr>
        <w:rPr>
          <w:rFonts w:cs="Arial"/>
        </w:rPr>
      </w:pPr>
      <w:r w:rsidRPr="007863ED">
        <w:rPr>
          <w:rFonts w:cs="Arial"/>
        </w:rPr>
        <w:t>L’obiettivo generale è il mantenimento e il consolidamento dei risultati raggiunti nel 2015.</w:t>
      </w:r>
    </w:p>
    <w:p w:rsidR="001D6F48" w:rsidRDefault="001D6F48" w:rsidP="001D6F48">
      <w:pPr>
        <w:rPr>
          <w:rFonts w:cs="Arial"/>
        </w:rPr>
      </w:pPr>
    </w:p>
    <w:p w:rsidR="003846B0" w:rsidRDefault="003846B0" w:rsidP="001D6F48">
      <w:pPr>
        <w:rPr>
          <w:rFonts w:cs="Arial"/>
        </w:rPr>
      </w:pPr>
    </w:p>
    <w:p w:rsidR="001D6F48" w:rsidRPr="007863ED" w:rsidRDefault="001D6F48" w:rsidP="001D6F48">
      <w:pPr>
        <w:rPr>
          <w:rFonts w:cs="Arial"/>
        </w:rPr>
      </w:pPr>
    </w:p>
    <w:p w:rsidR="001D6F48" w:rsidRPr="007863ED" w:rsidRDefault="001D6F48" w:rsidP="00202840">
      <w:pPr>
        <w:pStyle w:val="Titolo1"/>
      </w:pPr>
      <w:bookmarkStart w:id="15" w:name="_Toc465169042"/>
      <w:r w:rsidRPr="007863ED">
        <w:t>Conclusione</w:t>
      </w:r>
      <w:bookmarkEnd w:id="15"/>
    </w:p>
    <w:p w:rsidR="001D6F48" w:rsidRPr="007863ED" w:rsidRDefault="001D6F48" w:rsidP="001D6F48">
      <w:pPr>
        <w:rPr>
          <w:rFonts w:cs="Arial"/>
        </w:rPr>
      </w:pPr>
      <w:r w:rsidRPr="007863ED">
        <w:rPr>
          <w:rFonts w:cs="Arial"/>
        </w:rPr>
        <w:t xml:space="preserve">Sulla base di quanto esposto a seguito della visione dei dati e delle spiegazioni della Direzione Generale e del </w:t>
      </w:r>
      <w:proofErr w:type="spellStart"/>
      <w:r w:rsidRPr="007863ED">
        <w:rPr>
          <w:rFonts w:cs="Arial"/>
        </w:rPr>
        <w:t>CdA</w:t>
      </w:r>
      <w:proofErr w:type="spellEnd"/>
      <w:r w:rsidRPr="007863ED">
        <w:rPr>
          <w:rFonts w:cs="Arial"/>
        </w:rPr>
        <w:t xml:space="preserve">, la commissione della gestione e delle finanze invita il Gran consiglio ad accettare il Messaggio governativo in esame e il relativo disegno di decreto legislativo, approvando così Conto economico e Bilancio al 31.12.2015 di </w:t>
      </w:r>
      <w:proofErr w:type="spellStart"/>
      <w:r w:rsidRPr="007863ED">
        <w:rPr>
          <w:rFonts w:cs="Arial"/>
        </w:rPr>
        <w:t>BancaStato</w:t>
      </w:r>
      <w:proofErr w:type="spellEnd"/>
      <w:r w:rsidRPr="007863ED">
        <w:rPr>
          <w:rFonts w:cs="Arial"/>
        </w:rPr>
        <w:t xml:space="preserve"> e la destinazione dell’utile, in particolare 33.2 milioni di franchi al Cantone e dando scarico al Consiglio di amministrazione e alla Direzione della Banca.</w:t>
      </w:r>
    </w:p>
    <w:p w:rsidR="00076E70" w:rsidRPr="00076E70" w:rsidRDefault="00076E70" w:rsidP="00076E70">
      <w:pPr>
        <w:rPr>
          <w:rFonts w:cs="Arial"/>
          <w:szCs w:val="24"/>
        </w:rPr>
      </w:pPr>
    </w:p>
    <w:p w:rsidR="00076E70" w:rsidRPr="00076E70" w:rsidRDefault="00076E70" w:rsidP="00076E70">
      <w:pPr>
        <w:autoSpaceDE w:val="0"/>
        <w:autoSpaceDN w:val="0"/>
        <w:adjustRightInd w:val="0"/>
        <w:rPr>
          <w:rFonts w:cs="Arial"/>
          <w:szCs w:val="24"/>
        </w:rPr>
      </w:pPr>
    </w:p>
    <w:p w:rsidR="00076E70" w:rsidRPr="00076E70" w:rsidRDefault="00076E70" w:rsidP="00076E70">
      <w:pPr>
        <w:rPr>
          <w:rFonts w:cs="Arial"/>
          <w:szCs w:val="24"/>
        </w:rPr>
      </w:pPr>
    </w:p>
    <w:p w:rsidR="00076E70" w:rsidRPr="00076E70" w:rsidRDefault="00076E70" w:rsidP="00076E70">
      <w:pPr>
        <w:spacing w:after="120"/>
        <w:rPr>
          <w:rFonts w:cs="Arial"/>
          <w:szCs w:val="24"/>
        </w:rPr>
      </w:pPr>
      <w:r w:rsidRPr="00076E70">
        <w:rPr>
          <w:rFonts w:cs="Arial"/>
          <w:szCs w:val="24"/>
        </w:rPr>
        <w:t xml:space="preserve">Per </w:t>
      </w:r>
      <w:smartTag w:uri="urn:schemas-microsoft-com:office:smarttags" w:element="PersonName">
        <w:smartTagPr>
          <w:attr w:name="ProductID" w:val="la Commissione"/>
        </w:smartTagPr>
        <w:r w:rsidRPr="00076E70">
          <w:rPr>
            <w:rFonts w:cs="Arial"/>
            <w:szCs w:val="24"/>
          </w:rPr>
          <w:t>la Commissione</w:t>
        </w:r>
      </w:smartTag>
      <w:r w:rsidRPr="00076E70">
        <w:rPr>
          <w:rFonts w:cs="Arial"/>
          <w:szCs w:val="24"/>
        </w:rPr>
        <w:t xml:space="preserve"> gestione e finanze:</w:t>
      </w:r>
    </w:p>
    <w:p w:rsidR="00076E70" w:rsidRPr="00076E70" w:rsidRDefault="001D6F48" w:rsidP="00076E70">
      <w:pPr>
        <w:rPr>
          <w:rFonts w:cs="Arial"/>
          <w:szCs w:val="24"/>
        </w:rPr>
      </w:pPr>
      <w:r>
        <w:rPr>
          <w:rFonts w:cs="Arial"/>
          <w:szCs w:val="24"/>
        </w:rPr>
        <w:t>Gabriele Pinoja</w:t>
      </w:r>
      <w:r w:rsidR="00076E70" w:rsidRPr="00076E70">
        <w:rPr>
          <w:rFonts w:cs="Arial"/>
          <w:szCs w:val="24"/>
        </w:rPr>
        <w:t>, relatore</w:t>
      </w:r>
    </w:p>
    <w:p w:rsidR="00956AAA" w:rsidRDefault="00956AAA" w:rsidP="00956AAA">
      <w:pPr>
        <w:rPr>
          <w:rFonts w:cs="Arial"/>
        </w:rPr>
      </w:pPr>
      <w:bookmarkStart w:id="16" w:name="OLE_LINK1"/>
      <w:bookmarkStart w:id="17" w:name="OLE_LINK2"/>
      <w:r w:rsidRPr="005E5056">
        <w:rPr>
          <w:rFonts w:cs="Arial"/>
        </w:rPr>
        <w:t xml:space="preserve">Bacchetta-Cattori - </w:t>
      </w:r>
      <w:r>
        <w:rPr>
          <w:rFonts w:cs="Arial"/>
        </w:rPr>
        <w:t xml:space="preserve">Badasci - Caprara - De Rosa - </w:t>
      </w:r>
    </w:p>
    <w:p w:rsidR="00956AAA" w:rsidRDefault="00956AAA" w:rsidP="00956AAA">
      <w:pPr>
        <w:rPr>
          <w:rFonts w:cs="Arial"/>
        </w:rPr>
      </w:pPr>
      <w:r>
        <w:rPr>
          <w:rFonts w:cs="Arial"/>
        </w:rPr>
        <w:t xml:space="preserve">Denti - Durisch - Farinelli - Foletti - Garobbio - </w:t>
      </w:r>
    </w:p>
    <w:p w:rsidR="00956AAA" w:rsidRDefault="00956AAA" w:rsidP="00956AAA">
      <w:pPr>
        <w:rPr>
          <w:rFonts w:cs="Arial"/>
        </w:rPr>
      </w:pPr>
      <w:r>
        <w:rPr>
          <w:rFonts w:cs="Arial"/>
        </w:rPr>
        <w:t>Gianora - Kandemir Bordoli - Pini - Quadranti</w:t>
      </w:r>
    </w:p>
    <w:bookmarkEnd w:id="16"/>
    <w:bookmarkEnd w:id="17"/>
    <w:p w:rsidR="00076E70" w:rsidRPr="00076E70" w:rsidRDefault="00076E70" w:rsidP="00076E70">
      <w:pPr>
        <w:rPr>
          <w:rFonts w:cs="Arial"/>
          <w:szCs w:val="24"/>
        </w:rPr>
      </w:pPr>
    </w:p>
    <w:p w:rsidR="00076E70" w:rsidRDefault="00076E70">
      <w:pPr>
        <w:rPr>
          <w:rFonts w:cs="Arial"/>
          <w:szCs w:val="24"/>
        </w:rPr>
      </w:pPr>
    </w:p>
    <w:p w:rsidR="00343F8D" w:rsidRDefault="00343F8D">
      <w:pPr>
        <w:rPr>
          <w:rFonts w:cs="Arial"/>
          <w:szCs w:val="24"/>
        </w:rPr>
      </w:pPr>
    </w:p>
    <w:p w:rsidR="00343F8D" w:rsidRDefault="00343F8D">
      <w:pPr>
        <w:rPr>
          <w:rFonts w:cs="Arial"/>
          <w:szCs w:val="24"/>
        </w:rPr>
      </w:pPr>
    </w:p>
    <w:p w:rsidR="00343F8D" w:rsidRDefault="00343F8D">
      <w:pPr>
        <w:rPr>
          <w:rFonts w:cs="Arial"/>
          <w:szCs w:val="24"/>
        </w:rPr>
      </w:pPr>
    </w:p>
    <w:p w:rsidR="00343F8D" w:rsidRDefault="00343F8D">
      <w:pPr>
        <w:rPr>
          <w:rFonts w:cs="Arial"/>
          <w:szCs w:val="24"/>
        </w:rPr>
      </w:pPr>
    </w:p>
    <w:p w:rsidR="00343F8D" w:rsidRDefault="00343F8D">
      <w:pPr>
        <w:rPr>
          <w:rFonts w:cs="Arial"/>
          <w:szCs w:val="24"/>
        </w:rPr>
      </w:pPr>
    </w:p>
    <w:p w:rsidR="00343F8D" w:rsidRDefault="00343F8D">
      <w:pPr>
        <w:rPr>
          <w:rFonts w:cs="Arial"/>
          <w:szCs w:val="24"/>
        </w:rPr>
      </w:pPr>
    </w:p>
    <w:p w:rsidR="00343F8D" w:rsidRDefault="00343F8D">
      <w:pPr>
        <w:rPr>
          <w:rFonts w:cs="Arial"/>
          <w:szCs w:val="24"/>
        </w:rPr>
      </w:pPr>
    </w:p>
    <w:p w:rsidR="00343F8D" w:rsidRDefault="00343F8D">
      <w:pPr>
        <w:rPr>
          <w:rFonts w:cs="Arial"/>
          <w:szCs w:val="24"/>
        </w:rPr>
      </w:pPr>
    </w:p>
    <w:p w:rsidR="00343F8D" w:rsidRDefault="00343F8D">
      <w:pPr>
        <w:rPr>
          <w:rFonts w:cs="Arial"/>
          <w:szCs w:val="24"/>
        </w:rPr>
      </w:pPr>
    </w:p>
    <w:p w:rsidR="00343F8D" w:rsidRDefault="00343F8D">
      <w:pPr>
        <w:rPr>
          <w:rFonts w:cs="Arial"/>
          <w:szCs w:val="24"/>
        </w:rPr>
      </w:pPr>
    </w:p>
    <w:p w:rsidR="00343F8D" w:rsidRDefault="00343F8D">
      <w:pPr>
        <w:rPr>
          <w:rFonts w:cs="Arial"/>
          <w:szCs w:val="24"/>
        </w:rPr>
      </w:pPr>
    </w:p>
    <w:p w:rsidR="00343F8D" w:rsidRDefault="00343F8D">
      <w:pPr>
        <w:rPr>
          <w:rFonts w:cs="Arial"/>
          <w:szCs w:val="24"/>
        </w:rPr>
      </w:pPr>
    </w:p>
    <w:p w:rsidR="00343F8D" w:rsidRDefault="00343F8D">
      <w:pPr>
        <w:rPr>
          <w:rFonts w:cs="Arial"/>
          <w:szCs w:val="24"/>
        </w:rPr>
      </w:pPr>
    </w:p>
    <w:p w:rsidR="00343F8D" w:rsidRDefault="00343F8D" w:rsidP="00343F8D">
      <w:pPr>
        <w:autoSpaceDE w:val="0"/>
        <w:autoSpaceDN w:val="0"/>
        <w:adjustRightInd w:val="0"/>
        <w:rPr>
          <w:rFonts w:cs="Arial"/>
          <w:szCs w:val="24"/>
        </w:rPr>
      </w:pPr>
    </w:p>
    <w:p w:rsidR="00343F8D" w:rsidRPr="00A47D27" w:rsidRDefault="00343F8D" w:rsidP="00343F8D">
      <w:pPr>
        <w:tabs>
          <w:tab w:val="left" w:pos="993"/>
        </w:tabs>
        <w:autoSpaceDE w:val="0"/>
        <w:autoSpaceDN w:val="0"/>
        <w:adjustRightInd w:val="0"/>
        <w:ind w:left="993" w:hanging="993"/>
        <w:rPr>
          <w:rFonts w:cs="Arial"/>
          <w:sz w:val="22"/>
        </w:rPr>
      </w:pPr>
      <w:r w:rsidRPr="00457D33">
        <w:rPr>
          <w:rFonts w:cs="Arial"/>
          <w:sz w:val="22"/>
          <w:u w:val="single"/>
        </w:rPr>
        <w:t>Allegat</w:t>
      </w:r>
      <w:r>
        <w:rPr>
          <w:rFonts w:cs="Arial"/>
          <w:sz w:val="22"/>
          <w:u w:val="single"/>
        </w:rPr>
        <w:t>o</w:t>
      </w:r>
      <w:r w:rsidRPr="00457D33">
        <w:rPr>
          <w:rFonts w:cs="Arial"/>
          <w:sz w:val="22"/>
        </w:rPr>
        <w:t>:</w:t>
      </w:r>
      <w:r>
        <w:rPr>
          <w:rFonts w:cs="Arial"/>
          <w:sz w:val="22"/>
        </w:rPr>
        <w:tab/>
      </w:r>
      <w:r w:rsidRPr="00457D33">
        <w:rPr>
          <w:rFonts w:cs="Arial"/>
          <w:sz w:val="22"/>
        </w:rPr>
        <w:t>Rapporto della Commissione del controllo del mandato pubbl</w:t>
      </w:r>
      <w:r>
        <w:rPr>
          <w:rFonts w:cs="Arial"/>
          <w:sz w:val="22"/>
        </w:rPr>
        <w:t>ico della Banca dello Stato all'</w:t>
      </w:r>
      <w:r w:rsidRPr="00457D33">
        <w:rPr>
          <w:rFonts w:cs="Arial"/>
          <w:sz w:val="22"/>
        </w:rPr>
        <w:t xml:space="preserve">attenzione del Gran Consiglio sul grado di raggiungimento degli obiettivi di </w:t>
      </w:r>
      <w:r>
        <w:rPr>
          <w:rFonts w:cs="Arial"/>
          <w:sz w:val="22"/>
        </w:rPr>
        <w:t>mandato pubblico della Banca</w:t>
      </w:r>
    </w:p>
    <w:p w:rsidR="00343F8D" w:rsidRPr="005E5056" w:rsidRDefault="00343F8D" w:rsidP="00343F8D">
      <w:pPr>
        <w:rPr>
          <w:rFonts w:cs="Arial"/>
        </w:rPr>
      </w:pPr>
    </w:p>
    <w:sectPr w:rsidR="00343F8D" w:rsidRPr="005E5056" w:rsidSect="008B4137">
      <w:footerReference w:type="default" r:id="rId12"/>
      <w:pgSz w:w="11906" w:h="16838"/>
      <w:pgMar w:top="1418"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494" w:rsidRDefault="00121494" w:rsidP="008E77C6">
      <w:r>
        <w:separator/>
      </w:r>
    </w:p>
  </w:endnote>
  <w:endnote w:type="continuationSeparator" w:id="0">
    <w:p w:rsidR="00121494" w:rsidRDefault="00121494"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19662"/>
      <w:docPartObj>
        <w:docPartGallery w:val="Page Numbers (Bottom of Page)"/>
        <w:docPartUnique/>
      </w:docPartObj>
    </w:sdtPr>
    <w:sdtEndPr>
      <w:rPr>
        <w:sz w:val="20"/>
        <w:szCs w:val="20"/>
      </w:rPr>
    </w:sdtEndPr>
    <w:sdtContent>
      <w:p w:rsidR="008E77C6" w:rsidRPr="008E77C6" w:rsidRDefault="008E77C6">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F622EC" w:rsidRPr="00F622EC">
          <w:rPr>
            <w:noProof/>
            <w:sz w:val="20"/>
            <w:szCs w:val="20"/>
            <w:lang w:val="it-IT"/>
          </w:rPr>
          <w:t>1</w:t>
        </w:r>
        <w:r w:rsidRPr="008E77C6">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494" w:rsidRDefault="00121494" w:rsidP="008E77C6">
      <w:r>
        <w:separator/>
      </w:r>
    </w:p>
  </w:footnote>
  <w:footnote w:type="continuationSeparator" w:id="0">
    <w:p w:rsidR="00121494" w:rsidRDefault="00121494" w:rsidP="008E77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55C0C"/>
    <w:multiLevelType w:val="hybridMultilevel"/>
    <w:tmpl w:val="1F8A3B46"/>
    <w:lvl w:ilvl="0" w:tplc="3FBC9440">
      <w:start w:val="1"/>
      <w:numFmt w:val="decimal"/>
      <w:pStyle w:val="Titolo1"/>
      <w:lvlText w:val="%1."/>
      <w:lvlJc w:val="left"/>
      <w:pPr>
        <w:ind w:left="927" w:hanging="360"/>
      </w:pPr>
      <w:rPr>
        <w:rFonts w:hint="default"/>
      </w:rPr>
    </w:lvl>
    <w:lvl w:ilvl="1" w:tplc="08100019" w:tentative="1">
      <w:start w:val="1"/>
      <w:numFmt w:val="lowerLetter"/>
      <w:lvlText w:val="%2."/>
      <w:lvlJc w:val="left"/>
      <w:pPr>
        <w:ind w:left="1647" w:hanging="360"/>
      </w:pPr>
    </w:lvl>
    <w:lvl w:ilvl="2" w:tplc="0810001B" w:tentative="1">
      <w:start w:val="1"/>
      <w:numFmt w:val="lowerRoman"/>
      <w:lvlText w:val="%3."/>
      <w:lvlJc w:val="right"/>
      <w:pPr>
        <w:ind w:left="2367" w:hanging="180"/>
      </w:pPr>
    </w:lvl>
    <w:lvl w:ilvl="3" w:tplc="0810000F" w:tentative="1">
      <w:start w:val="1"/>
      <w:numFmt w:val="decimal"/>
      <w:lvlText w:val="%4."/>
      <w:lvlJc w:val="left"/>
      <w:pPr>
        <w:ind w:left="3087" w:hanging="360"/>
      </w:pPr>
    </w:lvl>
    <w:lvl w:ilvl="4" w:tplc="08100019" w:tentative="1">
      <w:start w:val="1"/>
      <w:numFmt w:val="lowerLetter"/>
      <w:lvlText w:val="%5."/>
      <w:lvlJc w:val="left"/>
      <w:pPr>
        <w:ind w:left="3807" w:hanging="360"/>
      </w:pPr>
    </w:lvl>
    <w:lvl w:ilvl="5" w:tplc="0810001B" w:tentative="1">
      <w:start w:val="1"/>
      <w:numFmt w:val="lowerRoman"/>
      <w:lvlText w:val="%6."/>
      <w:lvlJc w:val="right"/>
      <w:pPr>
        <w:ind w:left="4527" w:hanging="180"/>
      </w:pPr>
    </w:lvl>
    <w:lvl w:ilvl="6" w:tplc="0810000F" w:tentative="1">
      <w:start w:val="1"/>
      <w:numFmt w:val="decimal"/>
      <w:lvlText w:val="%7."/>
      <w:lvlJc w:val="left"/>
      <w:pPr>
        <w:ind w:left="5247" w:hanging="360"/>
      </w:pPr>
    </w:lvl>
    <w:lvl w:ilvl="7" w:tplc="08100019" w:tentative="1">
      <w:start w:val="1"/>
      <w:numFmt w:val="lowerLetter"/>
      <w:lvlText w:val="%8."/>
      <w:lvlJc w:val="left"/>
      <w:pPr>
        <w:ind w:left="5967" w:hanging="360"/>
      </w:pPr>
    </w:lvl>
    <w:lvl w:ilvl="8" w:tplc="0810001B" w:tentative="1">
      <w:start w:val="1"/>
      <w:numFmt w:val="lowerRoman"/>
      <w:lvlText w:val="%9."/>
      <w:lvlJc w:val="right"/>
      <w:pPr>
        <w:ind w:left="6687" w:hanging="180"/>
      </w:pPr>
    </w:lvl>
  </w:abstractNum>
  <w:abstractNum w:abstractNumId="1">
    <w:nsid w:val="159101EF"/>
    <w:multiLevelType w:val="multilevel"/>
    <w:tmpl w:val="8988CC22"/>
    <w:lvl w:ilvl="0">
      <w:start w:val="1"/>
      <w:numFmt w:val="decimal"/>
      <w:lvlText w:val="%1."/>
      <w:lvlJc w:val="left"/>
      <w:pPr>
        <w:ind w:left="928" w:hanging="360"/>
      </w:pPr>
      <w:rPr>
        <w:rFonts w:asciiTheme="majorHAnsi" w:eastAsiaTheme="minorHAnsi" w:hAnsiTheme="majorHAnsi" w:cstheme="minorBidi"/>
      </w:rPr>
    </w:lvl>
    <w:lvl w:ilvl="1">
      <w:start w:val="1"/>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2">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num w:numId="1">
    <w:abstractNumId w:val="2"/>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137"/>
    <w:rsid w:val="00076E70"/>
    <w:rsid w:val="00121494"/>
    <w:rsid w:val="001D6F48"/>
    <w:rsid w:val="00202840"/>
    <w:rsid w:val="002E5E40"/>
    <w:rsid w:val="00343F8D"/>
    <w:rsid w:val="003846B0"/>
    <w:rsid w:val="004F297E"/>
    <w:rsid w:val="0052425A"/>
    <w:rsid w:val="00586A8D"/>
    <w:rsid w:val="006D7A3B"/>
    <w:rsid w:val="007B5462"/>
    <w:rsid w:val="008034BD"/>
    <w:rsid w:val="00876352"/>
    <w:rsid w:val="008B4137"/>
    <w:rsid w:val="008C767A"/>
    <w:rsid w:val="008E77C6"/>
    <w:rsid w:val="00956AAA"/>
    <w:rsid w:val="009770BB"/>
    <w:rsid w:val="009E008D"/>
    <w:rsid w:val="00A5465F"/>
    <w:rsid w:val="00A77678"/>
    <w:rsid w:val="00BC4C95"/>
    <w:rsid w:val="00BD5944"/>
    <w:rsid w:val="00CF6858"/>
    <w:rsid w:val="00D21A21"/>
    <w:rsid w:val="00D93B31"/>
    <w:rsid w:val="00F622EC"/>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D21A21"/>
    <w:pPr>
      <w:tabs>
        <w:tab w:val="left" w:pos="660"/>
        <w:tab w:val="right" w:leader="dot" w:pos="9628"/>
      </w:tabs>
      <w:spacing w:before="240"/>
    </w:pPr>
    <w:rPr>
      <w:rFonts w:eastAsia="Calibri" w:cs="Times New Roman"/>
      <w:caps/>
      <w:noProof/>
      <w:sz w:val="22"/>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table" w:styleId="Grigliatabella">
    <w:name w:val="Table Grid"/>
    <w:basedOn w:val="Tabellanormale"/>
    <w:uiPriority w:val="59"/>
    <w:rsid w:val="001D6F48"/>
    <w:pPr>
      <w:jc w:val="left"/>
    </w:pPr>
    <w:rPr>
      <w:rFonts w:eastAsiaTheme="minorEastAsia"/>
      <w:lang w:eastAsia="it-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1D6F4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D6F48"/>
    <w:rPr>
      <w:rFonts w:ascii="Tahoma" w:hAnsi="Tahoma" w:cs="Tahoma"/>
      <w:sz w:val="16"/>
      <w:szCs w:val="16"/>
    </w:rPr>
  </w:style>
  <w:style w:type="character" w:styleId="Collegamentoipertestuale">
    <w:name w:val="Hyperlink"/>
    <w:basedOn w:val="Carpredefinitoparagrafo"/>
    <w:uiPriority w:val="99"/>
    <w:unhideWhenUsed/>
    <w:rsid w:val="00D21A2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D21A21"/>
    <w:pPr>
      <w:tabs>
        <w:tab w:val="left" w:pos="660"/>
        <w:tab w:val="right" w:leader="dot" w:pos="9628"/>
      </w:tabs>
      <w:spacing w:before="240"/>
    </w:pPr>
    <w:rPr>
      <w:rFonts w:eastAsia="Calibri" w:cs="Times New Roman"/>
      <w:caps/>
      <w:noProof/>
      <w:sz w:val="22"/>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table" w:styleId="Grigliatabella">
    <w:name w:val="Table Grid"/>
    <w:basedOn w:val="Tabellanormale"/>
    <w:uiPriority w:val="59"/>
    <w:rsid w:val="001D6F48"/>
    <w:pPr>
      <w:jc w:val="left"/>
    </w:pPr>
    <w:rPr>
      <w:rFonts w:eastAsiaTheme="minorEastAsia"/>
      <w:lang w:eastAsia="it-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1D6F4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D6F48"/>
    <w:rPr>
      <w:rFonts w:ascii="Tahoma" w:hAnsi="Tahoma" w:cs="Tahoma"/>
      <w:sz w:val="16"/>
      <w:szCs w:val="16"/>
    </w:rPr>
  </w:style>
  <w:style w:type="character" w:styleId="Collegamentoipertestuale">
    <w:name w:val="Hyperlink"/>
    <w:basedOn w:val="Carpredefinitoparagrafo"/>
    <w:uiPriority w:val="99"/>
    <w:unhideWhenUsed/>
    <w:rsid w:val="00D21A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AD633-148D-4F3B-803A-DAF6C7663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9</Pages>
  <Words>3478</Words>
  <Characters>19825</Characters>
  <Application>Microsoft Office Word</Application>
  <DocSecurity>0</DocSecurity>
  <Lines>165</Lines>
  <Paragraphs>46</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23257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Agostinetti Jole / kxgc002</dc:creator>
  <cp:lastModifiedBy>Righetti Paolo / kxgc022</cp:lastModifiedBy>
  <cp:revision>9</cp:revision>
  <cp:lastPrinted>2016-10-26T09:26:00Z</cp:lastPrinted>
  <dcterms:created xsi:type="dcterms:W3CDTF">2016-10-25T12:15:00Z</dcterms:created>
  <dcterms:modified xsi:type="dcterms:W3CDTF">2016-10-26T09:27:00Z</dcterms:modified>
</cp:coreProperties>
</file>