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062089" w:rsidRDefault="00062089">
      <w:pPr>
        <w:rPr>
          <w:rFonts w:cs="Arial"/>
          <w:sz w:val="28"/>
          <w:szCs w:val="20"/>
        </w:rPr>
      </w:pPr>
      <w:bookmarkStart w:id="0" w:name="_GoBack"/>
      <w:r w:rsidRPr="00062089">
        <w:rPr>
          <w:rFonts w:cs="Arial"/>
          <w:sz w:val="28"/>
          <w:szCs w:val="20"/>
        </w:rPr>
        <w:t>Rapporto</w:t>
      </w:r>
    </w:p>
    <w:bookmarkEnd w:id="0"/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5F5380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7219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21 ottobre 2016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FINANZE E ECONOMIA</w:t>
      </w:r>
    </w:p>
    <w:p w:rsidR="008B4137" w:rsidRPr="00765D04" w:rsidRDefault="008B4137">
      <w:pPr>
        <w:rPr>
          <w:rFonts w:cs="Arial"/>
          <w:sz w:val="20"/>
          <w:szCs w:val="20"/>
        </w:rPr>
      </w:pPr>
    </w:p>
    <w:p w:rsidR="00490419" w:rsidRPr="00765D04" w:rsidRDefault="00490419">
      <w:pPr>
        <w:rPr>
          <w:rFonts w:cs="Arial"/>
          <w:sz w:val="20"/>
          <w:szCs w:val="20"/>
        </w:rPr>
      </w:pPr>
    </w:p>
    <w:p w:rsidR="008B4137" w:rsidRDefault="008B4137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5F5380">
        <w:rPr>
          <w:rFonts w:cs="Arial"/>
          <w:b/>
          <w:sz w:val="28"/>
          <w:szCs w:val="28"/>
        </w:rPr>
        <w:t>speciale tributaria</w:t>
      </w:r>
    </w:p>
    <w:p w:rsidR="005F5380" w:rsidRPr="005F5380" w:rsidRDefault="008B4137" w:rsidP="005F5380">
      <w:pPr>
        <w:rPr>
          <w:b/>
          <w:sz w:val="28"/>
          <w:szCs w:val="28"/>
        </w:rPr>
      </w:pPr>
      <w:r w:rsidRPr="005F5380">
        <w:rPr>
          <w:b/>
          <w:sz w:val="28"/>
          <w:szCs w:val="28"/>
        </w:rPr>
        <w:t>sul messaggio</w:t>
      </w:r>
      <w:r w:rsidR="005F5380" w:rsidRPr="005F5380">
        <w:rPr>
          <w:b/>
          <w:sz w:val="28"/>
          <w:szCs w:val="28"/>
        </w:rPr>
        <w:t xml:space="preserve"> 14 settembre 2016 concernente la modifica della Legge tributaria del 21 giugno 1994 (LT)</w:t>
      </w:r>
      <w:r w:rsidR="005F5380">
        <w:rPr>
          <w:b/>
          <w:sz w:val="28"/>
          <w:szCs w:val="28"/>
        </w:rPr>
        <w:t xml:space="preserve"> - </w:t>
      </w:r>
      <w:r w:rsidR="005F5380" w:rsidRPr="005F5380">
        <w:rPr>
          <w:b/>
          <w:sz w:val="28"/>
          <w:szCs w:val="28"/>
        </w:rPr>
        <w:t>Adeguamenti della Legge tributaria alla Legge federale sull’armonizzazione delle imposte dirette dei Cantoni e dei Comuni del 14 dicembre 1990 (LAID) e al Codice penale svizzero del 21 dicembre 1937 (CP) in ambito di prescrizione penale, nonché alle prassi in ambito di trasmissione elettronica di dati</w:t>
      </w:r>
    </w:p>
    <w:p w:rsidR="008B4137" w:rsidRDefault="008B4137">
      <w:pPr>
        <w:rPr>
          <w:rFonts w:cs="Arial"/>
          <w:szCs w:val="24"/>
        </w:rPr>
      </w:pPr>
    </w:p>
    <w:p w:rsidR="008B4137" w:rsidRPr="00765D04" w:rsidRDefault="008B4137">
      <w:pPr>
        <w:rPr>
          <w:rFonts w:cs="Arial"/>
          <w:sz w:val="20"/>
          <w:szCs w:val="20"/>
        </w:rPr>
      </w:pPr>
    </w:p>
    <w:p w:rsidR="008B4137" w:rsidRDefault="008B4137">
      <w:pPr>
        <w:rPr>
          <w:rFonts w:cs="Arial"/>
          <w:szCs w:val="24"/>
        </w:rPr>
      </w:pPr>
    </w:p>
    <w:p w:rsidR="005F5380" w:rsidRPr="00C92CFE" w:rsidRDefault="005F5380" w:rsidP="00490419">
      <w:pPr>
        <w:pStyle w:val="Titolo1"/>
      </w:pPr>
      <w:bookmarkStart w:id="1" w:name="_Toc151192545"/>
      <w:bookmarkStart w:id="2" w:name="_Toc151192911"/>
      <w:r w:rsidRPr="00C92CFE">
        <w:t>PROPOSTA GOVERNATIVA</w:t>
      </w:r>
    </w:p>
    <w:bookmarkEnd w:id="1"/>
    <w:bookmarkEnd w:id="2"/>
    <w:p w:rsidR="005F5380" w:rsidRPr="00C92CFE" w:rsidRDefault="005F5380" w:rsidP="00490419">
      <w:pPr>
        <w:tabs>
          <w:tab w:val="left" w:pos="567"/>
        </w:tabs>
        <w:rPr>
          <w:rFonts w:cs="Arial"/>
          <w:szCs w:val="24"/>
        </w:rPr>
      </w:pPr>
      <w:r w:rsidRPr="00C92CFE">
        <w:rPr>
          <w:rFonts w:cs="Arial"/>
          <w:szCs w:val="24"/>
        </w:rPr>
        <w:t>La Commissione tributaria ha esaminato le modifiche legislative proposte nel messaggio n. 7219 del Consiglio di Stato del 14 settembre 2016 concernenti:</w:t>
      </w:r>
    </w:p>
    <w:p w:rsidR="005F5380" w:rsidRPr="00C92CFE" w:rsidRDefault="005F5380" w:rsidP="00490419">
      <w:pPr>
        <w:numPr>
          <w:ilvl w:val="0"/>
          <w:numId w:val="6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92CFE">
        <w:rPr>
          <w:rFonts w:cs="Arial"/>
          <w:szCs w:val="24"/>
        </w:rPr>
        <w:t>l’introduzione di un termine unico di prescrizione per le contravvenzioni (violazione di obblighi procedurali e sottrazione d’imposta) ed i delitti fiscali (frode fiscale e appropriazione indebita di imposta alla fonte;</w:t>
      </w:r>
    </w:p>
    <w:p w:rsidR="005F5380" w:rsidRPr="00C92CFE" w:rsidRDefault="005F5380" w:rsidP="00490419">
      <w:pPr>
        <w:numPr>
          <w:ilvl w:val="0"/>
          <w:numId w:val="6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92CFE">
        <w:rPr>
          <w:rFonts w:cs="Arial"/>
          <w:szCs w:val="24"/>
        </w:rPr>
        <w:t>la modifica della prescrizione del diritto di tassare in ambito di imposizione degli utili immobiliari;</w:t>
      </w:r>
    </w:p>
    <w:p w:rsidR="005F5380" w:rsidRPr="00C92CFE" w:rsidRDefault="005F5380" w:rsidP="00490419">
      <w:pPr>
        <w:numPr>
          <w:ilvl w:val="0"/>
          <w:numId w:val="6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92CFE">
        <w:rPr>
          <w:rFonts w:cs="Arial"/>
          <w:szCs w:val="24"/>
        </w:rPr>
        <w:t>l’introduzione di una disposizione sulla trasmissione, conservazione e distruzione dei dati fiscali in formato elettronico.</w:t>
      </w:r>
    </w:p>
    <w:p w:rsidR="005F5380" w:rsidRPr="00C92CFE" w:rsidRDefault="005F5380" w:rsidP="00490419">
      <w:pPr>
        <w:tabs>
          <w:tab w:val="left" w:pos="567"/>
        </w:tabs>
        <w:ind w:left="426" w:hanging="426"/>
        <w:rPr>
          <w:rFonts w:cs="Arial"/>
          <w:szCs w:val="24"/>
        </w:rPr>
      </w:pPr>
    </w:p>
    <w:p w:rsidR="005F5380" w:rsidRPr="00765D04" w:rsidRDefault="005F5380" w:rsidP="00490419">
      <w:pPr>
        <w:tabs>
          <w:tab w:val="left" w:pos="567"/>
        </w:tabs>
        <w:ind w:left="426" w:hanging="426"/>
        <w:rPr>
          <w:rFonts w:cs="Arial"/>
          <w:sz w:val="20"/>
          <w:szCs w:val="20"/>
        </w:rPr>
      </w:pPr>
    </w:p>
    <w:p w:rsidR="005F5380" w:rsidRPr="00C92CFE" w:rsidRDefault="005F5380" w:rsidP="00490419">
      <w:pPr>
        <w:tabs>
          <w:tab w:val="left" w:pos="567"/>
        </w:tabs>
        <w:rPr>
          <w:rFonts w:cs="Arial"/>
          <w:szCs w:val="24"/>
        </w:rPr>
      </w:pPr>
    </w:p>
    <w:p w:rsidR="005F5380" w:rsidRPr="00C92CFE" w:rsidRDefault="005F5380" w:rsidP="000B5515">
      <w:pPr>
        <w:pStyle w:val="Titolo1"/>
      </w:pPr>
      <w:r w:rsidRPr="00C92CFE">
        <w:t>ADEGUAMENTO DELLA LT AL CP, SEGNATAMENTE ALLA PRESCRIZIONE DELL’AZIONE PENALE</w:t>
      </w:r>
    </w:p>
    <w:p w:rsidR="005F5380" w:rsidRPr="005F5380" w:rsidRDefault="005F5380" w:rsidP="00490419">
      <w:pPr>
        <w:pStyle w:val="Titolo2"/>
      </w:pPr>
      <w:r w:rsidRPr="005F5380">
        <w:t>Disposizioni oggetto di modifica:</w:t>
      </w:r>
    </w:p>
    <w:p w:rsidR="005F5380" w:rsidRPr="005F5380" w:rsidRDefault="005F5380" w:rsidP="00490419">
      <w:pPr>
        <w:pStyle w:val="Titolo2"/>
      </w:pPr>
      <w:r w:rsidRPr="005F5380">
        <w:t xml:space="preserve">articoli 266 cpv. 4; 267 cpv. 1 </w:t>
      </w:r>
      <w:proofErr w:type="spellStart"/>
      <w:r w:rsidRPr="005F5380">
        <w:t>lett</w:t>
      </w:r>
      <w:proofErr w:type="spellEnd"/>
      <w:r w:rsidRPr="005F5380">
        <w:t xml:space="preserve"> a) e b) e cpv. 2; 269 cpv. 1; 270 cpv. 1; 272 e 321 LT</w:t>
      </w:r>
    </w:p>
    <w:p w:rsidR="005F5380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  <w:r w:rsidRPr="00C92CFE">
        <w:rPr>
          <w:rFonts w:cs="Arial"/>
          <w:szCs w:val="24"/>
        </w:rPr>
        <w:t xml:space="preserve">L’introduzione di un termine unico di prescrizione penale nel CP (art. 97 </w:t>
      </w:r>
      <w:proofErr w:type="spellStart"/>
      <w:r w:rsidRPr="00C92CFE">
        <w:rPr>
          <w:rFonts w:cs="Arial"/>
          <w:szCs w:val="24"/>
        </w:rPr>
        <w:t>ss</w:t>
      </w:r>
      <w:proofErr w:type="spellEnd"/>
      <w:r w:rsidRPr="00C92CFE">
        <w:rPr>
          <w:rFonts w:cs="Arial"/>
          <w:szCs w:val="24"/>
        </w:rPr>
        <w:t>) con la conseguente abolizione dei termini relativi ed assoluti (così come della sospensione e dell’interruzione dei termini), la riduzione dei termini di prescrizione del diritto penale accessorio (tra cui figura il diritto penale fiscale) ed il principio secondo cui il termine di prescrizione è rispettato, se prima della sua scadenza viene pronunciata una sentenza di prima istanza, comportano infatti la necessità di un adeguamento della Legge tributaria cantonale.</w:t>
      </w:r>
    </w:p>
    <w:p w:rsidR="00490419" w:rsidRPr="00765D04" w:rsidRDefault="00490419" w:rsidP="00490419">
      <w:pPr>
        <w:tabs>
          <w:tab w:val="left" w:pos="567"/>
        </w:tabs>
        <w:ind w:right="-2"/>
        <w:rPr>
          <w:rFonts w:cs="Arial"/>
          <w:sz w:val="20"/>
          <w:szCs w:val="20"/>
        </w:rPr>
      </w:pPr>
    </w:p>
    <w:p w:rsidR="00490419" w:rsidRPr="00765D04" w:rsidRDefault="00490419" w:rsidP="00490419">
      <w:pPr>
        <w:tabs>
          <w:tab w:val="left" w:pos="567"/>
        </w:tabs>
        <w:ind w:right="-2"/>
        <w:rPr>
          <w:rFonts w:cs="Arial"/>
          <w:sz w:val="20"/>
          <w:szCs w:val="20"/>
        </w:rPr>
      </w:pPr>
    </w:p>
    <w:p w:rsidR="005F5380" w:rsidRPr="00C92CFE" w:rsidRDefault="005F5380" w:rsidP="00490419">
      <w:pPr>
        <w:pStyle w:val="Titolo2"/>
      </w:pPr>
      <w:r w:rsidRPr="00C92CFE">
        <w:t>Modifiche dei termini di prescrizione in sintesi:</w:t>
      </w:r>
    </w:p>
    <w:p w:rsidR="005F5380" w:rsidRPr="00C92CFE" w:rsidRDefault="005F5380" w:rsidP="00490419">
      <w:r w:rsidRPr="00C92CFE">
        <w:t>Violazione di obblighi procedurali:</w:t>
      </w:r>
    </w:p>
    <w:p w:rsidR="005F5380" w:rsidRPr="00C92CFE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lata</w:t>
      </w:r>
      <w:r w:rsidR="005F5380" w:rsidRPr="00C92CFE">
        <w:rPr>
          <w:rFonts w:cs="Arial"/>
          <w:szCs w:val="24"/>
        </w:rPr>
        <w:t>: 2 anni (prescrizione relativa) – 3 anni (prescrizione assoluta)</w:t>
      </w:r>
    </w:p>
    <w:p w:rsidR="005F5380" w:rsidRPr="00C92CFE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i/>
          <w:szCs w:val="24"/>
        </w:rPr>
        <w:lastRenderedPageBreak/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</w:t>
      </w:r>
      <w:proofErr w:type="spellStart"/>
      <w:r w:rsidR="005F5380" w:rsidRPr="00C92CFE">
        <w:rPr>
          <w:rFonts w:cs="Arial"/>
          <w:i/>
          <w:szCs w:val="24"/>
        </w:rPr>
        <w:t>ferenda</w:t>
      </w:r>
      <w:proofErr w:type="spellEnd"/>
      <w:r w:rsidR="005F5380" w:rsidRPr="00C92CFE">
        <w:rPr>
          <w:rFonts w:cs="Arial"/>
          <w:szCs w:val="24"/>
        </w:rPr>
        <w:t>: 3 anni (termine unico);</w:t>
      </w:r>
    </w:p>
    <w:p w:rsidR="005F5380" w:rsidRPr="00765D04" w:rsidRDefault="005F5380" w:rsidP="00490419">
      <w:pPr>
        <w:rPr>
          <w:sz w:val="12"/>
          <w:szCs w:val="12"/>
        </w:rPr>
      </w:pPr>
    </w:p>
    <w:p w:rsidR="005F5380" w:rsidRPr="00C92CFE" w:rsidRDefault="005F5380" w:rsidP="00490419">
      <w:r w:rsidRPr="00C92CFE">
        <w:t>Sottrazione d’imposta consumata e dissimulazione/distrazione di valori successori: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lata</w:t>
      </w:r>
      <w:r w:rsidR="005F5380" w:rsidRPr="00490419">
        <w:rPr>
          <w:rFonts w:cs="Arial"/>
          <w:i/>
          <w:szCs w:val="24"/>
        </w:rPr>
        <w:t>: 10 anni (prescrizione relativa) – 15 anni (prescrizione assoluta)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</w:t>
      </w:r>
      <w:proofErr w:type="spellStart"/>
      <w:r w:rsidR="005F5380" w:rsidRPr="00C92CFE">
        <w:rPr>
          <w:rFonts w:cs="Arial"/>
          <w:i/>
          <w:szCs w:val="24"/>
        </w:rPr>
        <w:t>ferenda</w:t>
      </w:r>
      <w:proofErr w:type="spellEnd"/>
      <w:r w:rsidR="005F5380" w:rsidRPr="00C92CFE">
        <w:rPr>
          <w:rFonts w:cs="Arial"/>
          <w:i/>
          <w:szCs w:val="24"/>
        </w:rPr>
        <w:t xml:space="preserve">: </w:t>
      </w:r>
      <w:r w:rsidR="005F5380" w:rsidRPr="00490419">
        <w:rPr>
          <w:rFonts w:cs="Arial"/>
          <w:i/>
          <w:szCs w:val="24"/>
        </w:rPr>
        <w:t>10 anni (termine unico);</w:t>
      </w:r>
    </w:p>
    <w:p w:rsidR="005F5380" w:rsidRPr="00C92CFE" w:rsidRDefault="005F5380" w:rsidP="00490419">
      <w:pPr>
        <w:pStyle w:val="Paragrafoelenco"/>
        <w:tabs>
          <w:tab w:val="left" w:pos="2977"/>
        </w:tabs>
        <w:ind w:left="284" w:hanging="284"/>
        <w:rPr>
          <w:rFonts w:cs="Arial"/>
          <w:szCs w:val="24"/>
        </w:rPr>
      </w:pPr>
    </w:p>
    <w:p w:rsidR="005F5380" w:rsidRPr="00C92CFE" w:rsidRDefault="005F5380" w:rsidP="00490419">
      <w:pPr>
        <w:pStyle w:val="Paragrafoelenco"/>
        <w:tabs>
          <w:tab w:val="left" w:pos="2977"/>
        </w:tabs>
        <w:ind w:left="284" w:hanging="284"/>
        <w:rPr>
          <w:rFonts w:cs="Arial"/>
          <w:szCs w:val="24"/>
        </w:rPr>
      </w:pPr>
      <w:r w:rsidRPr="00C92CFE">
        <w:rPr>
          <w:rFonts w:cs="Arial"/>
          <w:szCs w:val="24"/>
        </w:rPr>
        <w:t>Tentativo di sottrazione d’imposta: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lata</w:t>
      </w:r>
      <w:r w:rsidR="005F5380" w:rsidRPr="00490419">
        <w:rPr>
          <w:rFonts w:cs="Arial"/>
          <w:i/>
          <w:szCs w:val="24"/>
        </w:rPr>
        <w:t>: 4 anni (prescrizione relativa) – 6 anni (prescrizione assoluta)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</w:t>
      </w:r>
      <w:proofErr w:type="spellStart"/>
      <w:r w:rsidR="005F5380" w:rsidRPr="00C92CFE">
        <w:rPr>
          <w:rFonts w:cs="Arial"/>
          <w:i/>
          <w:szCs w:val="24"/>
        </w:rPr>
        <w:t>ferenda</w:t>
      </w:r>
      <w:proofErr w:type="spellEnd"/>
      <w:r w:rsidR="005F5380" w:rsidRPr="00C92CFE">
        <w:rPr>
          <w:rFonts w:cs="Arial"/>
          <w:i/>
          <w:szCs w:val="24"/>
        </w:rPr>
        <w:t xml:space="preserve">: </w:t>
      </w:r>
      <w:r w:rsidR="005F5380" w:rsidRPr="00490419">
        <w:rPr>
          <w:rFonts w:cs="Arial"/>
          <w:i/>
          <w:szCs w:val="24"/>
        </w:rPr>
        <w:t>6 anni (termine unico);</w:t>
      </w:r>
    </w:p>
    <w:p w:rsidR="005F5380" w:rsidRPr="00C92CFE" w:rsidRDefault="005F5380" w:rsidP="00490419">
      <w:pPr>
        <w:pStyle w:val="Paragrafoelenco"/>
        <w:tabs>
          <w:tab w:val="left" w:pos="2977"/>
        </w:tabs>
        <w:ind w:left="284" w:hanging="284"/>
        <w:rPr>
          <w:rFonts w:cs="Arial"/>
          <w:szCs w:val="24"/>
        </w:rPr>
      </w:pPr>
    </w:p>
    <w:p w:rsidR="005F5380" w:rsidRPr="00C92CFE" w:rsidRDefault="005F5380" w:rsidP="00490419">
      <w:pPr>
        <w:pStyle w:val="Paragrafoelenco"/>
        <w:tabs>
          <w:tab w:val="left" w:pos="2977"/>
        </w:tabs>
        <w:ind w:left="284" w:hanging="284"/>
        <w:rPr>
          <w:rFonts w:cs="Arial"/>
          <w:szCs w:val="24"/>
        </w:rPr>
      </w:pPr>
      <w:r w:rsidRPr="00C92CFE">
        <w:rPr>
          <w:rFonts w:cs="Arial"/>
          <w:szCs w:val="24"/>
        </w:rPr>
        <w:t>Delitti fiscali (frode fiscale e appropriazione indebita d’imposte alla fonte):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lata</w:t>
      </w:r>
      <w:r w:rsidR="005F5380" w:rsidRPr="00490419">
        <w:rPr>
          <w:rFonts w:cs="Arial"/>
          <w:i/>
          <w:szCs w:val="24"/>
        </w:rPr>
        <w:t>: 10 anni (prescrizione relativa) – 15 anni (prescrizione assoluta)</w:t>
      </w:r>
    </w:p>
    <w:p w:rsidR="005F5380" w:rsidRPr="00490419" w:rsidRDefault="00490419" w:rsidP="00490419">
      <w:pPr>
        <w:pStyle w:val="Paragrafoelenco"/>
        <w:tabs>
          <w:tab w:val="left" w:pos="2977"/>
        </w:tabs>
        <w:spacing w:before="80"/>
        <w:ind w:left="284" w:hanging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>-</w:t>
      </w:r>
      <w:r>
        <w:rPr>
          <w:rFonts w:cs="Arial"/>
          <w:i/>
          <w:szCs w:val="24"/>
        </w:rPr>
        <w:tab/>
      </w:r>
      <w:r w:rsidR="005F5380" w:rsidRPr="00C92CFE">
        <w:rPr>
          <w:rFonts w:cs="Arial"/>
          <w:i/>
          <w:szCs w:val="24"/>
        </w:rPr>
        <w:t xml:space="preserve">de </w:t>
      </w:r>
      <w:proofErr w:type="spellStart"/>
      <w:r w:rsidR="005F5380" w:rsidRPr="00C92CFE">
        <w:rPr>
          <w:rFonts w:cs="Arial"/>
          <w:i/>
          <w:szCs w:val="24"/>
        </w:rPr>
        <w:t>lege</w:t>
      </w:r>
      <w:proofErr w:type="spellEnd"/>
      <w:r w:rsidR="005F5380" w:rsidRPr="00C92CFE">
        <w:rPr>
          <w:rFonts w:cs="Arial"/>
          <w:i/>
          <w:szCs w:val="24"/>
        </w:rPr>
        <w:t xml:space="preserve"> </w:t>
      </w:r>
      <w:proofErr w:type="spellStart"/>
      <w:r w:rsidR="005F5380" w:rsidRPr="00C92CFE">
        <w:rPr>
          <w:rFonts w:cs="Arial"/>
          <w:i/>
          <w:szCs w:val="24"/>
        </w:rPr>
        <w:t>ferenda</w:t>
      </w:r>
      <w:proofErr w:type="spellEnd"/>
      <w:r w:rsidR="005F5380" w:rsidRPr="00C92CFE">
        <w:rPr>
          <w:rFonts w:cs="Arial"/>
          <w:i/>
          <w:szCs w:val="24"/>
        </w:rPr>
        <w:t xml:space="preserve">: </w:t>
      </w:r>
      <w:r w:rsidR="005F5380" w:rsidRPr="00490419">
        <w:rPr>
          <w:rFonts w:cs="Arial"/>
          <w:i/>
          <w:szCs w:val="24"/>
        </w:rPr>
        <w:t>15 anni (termine unico).</w:t>
      </w:r>
    </w:p>
    <w:p w:rsidR="005F5380" w:rsidRPr="00C92CFE" w:rsidRDefault="005F5380" w:rsidP="00490419">
      <w:pPr>
        <w:pStyle w:val="Paragrafoelenco"/>
        <w:ind w:left="284" w:hanging="284"/>
        <w:rPr>
          <w:rFonts w:cs="Arial"/>
          <w:szCs w:val="24"/>
        </w:rPr>
      </w:pPr>
    </w:p>
    <w:p w:rsidR="005F5380" w:rsidRPr="00C92CFE" w:rsidRDefault="005F5380" w:rsidP="00490419">
      <w:pPr>
        <w:pStyle w:val="Paragrafoelenco"/>
        <w:rPr>
          <w:rFonts w:cs="Arial"/>
          <w:szCs w:val="24"/>
        </w:rPr>
      </w:pPr>
      <w:r w:rsidRPr="00C92CFE">
        <w:rPr>
          <w:rFonts w:cs="Arial"/>
          <w:szCs w:val="24"/>
        </w:rPr>
        <w:t>In tutti i casi summenzionati la decisione/multa deve essere comminata prima della scadenza del termine unico di prescrizione, pena la decadenza dell’azione penale.</w:t>
      </w:r>
    </w:p>
    <w:p w:rsidR="005F5380" w:rsidRPr="00765D04" w:rsidRDefault="005F5380" w:rsidP="00490419">
      <w:pPr>
        <w:pStyle w:val="Paragrafoelenco"/>
        <w:rPr>
          <w:rFonts w:cs="Arial"/>
          <w:sz w:val="20"/>
          <w:szCs w:val="20"/>
        </w:rPr>
      </w:pPr>
    </w:p>
    <w:p w:rsidR="005F5380" w:rsidRPr="00765D04" w:rsidRDefault="005F5380" w:rsidP="00490419">
      <w:pPr>
        <w:pStyle w:val="Paragrafoelenco"/>
        <w:rPr>
          <w:rFonts w:cs="Arial"/>
          <w:sz w:val="20"/>
          <w:szCs w:val="20"/>
        </w:rPr>
      </w:pPr>
    </w:p>
    <w:p w:rsidR="005F5380" w:rsidRPr="00C92CFE" w:rsidRDefault="005F5380" w:rsidP="00490419">
      <w:pPr>
        <w:pStyle w:val="Paragrafoelenco"/>
        <w:rPr>
          <w:rFonts w:cs="Arial"/>
          <w:szCs w:val="24"/>
        </w:rPr>
      </w:pPr>
    </w:p>
    <w:p w:rsidR="005F5380" w:rsidRPr="00C92CFE" w:rsidRDefault="005F5380" w:rsidP="00490419">
      <w:pPr>
        <w:pStyle w:val="Titolo1"/>
      </w:pPr>
      <w:r w:rsidRPr="00C92CFE">
        <w:t>MODIFICA DELLA PRESCRIZIONE DEL DIRITTO DI TASSARE IN AMBITO DI IMPOSIZIONE DEGLI UTILI IMMOBILIARI</w:t>
      </w:r>
    </w:p>
    <w:p w:rsidR="005F5380" w:rsidRPr="00C92CFE" w:rsidRDefault="005F5380" w:rsidP="00490419">
      <w:pPr>
        <w:pStyle w:val="Titolo2"/>
      </w:pPr>
      <w:r w:rsidRPr="00C92CFE">
        <w:t>Disposizioni oggetto di modifica:</w:t>
      </w:r>
    </w:p>
    <w:p w:rsidR="005F5380" w:rsidRPr="00C92CFE" w:rsidRDefault="005F5380" w:rsidP="00490419">
      <w:pPr>
        <w:pStyle w:val="Titolo2"/>
      </w:pPr>
      <w:r w:rsidRPr="00C92CFE">
        <w:t>articolo 193 cpv. 1 e cpv. 5 LT</w:t>
      </w:r>
    </w:p>
    <w:p w:rsidR="005F5380" w:rsidRPr="00C92CFE" w:rsidRDefault="005F5380" w:rsidP="00490419">
      <w:pPr>
        <w:spacing w:after="200"/>
        <w:contextualSpacing/>
        <w:rPr>
          <w:rFonts w:cs="Arial"/>
          <w:szCs w:val="24"/>
        </w:rPr>
      </w:pPr>
      <w:r w:rsidRPr="00C92CFE">
        <w:rPr>
          <w:rFonts w:cs="Arial"/>
          <w:szCs w:val="24"/>
        </w:rPr>
        <w:t>L’emendamento, imposto dalla dottrina, si propone di allineare il termine di prescrizione relativa della TUI a quello previsto per le imposte ordinarie (imposte sul reddito e sull’utile). A seguito della modifica, il termine di prescrizione relativa del diritto di tassare gli utili immobiliari decadrà in 5 anni e non più in 10, mentre la prescrizione assoluta del diritto di tassare la TUI (così come le imposte sul reddito e sull’utile) continuerà ad essere di 15 anni.</w:t>
      </w:r>
    </w:p>
    <w:p w:rsidR="005F5380" w:rsidRPr="00765D04" w:rsidRDefault="005F5380" w:rsidP="00490419">
      <w:pPr>
        <w:tabs>
          <w:tab w:val="left" w:pos="426"/>
          <w:tab w:val="left" w:pos="4933"/>
        </w:tabs>
        <w:ind w:right="-1"/>
        <w:rPr>
          <w:rFonts w:cs="Arial"/>
          <w:sz w:val="20"/>
          <w:szCs w:val="20"/>
        </w:rPr>
      </w:pPr>
    </w:p>
    <w:p w:rsidR="005F5380" w:rsidRPr="00765D04" w:rsidRDefault="005F5380" w:rsidP="00490419">
      <w:pPr>
        <w:tabs>
          <w:tab w:val="left" w:pos="426"/>
          <w:tab w:val="left" w:pos="4933"/>
        </w:tabs>
        <w:ind w:right="-1"/>
        <w:rPr>
          <w:rFonts w:cs="Arial"/>
          <w:sz w:val="20"/>
          <w:szCs w:val="20"/>
        </w:rPr>
      </w:pPr>
    </w:p>
    <w:p w:rsidR="005F5380" w:rsidRPr="00490419" w:rsidRDefault="005F5380" w:rsidP="00490419">
      <w:pPr>
        <w:tabs>
          <w:tab w:val="left" w:pos="426"/>
          <w:tab w:val="left" w:pos="4933"/>
        </w:tabs>
        <w:ind w:right="-1"/>
        <w:rPr>
          <w:rFonts w:cs="Arial"/>
          <w:szCs w:val="24"/>
        </w:rPr>
      </w:pPr>
    </w:p>
    <w:p w:rsidR="005F5380" w:rsidRPr="00C92CFE" w:rsidRDefault="005F5380" w:rsidP="00490419">
      <w:pPr>
        <w:pStyle w:val="Titolo1"/>
      </w:pPr>
      <w:r w:rsidRPr="00C92CFE">
        <w:t>INTRODUZIONE DI UNA NORMA SULLA TRASMISSIONE, CONSERVAZIONE E DISTRUZIONE DEI DATI FISCALI</w:t>
      </w:r>
    </w:p>
    <w:p w:rsidR="005F5380" w:rsidRPr="005F5380" w:rsidRDefault="005F5380" w:rsidP="00490419">
      <w:pPr>
        <w:pStyle w:val="Titolo2"/>
      </w:pPr>
      <w:r w:rsidRPr="005F5380">
        <w:t>Disposizione oggetto di modifica:</w:t>
      </w:r>
    </w:p>
    <w:p w:rsidR="005F5380" w:rsidRPr="00C92CFE" w:rsidRDefault="005F5380" w:rsidP="00490419">
      <w:pPr>
        <w:pStyle w:val="Titolo2"/>
      </w:pPr>
      <w:r w:rsidRPr="005F5380">
        <w:t xml:space="preserve">articolo </w:t>
      </w:r>
      <w:r w:rsidRPr="00C92CFE">
        <w:t>180 cpv. 2 LT</w:t>
      </w:r>
    </w:p>
    <w:p w:rsidR="005F5380" w:rsidRPr="00C92CFE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  <w:r w:rsidRPr="00C92CFE">
        <w:rPr>
          <w:rFonts w:cs="Arial"/>
          <w:szCs w:val="24"/>
        </w:rPr>
        <w:t>La Commissione conferma l’utilità di aggiornare il capoverso 2 dell’art. 180 LT in modo da consentire alla Divisione delle contribuzioni, nell’ambito del progetto e-</w:t>
      </w:r>
      <w:proofErr w:type="spellStart"/>
      <w:r w:rsidRPr="00C92CFE">
        <w:rPr>
          <w:rFonts w:cs="Arial"/>
          <w:szCs w:val="24"/>
        </w:rPr>
        <w:t>tax</w:t>
      </w:r>
      <w:proofErr w:type="spellEnd"/>
      <w:r w:rsidRPr="00C92CFE">
        <w:rPr>
          <w:rFonts w:cs="Arial"/>
          <w:szCs w:val="24"/>
        </w:rPr>
        <w:t>, di regolamentare la trasmissione di dati in formato elettronico (segnatamente lo scambio elettronico di dati tra contribuenti e autorità fiscale e viceversa), la conservazione dei dati fiscali su supporto elettronico tramite scansione degli atti e la successiva distruzione della documentazione cartacea.</w:t>
      </w:r>
    </w:p>
    <w:p w:rsidR="005F5380" w:rsidRPr="00765D04" w:rsidRDefault="005F5380" w:rsidP="00490419">
      <w:pPr>
        <w:tabs>
          <w:tab w:val="left" w:pos="567"/>
        </w:tabs>
        <w:ind w:right="-2"/>
        <w:rPr>
          <w:rFonts w:cs="Arial"/>
          <w:sz w:val="20"/>
          <w:szCs w:val="20"/>
        </w:rPr>
      </w:pPr>
    </w:p>
    <w:p w:rsidR="005F5380" w:rsidRPr="00765D04" w:rsidRDefault="005F5380" w:rsidP="00490419">
      <w:pPr>
        <w:tabs>
          <w:tab w:val="left" w:pos="567"/>
        </w:tabs>
        <w:ind w:right="-2"/>
        <w:rPr>
          <w:rFonts w:cs="Arial"/>
          <w:sz w:val="20"/>
          <w:szCs w:val="20"/>
        </w:rPr>
      </w:pPr>
    </w:p>
    <w:p w:rsidR="005F5380" w:rsidRPr="00490419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</w:p>
    <w:p w:rsidR="005F5380" w:rsidRPr="00C92CFE" w:rsidRDefault="005F5380" w:rsidP="00490419">
      <w:pPr>
        <w:pStyle w:val="Titolo1"/>
      </w:pPr>
      <w:r w:rsidRPr="00C92CFE">
        <w:t>VALUTAZIONI DELLA COMMISSIONE TRIBUTARIA</w:t>
      </w:r>
    </w:p>
    <w:p w:rsidR="005F5380" w:rsidRPr="00C92CFE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  <w:r w:rsidRPr="00C92CFE">
        <w:rPr>
          <w:rFonts w:cs="Arial"/>
          <w:szCs w:val="24"/>
        </w:rPr>
        <w:t>La Commissione tributaria conferma la bontà e l’urgenza di procedere alla modifica degli articoli di legge summenzionati.</w:t>
      </w:r>
    </w:p>
    <w:p w:rsidR="005F5380" w:rsidRPr="00490419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</w:p>
    <w:p w:rsidR="00765D04" w:rsidRDefault="00765D04">
      <w:pPr>
        <w:rPr>
          <w:b/>
          <w:caps/>
          <w:szCs w:val="24"/>
          <w:lang w:val="it-IT" w:eastAsia="it-IT"/>
        </w:rPr>
      </w:pPr>
      <w:r>
        <w:lastRenderedPageBreak/>
        <w:br w:type="page"/>
      </w:r>
    </w:p>
    <w:p w:rsidR="005F5380" w:rsidRPr="00C92CFE" w:rsidRDefault="005F5380" w:rsidP="00490419">
      <w:pPr>
        <w:pStyle w:val="Titolo1"/>
      </w:pPr>
      <w:r w:rsidRPr="00C92CFE">
        <w:lastRenderedPageBreak/>
        <w:t>CONCLUSIONI</w:t>
      </w:r>
    </w:p>
    <w:p w:rsidR="005F5380" w:rsidRPr="00C92CFE" w:rsidRDefault="005F5380" w:rsidP="00490419">
      <w:pPr>
        <w:tabs>
          <w:tab w:val="left" w:pos="567"/>
        </w:tabs>
        <w:ind w:right="-2"/>
        <w:rPr>
          <w:rFonts w:cs="Arial"/>
          <w:szCs w:val="24"/>
        </w:rPr>
      </w:pPr>
      <w:r w:rsidRPr="00C92CFE">
        <w:rPr>
          <w:rFonts w:cs="Arial"/>
          <w:szCs w:val="24"/>
        </w:rPr>
        <w:t xml:space="preserve">La Commissione </w:t>
      </w:r>
      <w:r w:rsidR="00490419">
        <w:rPr>
          <w:rFonts w:cs="Arial"/>
          <w:szCs w:val="24"/>
        </w:rPr>
        <w:t xml:space="preserve">speciale </w:t>
      </w:r>
      <w:r w:rsidRPr="00C92CFE">
        <w:rPr>
          <w:rFonts w:cs="Arial"/>
          <w:szCs w:val="24"/>
        </w:rPr>
        <w:t xml:space="preserve">tributaria invita pertanto il Gran Consiglio ad approvare senz’altro il disegno </w:t>
      </w:r>
      <w:r w:rsidR="00490419">
        <w:rPr>
          <w:rFonts w:cs="Arial"/>
          <w:szCs w:val="24"/>
        </w:rPr>
        <w:t>di modifica di legge</w:t>
      </w:r>
      <w:r w:rsidRPr="00C92CFE">
        <w:rPr>
          <w:rFonts w:cs="Arial"/>
          <w:szCs w:val="24"/>
        </w:rPr>
        <w:t xml:space="preserve"> allegato al messaggio n. 7219 onde consentire il tempestivo adattamento della Legge tributaria cantonale.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="005F5380">
        <w:rPr>
          <w:rFonts w:cs="Arial"/>
          <w:szCs w:val="24"/>
        </w:rPr>
        <w:t>speciale tributaria</w:t>
      </w:r>
      <w:r w:rsidRPr="00076E70">
        <w:rPr>
          <w:rFonts w:cs="Arial"/>
          <w:szCs w:val="24"/>
        </w:rPr>
        <w:t>:</w:t>
      </w:r>
    </w:p>
    <w:p w:rsidR="00076E70" w:rsidRPr="00076E70" w:rsidRDefault="005F5380" w:rsidP="00076E70">
      <w:pPr>
        <w:rPr>
          <w:rFonts w:cs="Arial"/>
          <w:szCs w:val="24"/>
        </w:rPr>
      </w:pPr>
      <w:r>
        <w:rPr>
          <w:rFonts w:cs="Arial"/>
          <w:szCs w:val="24"/>
        </w:rPr>
        <w:t>Raoul Ghisletta</w:t>
      </w:r>
      <w:r w:rsidR="00076E70" w:rsidRPr="00076E70">
        <w:rPr>
          <w:rFonts w:cs="Arial"/>
          <w:szCs w:val="24"/>
        </w:rPr>
        <w:t>, relatore</w:t>
      </w:r>
    </w:p>
    <w:p w:rsidR="00204365" w:rsidRDefault="00204365" w:rsidP="00204365">
      <w:r>
        <w:t xml:space="preserve">Battaglioni - Censi - Ferrara - Foletti - Garobbio - </w:t>
      </w:r>
    </w:p>
    <w:p w:rsidR="00204365" w:rsidRDefault="00204365" w:rsidP="00204365">
      <w:r>
        <w:t xml:space="preserve">Gendotti - Gianella - Giudici - Kandemir Bordoli - </w:t>
      </w:r>
    </w:p>
    <w:p w:rsidR="00204365" w:rsidRDefault="00204365" w:rsidP="00204365">
      <w:r>
        <w:t>Minoretti - Pagani G. - Pamini - Seitz</w:t>
      </w: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16" w:rsidRDefault="00C64016" w:rsidP="008E77C6">
      <w:r>
        <w:separator/>
      </w:r>
    </w:p>
  </w:endnote>
  <w:endnote w:type="continuationSeparator" w:id="0">
    <w:p w:rsidR="00C64016" w:rsidRDefault="00C6401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062089" w:rsidRPr="00062089">
          <w:rPr>
            <w:noProof/>
            <w:sz w:val="20"/>
            <w:szCs w:val="20"/>
            <w:lang w:val="it-IT"/>
          </w:rPr>
          <w:t>4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16" w:rsidRDefault="00C64016" w:rsidP="008E77C6">
      <w:r>
        <w:separator/>
      </w:r>
    </w:p>
  </w:footnote>
  <w:footnote w:type="continuationSeparator" w:id="0">
    <w:p w:rsidR="00C64016" w:rsidRDefault="00C6401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0476B1"/>
    <w:multiLevelType w:val="hybridMultilevel"/>
    <w:tmpl w:val="8E945192"/>
    <w:lvl w:ilvl="0" w:tplc="7FB231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DF2A9A"/>
    <w:multiLevelType w:val="hybridMultilevel"/>
    <w:tmpl w:val="A77A931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62089"/>
    <w:rsid w:val="00076E70"/>
    <w:rsid w:val="000B5515"/>
    <w:rsid w:val="00204365"/>
    <w:rsid w:val="002E5E40"/>
    <w:rsid w:val="00490419"/>
    <w:rsid w:val="0052425A"/>
    <w:rsid w:val="00586A8D"/>
    <w:rsid w:val="005F5380"/>
    <w:rsid w:val="006D7A3B"/>
    <w:rsid w:val="00765D04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64016"/>
    <w:rsid w:val="00CF6858"/>
    <w:rsid w:val="00D93B31"/>
    <w:rsid w:val="00E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490419"/>
    <w:pPr>
      <w:keepNext/>
      <w:tabs>
        <w:tab w:val="left" w:pos="567"/>
      </w:tabs>
      <w:spacing w:after="8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90419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NormaleWeb">
    <w:name w:val="Normal (Web)"/>
    <w:basedOn w:val="Normale"/>
    <w:rsid w:val="005F53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490419"/>
    <w:pPr>
      <w:keepNext/>
      <w:tabs>
        <w:tab w:val="left" w:pos="567"/>
      </w:tabs>
      <w:spacing w:after="8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90419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NormaleWeb">
    <w:name w:val="Normal (Web)"/>
    <w:basedOn w:val="Normale"/>
    <w:rsid w:val="005F53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C63-1864-4DCE-88A3-772DBF8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 / kxgc022</cp:lastModifiedBy>
  <cp:revision>8</cp:revision>
  <cp:lastPrinted>2016-11-02T10:52:00Z</cp:lastPrinted>
  <dcterms:created xsi:type="dcterms:W3CDTF">2016-10-24T10:05:00Z</dcterms:created>
  <dcterms:modified xsi:type="dcterms:W3CDTF">2016-11-02T10:53:00Z</dcterms:modified>
</cp:coreProperties>
</file>