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BD" w:rsidRPr="00A7161F" w:rsidRDefault="00A7161F">
      <w:pPr>
        <w:rPr>
          <w:rFonts w:cs="Arial"/>
          <w:b/>
          <w:szCs w:val="20"/>
        </w:rPr>
      </w:pPr>
      <w:bookmarkStart w:id="0" w:name="_GoBack"/>
      <w:r w:rsidRPr="00A7161F">
        <w:rPr>
          <w:rFonts w:cs="Arial"/>
          <w:b/>
          <w:szCs w:val="20"/>
        </w:rPr>
        <w:t>Rapporto</w:t>
      </w:r>
    </w:p>
    <w:bookmarkEnd w:id="0"/>
    <w:p w:rsidR="008B4137" w:rsidRDefault="008B4137" w:rsidP="00076E70"/>
    <w:p w:rsidR="008B4137" w:rsidRDefault="008B4137">
      <w:pPr>
        <w:rPr>
          <w:rFonts w:cs="Arial"/>
          <w:szCs w:val="24"/>
        </w:rPr>
      </w:pPr>
    </w:p>
    <w:p w:rsidR="00076E70" w:rsidRDefault="00076E70">
      <w:pPr>
        <w:rPr>
          <w:rFonts w:cs="Arial"/>
          <w:szCs w:val="24"/>
        </w:rPr>
      </w:pPr>
    </w:p>
    <w:p w:rsidR="008B4137" w:rsidRDefault="00185142" w:rsidP="006D7A3B">
      <w:pPr>
        <w:tabs>
          <w:tab w:val="left" w:pos="2098"/>
          <w:tab w:val="left" w:pos="4933"/>
        </w:tabs>
        <w:rPr>
          <w:rFonts w:cs="Arial"/>
          <w:szCs w:val="24"/>
        </w:rPr>
      </w:pPr>
      <w:r>
        <w:rPr>
          <w:rFonts w:cs="Arial"/>
          <w:b/>
          <w:sz w:val="32"/>
          <w:szCs w:val="32"/>
        </w:rPr>
        <w:t>7222</w:t>
      </w:r>
      <w:r w:rsidR="008B4137" w:rsidRPr="008B4137">
        <w:rPr>
          <w:rFonts w:cs="Arial"/>
          <w:b/>
          <w:sz w:val="32"/>
          <w:szCs w:val="32"/>
        </w:rPr>
        <w:t xml:space="preserve"> R</w:t>
      </w:r>
      <w:r w:rsidR="008B4137" w:rsidRPr="008B4137">
        <w:rPr>
          <w:rFonts w:cs="Arial"/>
          <w:sz w:val="28"/>
          <w:szCs w:val="28"/>
        </w:rPr>
        <w:tab/>
      </w:r>
      <w:r>
        <w:rPr>
          <w:rFonts w:cs="Arial"/>
          <w:sz w:val="28"/>
          <w:szCs w:val="28"/>
        </w:rPr>
        <w:t>25 ottobre 2016</w:t>
      </w:r>
      <w:r w:rsidR="008B4137" w:rsidRPr="008B4137">
        <w:rPr>
          <w:rFonts w:cs="Arial"/>
          <w:sz w:val="28"/>
          <w:szCs w:val="28"/>
        </w:rPr>
        <w:tab/>
      </w:r>
      <w:r>
        <w:rPr>
          <w:rFonts w:cs="Arial"/>
          <w:sz w:val="28"/>
          <w:szCs w:val="28"/>
        </w:rPr>
        <w:t>SANITÀ E SOCIALITÀ</w:t>
      </w:r>
    </w:p>
    <w:p w:rsidR="008B4137" w:rsidRDefault="008B4137">
      <w:pPr>
        <w:rPr>
          <w:rFonts w:cs="Arial"/>
          <w:szCs w:val="24"/>
        </w:rPr>
      </w:pPr>
    </w:p>
    <w:p w:rsidR="008B4137" w:rsidRDefault="008B4137">
      <w:pPr>
        <w:rPr>
          <w:rFonts w:cs="Arial"/>
          <w:szCs w:val="24"/>
        </w:rPr>
      </w:pPr>
    </w:p>
    <w:p w:rsidR="008B4137" w:rsidRPr="008B4137" w:rsidRDefault="008B4137">
      <w:pPr>
        <w:rPr>
          <w:rFonts w:cs="Arial"/>
          <w:b/>
          <w:sz w:val="28"/>
          <w:szCs w:val="28"/>
        </w:rPr>
      </w:pPr>
      <w:r w:rsidRPr="008B4137">
        <w:rPr>
          <w:rFonts w:cs="Arial"/>
          <w:b/>
          <w:sz w:val="28"/>
          <w:szCs w:val="28"/>
        </w:rPr>
        <w:t>della Commissione della gestione e delle finanze</w:t>
      </w:r>
    </w:p>
    <w:p w:rsidR="008B4137" w:rsidRPr="00185142" w:rsidRDefault="008B4137">
      <w:pPr>
        <w:rPr>
          <w:rFonts w:cs="Arial"/>
          <w:b/>
          <w:sz w:val="28"/>
          <w:szCs w:val="28"/>
        </w:rPr>
      </w:pPr>
      <w:r w:rsidRPr="008B4137">
        <w:rPr>
          <w:rFonts w:cs="Arial"/>
          <w:b/>
          <w:sz w:val="28"/>
          <w:szCs w:val="28"/>
        </w:rPr>
        <w:t>sul messaggio</w:t>
      </w:r>
      <w:r w:rsidR="00185142">
        <w:rPr>
          <w:rFonts w:cs="Arial"/>
          <w:b/>
          <w:sz w:val="28"/>
          <w:szCs w:val="28"/>
        </w:rPr>
        <w:t xml:space="preserve"> 20 settembre 2016 concernente </w:t>
      </w:r>
      <w:r w:rsidR="00185142" w:rsidRPr="00185142">
        <w:rPr>
          <w:b/>
          <w:sz w:val="28"/>
          <w:szCs w:val="28"/>
        </w:rPr>
        <w:t xml:space="preserve">la concessione al consorzio dei comuni di Alto Malcantone, Bedano, </w:t>
      </w:r>
      <w:proofErr w:type="spellStart"/>
      <w:r w:rsidR="00185142" w:rsidRPr="00185142">
        <w:rPr>
          <w:b/>
          <w:sz w:val="28"/>
          <w:szCs w:val="28"/>
        </w:rPr>
        <w:t>Cadempino</w:t>
      </w:r>
      <w:proofErr w:type="spellEnd"/>
      <w:r w:rsidR="00185142" w:rsidRPr="00185142">
        <w:rPr>
          <w:b/>
          <w:sz w:val="28"/>
          <w:szCs w:val="28"/>
        </w:rPr>
        <w:t xml:space="preserve">, </w:t>
      </w:r>
      <w:proofErr w:type="spellStart"/>
      <w:r w:rsidR="00185142" w:rsidRPr="00185142">
        <w:rPr>
          <w:b/>
          <w:sz w:val="28"/>
          <w:szCs w:val="28"/>
        </w:rPr>
        <w:t>Gravesano</w:t>
      </w:r>
      <w:proofErr w:type="spellEnd"/>
      <w:r w:rsidR="00185142" w:rsidRPr="00185142">
        <w:rPr>
          <w:b/>
          <w:sz w:val="28"/>
          <w:szCs w:val="28"/>
        </w:rPr>
        <w:t xml:space="preserve">, </w:t>
      </w:r>
      <w:proofErr w:type="spellStart"/>
      <w:r w:rsidR="00185142" w:rsidRPr="00185142">
        <w:rPr>
          <w:b/>
          <w:sz w:val="28"/>
          <w:szCs w:val="28"/>
        </w:rPr>
        <w:t>Lamone</w:t>
      </w:r>
      <w:proofErr w:type="spellEnd"/>
      <w:r w:rsidR="00185142" w:rsidRPr="00185142">
        <w:rPr>
          <w:b/>
          <w:sz w:val="28"/>
          <w:szCs w:val="28"/>
        </w:rPr>
        <w:t xml:space="preserve"> e Manno, di un contributo unico a fondo perso di </w:t>
      </w:r>
      <w:r w:rsidR="00185142">
        <w:rPr>
          <w:b/>
          <w:sz w:val="28"/>
          <w:szCs w:val="28"/>
        </w:rPr>
        <w:br/>
      </w:r>
      <w:proofErr w:type="spellStart"/>
      <w:r w:rsidR="00185142" w:rsidRPr="00185142">
        <w:rPr>
          <w:b/>
          <w:sz w:val="28"/>
          <w:szCs w:val="28"/>
        </w:rPr>
        <w:t>fr</w:t>
      </w:r>
      <w:proofErr w:type="spellEnd"/>
      <w:r w:rsidR="00185142" w:rsidRPr="00185142">
        <w:rPr>
          <w:b/>
          <w:sz w:val="28"/>
          <w:szCs w:val="28"/>
        </w:rPr>
        <w:t>. 3'875'000.- per le opere di ampliamento della Casa "Stella Maris" di Bedano</w:t>
      </w:r>
    </w:p>
    <w:p w:rsidR="008B4137" w:rsidRDefault="008B4137">
      <w:pPr>
        <w:rPr>
          <w:rFonts w:cs="Arial"/>
          <w:szCs w:val="24"/>
        </w:rPr>
      </w:pPr>
    </w:p>
    <w:p w:rsidR="008B4137" w:rsidRDefault="008B4137">
      <w:pPr>
        <w:rPr>
          <w:rFonts w:cs="Arial"/>
          <w:szCs w:val="24"/>
        </w:rPr>
      </w:pPr>
    </w:p>
    <w:p w:rsidR="008B4137" w:rsidRDefault="008B4137">
      <w:pPr>
        <w:rPr>
          <w:rFonts w:cs="Arial"/>
          <w:szCs w:val="24"/>
        </w:rPr>
      </w:pPr>
    </w:p>
    <w:p w:rsidR="003415B5" w:rsidRPr="00185142" w:rsidRDefault="003415B5" w:rsidP="00185142">
      <w:pPr>
        <w:pStyle w:val="Titolo1"/>
      </w:pPr>
      <w:r w:rsidRPr="00185142">
        <w:t xml:space="preserve">Situazione del fabbisogno in Ticino </w:t>
      </w:r>
    </w:p>
    <w:p w:rsidR="003415B5" w:rsidRPr="00185142" w:rsidRDefault="003415B5" w:rsidP="00185142">
      <w:pPr>
        <w:rPr>
          <w:rFonts w:cs="Arial"/>
        </w:rPr>
      </w:pPr>
      <w:r w:rsidRPr="00185142">
        <w:rPr>
          <w:rFonts w:cs="Arial"/>
        </w:rPr>
        <w:t xml:space="preserve">Il Ticino vive una situazione particolare a livello di invecchiamento della popolazione trovandosi ad essere uno dei Cantoni con la parte di popolazione anziana superiore rispetto al resto del paese. Secondo un rapporto della SUPSI del 2012 elaborato per conto di Pro </w:t>
      </w:r>
      <w:proofErr w:type="spellStart"/>
      <w:r w:rsidRPr="00185142">
        <w:rPr>
          <w:rFonts w:cs="Arial"/>
        </w:rPr>
        <w:t>Senectute</w:t>
      </w:r>
      <w:proofErr w:type="spellEnd"/>
      <w:r w:rsidRPr="00185142">
        <w:rPr>
          <w:rFonts w:cs="Arial"/>
        </w:rPr>
        <w:t xml:space="preserve"> in Svizzera le persone di 65 anni o più passeranno dal 17 per cento nel 2010 a più del 26 per cento nel 2035, e i Cantoni con le quote più elevate nel 2035 saranno quelli di Appenzello Esterno, del Ticino e di Sciaffusa, con percentuali superiori al 30 per cento. In sostanza tra poco più di una ventina di anni nel Cantone Ticino vivranno circa 113’000 persone di più di 64 anni (+64% rispetto alle 69'000 odierne) e rappresenteranno ben il 31% della popolazione totale. Di queste, 39'000 saranno ultraottantenni (+95% in più delle 20'000 odierne). È quindi chiaro che nonostante un costante miglioramento delle condizioni di invecchiamento nel tempo la necessità di strutture per anziani sarà sempre più marcata nel nostro Cantone.</w:t>
      </w:r>
    </w:p>
    <w:p w:rsidR="00185142" w:rsidRPr="00185142" w:rsidRDefault="00185142" w:rsidP="00185142">
      <w:pPr>
        <w:rPr>
          <w:rFonts w:cs="Arial"/>
        </w:rPr>
      </w:pPr>
    </w:p>
    <w:p w:rsidR="003415B5" w:rsidRPr="00185142" w:rsidRDefault="003415B5" w:rsidP="00185142">
      <w:pPr>
        <w:rPr>
          <w:rFonts w:cs="Arial"/>
        </w:rPr>
      </w:pPr>
      <w:r w:rsidRPr="00185142">
        <w:rPr>
          <w:rFonts w:cs="Arial"/>
        </w:rPr>
        <w:t xml:space="preserve">Già oggi il deficit di strutture è evidente, basti consultare il messaggio 6621 “Pianificazione 2010-2020 della capacità d’accoglienza degli istituti per anziani nel Cantone Ticino” per comprendere che il ritardo accumulato è considerevole questo in virtù del fatto che già al momento del licenziamento del messaggio in oggetto si viveva una situazione di carenza e che anche se tutte le strutture previste nel messaggio fossero state realizzate nei tempi indicati si sarebbe restati in un regime di </w:t>
      </w:r>
      <w:proofErr w:type="spellStart"/>
      <w:r w:rsidRPr="00185142">
        <w:rPr>
          <w:rFonts w:cs="Arial"/>
        </w:rPr>
        <w:t>sottodotazione</w:t>
      </w:r>
      <w:proofErr w:type="spellEnd"/>
      <w:r w:rsidRPr="00185142">
        <w:rPr>
          <w:rFonts w:cs="Arial"/>
        </w:rPr>
        <w:t xml:space="preserve"> di posti disponibili. A completare il quadro va poi considerato  che alcuni progetti sono vistosamente in ritardo, ad esempio 70 posti previsti in una casa anziani intercomunale a Comano dovevano essere pronti nel 2015 ma non lo saranno nella migliore delle ipotesi prima del 2022.</w:t>
      </w:r>
    </w:p>
    <w:p w:rsidR="00185142" w:rsidRPr="00185142" w:rsidRDefault="00185142" w:rsidP="00185142">
      <w:pPr>
        <w:rPr>
          <w:rFonts w:cs="Arial"/>
        </w:rPr>
      </w:pPr>
    </w:p>
    <w:p w:rsidR="003415B5" w:rsidRPr="00185142" w:rsidRDefault="003415B5" w:rsidP="00185142">
      <w:pPr>
        <w:rPr>
          <w:rFonts w:cs="Arial"/>
        </w:rPr>
      </w:pPr>
      <w:r w:rsidRPr="00185142">
        <w:rPr>
          <w:rFonts w:cs="Arial"/>
        </w:rPr>
        <w:t>In questo contesto è quindi quanto mai importante velocizzare e sostenere i progetti che possono andare a buon fine in tempi brevi, questo per poter disporre di strutture necessarie alla popolazione nel più breve tempo possibile. Tra questi progetti vi è sicuramente quello oggetto del messaggio che permetterebbe un aumento sensibile dei posti disponibili in una regione popolosa e che attualmente necessita di nuovi spazi per l'accoglienza degli anziani.</w:t>
      </w:r>
    </w:p>
    <w:p w:rsidR="00185142" w:rsidRPr="00185142" w:rsidRDefault="00185142" w:rsidP="00185142">
      <w:pPr>
        <w:rPr>
          <w:rFonts w:cs="Arial"/>
        </w:rPr>
      </w:pPr>
    </w:p>
    <w:p w:rsidR="003415B5" w:rsidRPr="00185142" w:rsidRDefault="003415B5" w:rsidP="00185142">
      <w:pPr>
        <w:rPr>
          <w:rFonts w:cs="Arial"/>
        </w:rPr>
      </w:pPr>
      <w:r w:rsidRPr="00185142">
        <w:rPr>
          <w:rFonts w:cs="Arial"/>
        </w:rPr>
        <w:t xml:space="preserve">Per quantificare la situazione è certamente utile far riferimento alla previsione del fabbisogno inserita all'interno del messaggio </w:t>
      </w:r>
      <w:r w:rsidR="00185142" w:rsidRPr="00185142">
        <w:rPr>
          <w:rFonts w:cs="Arial"/>
        </w:rPr>
        <w:t xml:space="preserve">n. </w:t>
      </w:r>
      <w:r w:rsidRPr="00185142">
        <w:rPr>
          <w:rFonts w:cs="Arial"/>
        </w:rPr>
        <w:t>6621.</w:t>
      </w:r>
    </w:p>
    <w:p w:rsidR="00185142" w:rsidRPr="00185142" w:rsidRDefault="00185142" w:rsidP="00185142">
      <w:pPr>
        <w:rPr>
          <w:rFonts w:cs="Arial"/>
        </w:rPr>
      </w:pPr>
    </w:p>
    <w:p w:rsidR="003415B5" w:rsidRPr="00064ABC" w:rsidRDefault="003415B5" w:rsidP="003415B5">
      <w:pPr>
        <w:keepNext/>
        <w:widowControl w:val="0"/>
        <w:autoSpaceDE w:val="0"/>
        <w:autoSpaceDN w:val="0"/>
        <w:adjustRightInd w:val="0"/>
        <w:spacing w:after="240"/>
      </w:pPr>
      <w:r w:rsidRPr="00064ABC">
        <w:rPr>
          <w:noProof/>
          <w:lang w:eastAsia="it-CH"/>
        </w:rPr>
        <w:drawing>
          <wp:inline distT="0" distB="0" distL="0" distR="0" wp14:anchorId="3E216189" wp14:editId="21A7A701">
            <wp:extent cx="6075288" cy="277588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080141" cy="2778104"/>
                    </a:xfrm>
                    <a:prstGeom prst="rect">
                      <a:avLst/>
                    </a:prstGeom>
                  </pic:spPr>
                </pic:pic>
              </a:graphicData>
            </a:graphic>
          </wp:inline>
        </w:drawing>
      </w:r>
    </w:p>
    <w:p w:rsidR="003415B5" w:rsidRPr="00064ABC" w:rsidRDefault="003415B5" w:rsidP="003415B5">
      <w:pPr>
        <w:pStyle w:val="Didascalia"/>
        <w:jc w:val="both"/>
        <w:rPr>
          <w:sz w:val="24"/>
          <w:szCs w:val="24"/>
        </w:rPr>
      </w:pPr>
      <w:r w:rsidRPr="00064ABC">
        <w:rPr>
          <w:sz w:val="24"/>
          <w:szCs w:val="24"/>
        </w:rPr>
        <w:t xml:space="preserve">Figura </w:t>
      </w:r>
      <w:r w:rsidRPr="00064ABC">
        <w:rPr>
          <w:sz w:val="24"/>
          <w:szCs w:val="24"/>
        </w:rPr>
        <w:fldChar w:fldCharType="begin"/>
      </w:r>
      <w:r w:rsidRPr="00064ABC">
        <w:rPr>
          <w:sz w:val="24"/>
          <w:szCs w:val="24"/>
        </w:rPr>
        <w:instrText xml:space="preserve"> SEQ Figura \* ARABIC </w:instrText>
      </w:r>
      <w:r w:rsidRPr="00064ABC">
        <w:rPr>
          <w:sz w:val="24"/>
          <w:szCs w:val="24"/>
        </w:rPr>
        <w:fldChar w:fldCharType="separate"/>
      </w:r>
      <w:r w:rsidR="00A7161F">
        <w:rPr>
          <w:noProof/>
          <w:sz w:val="24"/>
          <w:szCs w:val="24"/>
        </w:rPr>
        <w:t>1</w:t>
      </w:r>
      <w:r w:rsidRPr="00064ABC">
        <w:rPr>
          <w:sz w:val="24"/>
          <w:szCs w:val="24"/>
        </w:rPr>
        <w:fldChar w:fldCharType="end"/>
      </w:r>
      <w:r w:rsidRPr="00064ABC">
        <w:rPr>
          <w:sz w:val="24"/>
          <w:szCs w:val="24"/>
        </w:rPr>
        <w:t>: Fonte messaggio 6621, p. 50</w:t>
      </w:r>
    </w:p>
    <w:p w:rsidR="00185142" w:rsidRDefault="00185142" w:rsidP="003415B5"/>
    <w:p w:rsidR="00185142" w:rsidRPr="00064ABC" w:rsidRDefault="00185142" w:rsidP="003415B5"/>
    <w:p w:rsidR="003415B5" w:rsidRPr="00064ABC" w:rsidRDefault="003415B5" w:rsidP="00185142">
      <w:pPr>
        <w:pStyle w:val="Titolo1"/>
      </w:pPr>
      <w:r w:rsidRPr="00064ABC">
        <w:t>Analisi del messaggio</w:t>
      </w:r>
    </w:p>
    <w:p w:rsidR="003415B5" w:rsidRPr="00064ABC" w:rsidRDefault="003415B5" w:rsidP="003415B5">
      <w:r w:rsidRPr="00064ABC">
        <w:t xml:space="preserve">Il messaggio in oggetto propone un ampliamento della struttura “Stella Maris”, situata nel comune di Bedano e appartenente al consorzio case anziani Medio </w:t>
      </w:r>
      <w:proofErr w:type="spellStart"/>
      <w:r w:rsidRPr="00064ABC">
        <w:t>Vedeggio</w:t>
      </w:r>
      <w:proofErr w:type="spellEnd"/>
      <w:r w:rsidRPr="00064ABC">
        <w:t xml:space="preserve"> cui fanno parte i comuni di Alto Malcantone, Bedano, </w:t>
      </w:r>
      <w:proofErr w:type="spellStart"/>
      <w:r w:rsidRPr="00064ABC">
        <w:t>Cadempino</w:t>
      </w:r>
      <w:proofErr w:type="spellEnd"/>
      <w:r w:rsidRPr="00064ABC">
        <w:t xml:space="preserve">, </w:t>
      </w:r>
      <w:proofErr w:type="spellStart"/>
      <w:r w:rsidRPr="00064ABC">
        <w:t>Gravesano</w:t>
      </w:r>
      <w:proofErr w:type="spellEnd"/>
      <w:r w:rsidRPr="00064ABC">
        <w:t xml:space="preserve">, </w:t>
      </w:r>
      <w:proofErr w:type="spellStart"/>
      <w:r w:rsidRPr="00064ABC">
        <w:t>Lamone</w:t>
      </w:r>
      <w:proofErr w:type="spellEnd"/>
      <w:r w:rsidRPr="00064ABC">
        <w:t xml:space="preserve"> e Manno.</w:t>
      </w:r>
    </w:p>
    <w:p w:rsidR="003415B5" w:rsidRPr="00064ABC" w:rsidRDefault="003415B5" w:rsidP="003415B5"/>
    <w:p w:rsidR="003415B5" w:rsidRPr="00064ABC" w:rsidRDefault="003415B5" w:rsidP="003415B5">
      <w:r w:rsidRPr="00064ABC">
        <w:t xml:space="preserve">L’ampliamento riguarda la realizzazione di 30 nuove camere singole (una più di quanto inizialmente previsto) e di una doppia e inoltre è comprensivo della realizzazione di un reparto protetto per le persone affette da malattie cognitive e in particolare da Alzheimer che potrà ospitare fino a 12 persone con tutti gli accorgimenti del caso. </w:t>
      </w:r>
    </w:p>
    <w:p w:rsidR="003415B5" w:rsidRPr="00064ABC" w:rsidRDefault="003415B5" w:rsidP="003415B5"/>
    <w:p w:rsidR="003415B5" w:rsidRPr="00064ABC" w:rsidRDefault="003415B5" w:rsidP="003415B5">
      <w:r w:rsidRPr="00064ABC">
        <w:t xml:space="preserve">La spesa complessiva per l’investimento è così suddivisa </w:t>
      </w:r>
    </w:p>
    <w:p w:rsidR="003415B5" w:rsidRPr="00064ABC" w:rsidRDefault="003415B5" w:rsidP="003415B5"/>
    <w:tbl>
      <w:tblPr>
        <w:tblW w:w="9650" w:type="dxa"/>
        <w:tblInd w:w="59" w:type="dxa"/>
        <w:tblCellMar>
          <w:left w:w="70" w:type="dxa"/>
          <w:right w:w="70" w:type="dxa"/>
        </w:tblCellMar>
        <w:tblLook w:val="0000" w:firstRow="0" w:lastRow="0" w:firstColumn="0" w:lastColumn="0" w:noHBand="0" w:noVBand="0"/>
      </w:tblPr>
      <w:tblGrid>
        <w:gridCol w:w="700"/>
        <w:gridCol w:w="5980"/>
        <w:gridCol w:w="700"/>
        <w:gridCol w:w="2270"/>
      </w:tblGrid>
      <w:tr w:rsidR="003415B5" w:rsidRPr="00185142" w:rsidTr="002959BC">
        <w:trPr>
          <w:trHeight w:val="255"/>
        </w:trPr>
        <w:tc>
          <w:tcPr>
            <w:tcW w:w="700" w:type="dxa"/>
            <w:tcBorders>
              <w:top w:val="nil"/>
              <w:left w:val="nil"/>
              <w:bottom w:val="single" w:sz="4" w:space="0" w:color="auto"/>
              <w:right w:val="nil"/>
            </w:tcBorders>
            <w:shd w:val="clear" w:color="auto" w:fill="auto"/>
            <w:noWrap/>
            <w:vAlign w:val="center"/>
          </w:tcPr>
          <w:p w:rsidR="003415B5" w:rsidRPr="00185142" w:rsidRDefault="003415B5" w:rsidP="002959BC">
            <w:pPr>
              <w:rPr>
                <w:sz w:val="22"/>
              </w:rPr>
            </w:pPr>
            <w:r w:rsidRPr="00185142">
              <w:rPr>
                <w:sz w:val="22"/>
              </w:rPr>
              <w:t>CCC</w:t>
            </w:r>
          </w:p>
        </w:tc>
        <w:tc>
          <w:tcPr>
            <w:tcW w:w="5980" w:type="dxa"/>
            <w:tcBorders>
              <w:top w:val="nil"/>
              <w:left w:val="nil"/>
              <w:bottom w:val="single" w:sz="4" w:space="0" w:color="auto"/>
              <w:right w:val="nil"/>
            </w:tcBorders>
            <w:shd w:val="clear" w:color="auto" w:fill="auto"/>
            <w:noWrap/>
            <w:vAlign w:val="center"/>
          </w:tcPr>
          <w:p w:rsidR="003415B5" w:rsidRPr="00185142" w:rsidRDefault="003415B5" w:rsidP="002959BC">
            <w:pPr>
              <w:rPr>
                <w:sz w:val="22"/>
              </w:rPr>
            </w:pPr>
            <w:r w:rsidRPr="00185142">
              <w:rPr>
                <w:sz w:val="22"/>
              </w:rPr>
              <w:t xml:space="preserve">Descrittivo </w:t>
            </w:r>
          </w:p>
        </w:tc>
        <w:tc>
          <w:tcPr>
            <w:tcW w:w="700" w:type="dxa"/>
            <w:tcBorders>
              <w:top w:val="nil"/>
              <w:left w:val="nil"/>
              <w:bottom w:val="single" w:sz="4" w:space="0" w:color="auto"/>
              <w:right w:val="nil"/>
            </w:tcBorders>
            <w:shd w:val="clear" w:color="auto" w:fill="auto"/>
            <w:noWrap/>
            <w:vAlign w:val="center"/>
          </w:tcPr>
          <w:p w:rsidR="003415B5" w:rsidRPr="00185142" w:rsidRDefault="003415B5" w:rsidP="002959BC">
            <w:pPr>
              <w:rPr>
                <w:sz w:val="22"/>
              </w:rPr>
            </w:pPr>
          </w:p>
        </w:tc>
        <w:tc>
          <w:tcPr>
            <w:tcW w:w="2270" w:type="dxa"/>
            <w:tcBorders>
              <w:top w:val="nil"/>
              <w:left w:val="nil"/>
              <w:bottom w:val="single" w:sz="4" w:space="0" w:color="auto"/>
              <w:right w:val="nil"/>
            </w:tcBorders>
            <w:shd w:val="clear" w:color="auto" w:fill="auto"/>
            <w:noWrap/>
            <w:vAlign w:val="center"/>
          </w:tcPr>
          <w:p w:rsidR="003415B5" w:rsidRPr="00185142" w:rsidRDefault="003415B5" w:rsidP="002959BC">
            <w:pPr>
              <w:ind w:left="-493"/>
              <w:rPr>
                <w:sz w:val="22"/>
              </w:rPr>
            </w:pPr>
            <w:proofErr w:type="spellStart"/>
            <w:r w:rsidRPr="00185142">
              <w:rPr>
                <w:sz w:val="22"/>
              </w:rPr>
              <w:t>fr</w:t>
            </w:r>
            <w:proofErr w:type="spellEnd"/>
            <w:r w:rsidRPr="00185142">
              <w:rPr>
                <w:sz w:val="22"/>
              </w:rPr>
              <w:t>.</w:t>
            </w:r>
          </w:p>
        </w:tc>
      </w:tr>
      <w:tr w:rsidR="003415B5" w:rsidRPr="00185142" w:rsidTr="002959BC">
        <w:trPr>
          <w:trHeight w:val="255"/>
        </w:trPr>
        <w:tc>
          <w:tcPr>
            <w:tcW w:w="70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1</w:t>
            </w:r>
          </w:p>
        </w:tc>
        <w:tc>
          <w:tcPr>
            <w:tcW w:w="598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Lavori preliminari</w:t>
            </w:r>
          </w:p>
        </w:tc>
        <w:tc>
          <w:tcPr>
            <w:tcW w:w="70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p>
        </w:tc>
        <w:tc>
          <w:tcPr>
            <w:tcW w:w="227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336'420.--</w:t>
            </w:r>
          </w:p>
        </w:tc>
      </w:tr>
      <w:tr w:rsidR="003415B5" w:rsidRPr="00185142" w:rsidTr="002959BC">
        <w:trPr>
          <w:trHeight w:val="255"/>
        </w:trPr>
        <w:tc>
          <w:tcPr>
            <w:tcW w:w="70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2</w:t>
            </w:r>
          </w:p>
        </w:tc>
        <w:tc>
          <w:tcPr>
            <w:tcW w:w="598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Edificio</w:t>
            </w:r>
          </w:p>
        </w:tc>
        <w:tc>
          <w:tcPr>
            <w:tcW w:w="70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p>
        </w:tc>
        <w:tc>
          <w:tcPr>
            <w:tcW w:w="227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9'078'399.--</w:t>
            </w:r>
          </w:p>
        </w:tc>
      </w:tr>
      <w:tr w:rsidR="003415B5" w:rsidRPr="00185142" w:rsidTr="002959BC">
        <w:trPr>
          <w:trHeight w:val="255"/>
        </w:trPr>
        <w:tc>
          <w:tcPr>
            <w:tcW w:w="70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3</w:t>
            </w:r>
          </w:p>
        </w:tc>
        <w:tc>
          <w:tcPr>
            <w:tcW w:w="598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Attrezzature d’esercizio</w:t>
            </w:r>
          </w:p>
        </w:tc>
        <w:tc>
          <w:tcPr>
            <w:tcW w:w="70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p>
        </w:tc>
        <w:tc>
          <w:tcPr>
            <w:tcW w:w="227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0.--</w:t>
            </w:r>
          </w:p>
        </w:tc>
      </w:tr>
      <w:tr w:rsidR="003415B5" w:rsidRPr="00185142" w:rsidTr="002959BC">
        <w:trPr>
          <w:trHeight w:val="255"/>
        </w:trPr>
        <w:tc>
          <w:tcPr>
            <w:tcW w:w="70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4</w:t>
            </w:r>
          </w:p>
        </w:tc>
        <w:tc>
          <w:tcPr>
            <w:tcW w:w="598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Lavori esterni</w:t>
            </w:r>
          </w:p>
        </w:tc>
        <w:tc>
          <w:tcPr>
            <w:tcW w:w="70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p>
        </w:tc>
        <w:tc>
          <w:tcPr>
            <w:tcW w:w="227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569’781.--</w:t>
            </w:r>
          </w:p>
        </w:tc>
      </w:tr>
      <w:tr w:rsidR="003415B5" w:rsidRPr="00185142" w:rsidTr="002959BC">
        <w:trPr>
          <w:trHeight w:val="255"/>
        </w:trPr>
        <w:tc>
          <w:tcPr>
            <w:tcW w:w="70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5</w:t>
            </w:r>
          </w:p>
        </w:tc>
        <w:tc>
          <w:tcPr>
            <w:tcW w:w="598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Costi secondari</w:t>
            </w:r>
          </w:p>
        </w:tc>
        <w:tc>
          <w:tcPr>
            <w:tcW w:w="70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p>
        </w:tc>
        <w:tc>
          <w:tcPr>
            <w:tcW w:w="227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145’800.--</w:t>
            </w:r>
          </w:p>
        </w:tc>
      </w:tr>
      <w:tr w:rsidR="003415B5" w:rsidRPr="00185142" w:rsidTr="002959BC">
        <w:trPr>
          <w:trHeight w:val="255"/>
        </w:trPr>
        <w:tc>
          <w:tcPr>
            <w:tcW w:w="70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6</w:t>
            </w:r>
          </w:p>
        </w:tc>
        <w:tc>
          <w:tcPr>
            <w:tcW w:w="598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Diversi e imprevisti</w:t>
            </w:r>
          </w:p>
        </w:tc>
        <w:tc>
          <w:tcPr>
            <w:tcW w:w="70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p>
        </w:tc>
        <w:tc>
          <w:tcPr>
            <w:tcW w:w="2270" w:type="dxa"/>
            <w:tcBorders>
              <w:top w:val="nil"/>
              <w:left w:val="nil"/>
              <w:bottom w:val="nil"/>
              <w:right w:val="nil"/>
            </w:tcBorders>
            <w:shd w:val="clear" w:color="auto" w:fill="auto"/>
            <w:noWrap/>
            <w:vAlign w:val="bottom"/>
          </w:tcPr>
          <w:p w:rsidR="003415B5" w:rsidRPr="00185142" w:rsidRDefault="003415B5" w:rsidP="002959BC">
            <w:pPr>
              <w:spacing w:before="40"/>
              <w:rPr>
                <w:sz w:val="22"/>
              </w:rPr>
            </w:pPr>
            <w:r w:rsidRPr="00185142">
              <w:rPr>
                <w:sz w:val="22"/>
              </w:rPr>
              <w:t>216'000.--</w:t>
            </w:r>
          </w:p>
        </w:tc>
      </w:tr>
      <w:tr w:rsidR="003415B5" w:rsidRPr="00185142" w:rsidTr="002959BC">
        <w:trPr>
          <w:trHeight w:val="255"/>
        </w:trPr>
        <w:tc>
          <w:tcPr>
            <w:tcW w:w="700" w:type="dxa"/>
            <w:tcBorders>
              <w:top w:val="nil"/>
              <w:left w:val="nil"/>
              <w:bottom w:val="single" w:sz="4" w:space="0" w:color="auto"/>
              <w:right w:val="nil"/>
            </w:tcBorders>
            <w:shd w:val="clear" w:color="auto" w:fill="auto"/>
            <w:noWrap/>
            <w:vAlign w:val="bottom"/>
          </w:tcPr>
          <w:p w:rsidR="003415B5" w:rsidRPr="00185142" w:rsidRDefault="003415B5" w:rsidP="002959BC">
            <w:pPr>
              <w:spacing w:before="40"/>
              <w:rPr>
                <w:sz w:val="22"/>
              </w:rPr>
            </w:pPr>
            <w:r w:rsidRPr="00185142">
              <w:rPr>
                <w:sz w:val="22"/>
              </w:rPr>
              <w:t>9</w:t>
            </w:r>
          </w:p>
        </w:tc>
        <w:tc>
          <w:tcPr>
            <w:tcW w:w="5980" w:type="dxa"/>
            <w:tcBorders>
              <w:top w:val="nil"/>
              <w:left w:val="nil"/>
              <w:bottom w:val="single" w:sz="4" w:space="0" w:color="auto"/>
              <w:right w:val="nil"/>
            </w:tcBorders>
            <w:shd w:val="clear" w:color="auto" w:fill="auto"/>
            <w:noWrap/>
            <w:vAlign w:val="bottom"/>
          </w:tcPr>
          <w:p w:rsidR="003415B5" w:rsidRPr="00185142" w:rsidRDefault="003415B5" w:rsidP="002959BC">
            <w:pPr>
              <w:spacing w:before="40"/>
              <w:rPr>
                <w:sz w:val="22"/>
              </w:rPr>
            </w:pPr>
            <w:r w:rsidRPr="00185142">
              <w:rPr>
                <w:sz w:val="22"/>
              </w:rPr>
              <w:t>Arredamento</w:t>
            </w:r>
          </w:p>
        </w:tc>
        <w:tc>
          <w:tcPr>
            <w:tcW w:w="700" w:type="dxa"/>
            <w:tcBorders>
              <w:top w:val="nil"/>
              <w:left w:val="nil"/>
              <w:bottom w:val="single" w:sz="4" w:space="0" w:color="auto"/>
              <w:right w:val="nil"/>
            </w:tcBorders>
            <w:shd w:val="clear" w:color="auto" w:fill="auto"/>
            <w:noWrap/>
            <w:vAlign w:val="bottom"/>
          </w:tcPr>
          <w:p w:rsidR="003415B5" w:rsidRPr="00185142" w:rsidRDefault="003415B5" w:rsidP="002959BC">
            <w:pPr>
              <w:spacing w:before="40"/>
              <w:rPr>
                <w:sz w:val="22"/>
              </w:rPr>
            </w:pPr>
          </w:p>
        </w:tc>
        <w:tc>
          <w:tcPr>
            <w:tcW w:w="2270" w:type="dxa"/>
            <w:tcBorders>
              <w:top w:val="nil"/>
              <w:left w:val="nil"/>
              <w:bottom w:val="single" w:sz="4" w:space="0" w:color="auto"/>
              <w:right w:val="nil"/>
            </w:tcBorders>
            <w:shd w:val="clear" w:color="auto" w:fill="auto"/>
            <w:noWrap/>
            <w:vAlign w:val="bottom"/>
          </w:tcPr>
          <w:p w:rsidR="003415B5" w:rsidRPr="00185142" w:rsidRDefault="003415B5" w:rsidP="002959BC">
            <w:pPr>
              <w:spacing w:before="40"/>
              <w:rPr>
                <w:sz w:val="22"/>
              </w:rPr>
            </w:pPr>
            <w:r w:rsidRPr="00185142">
              <w:rPr>
                <w:sz w:val="22"/>
              </w:rPr>
              <w:t>561'600.--</w:t>
            </w:r>
          </w:p>
        </w:tc>
      </w:tr>
      <w:tr w:rsidR="003415B5" w:rsidRPr="00185142" w:rsidTr="002959BC">
        <w:trPr>
          <w:trHeight w:val="255"/>
        </w:trPr>
        <w:tc>
          <w:tcPr>
            <w:tcW w:w="700" w:type="dxa"/>
            <w:tcBorders>
              <w:top w:val="nil"/>
              <w:left w:val="nil"/>
              <w:bottom w:val="nil"/>
              <w:right w:val="nil"/>
            </w:tcBorders>
            <w:shd w:val="clear" w:color="auto" w:fill="auto"/>
            <w:noWrap/>
            <w:vAlign w:val="bottom"/>
          </w:tcPr>
          <w:p w:rsidR="003415B5" w:rsidRPr="00185142" w:rsidRDefault="003415B5" w:rsidP="002959BC">
            <w:pPr>
              <w:spacing w:before="120"/>
              <w:rPr>
                <w:b/>
                <w:sz w:val="22"/>
              </w:rPr>
            </w:pPr>
          </w:p>
        </w:tc>
        <w:tc>
          <w:tcPr>
            <w:tcW w:w="5980" w:type="dxa"/>
            <w:tcBorders>
              <w:top w:val="nil"/>
              <w:left w:val="nil"/>
              <w:bottom w:val="nil"/>
              <w:right w:val="nil"/>
            </w:tcBorders>
            <w:shd w:val="clear" w:color="auto" w:fill="auto"/>
            <w:noWrap/>
            <w:vAlign w:val="bottom"/>
          </w:tcPr>
          <w:p w:rsidR="003415B5" w:rsidRPr="00185142" w:rsidRDefault="003415B5" w:rsidP="002959BC">
            <w:pPr>
              <w:spacing w:before="120"/>
              <w:rPr>
                <w:b/>
                <w:sz w:val="22"/>
              </w:rPr>
            </w:pPr>
            <w:r w:rsidRPr="00185142">
              <w:rPr>
                <w:b/>
                <w:sz w:val="22"/>
              </w:rPr>
              <w:t>Totale preventivo IVA 8% inclusa</w:t>
            </w:r>
          </w:p>
        </w:tc>
        <w:tc>
          <w:tcPr>
            <w:tcW w:w="700" w:type="dxa"/>
            <w:tcBorders>
              <w:top w:val="nil"/>
              <w:left w:val="nil"/>
              <w:bottom w:val="nil"/>
              <w:right w:val="nil"/>
            </w:tcBorders>
            <w:shd w:val="clear" w:color="auto" w:fill="auto"/>
            <w:noWrap/>
            <w:vAlign w:val="bottom"/>
          </w:tcPr>
          <w:p w:rsidR="003415B5" w:rsidRPr="00185142" w:rsidRDefault="003415B5" w:rsidP="002959BC">
            <w:pPr>
              <w:spacing w:before="120"/>
              <w:rPr>
                <w:b/>
                <w:sz w:val="22"/>
              </w:rPr>
            </w:pPr>
          </w:p>
        </w:tc>
        <w:tc>
          <w:tcPr>
            <w:tcW w:w="2270" w:type="dxa"/>
            <w:tcBorders>
              <w:top w:val="nil"/>
              <w:left w:val="nil"/>
              <w:bottom w:val="nil"/>
              <w:right w:val="nil"/>
            </w:tcBorders>
            <w:shd w:val="clear" w:color="auto" w:fill="auto"/>
            <w:noWrap/>
            <w:vAlign w:val="bottom"/>
          </w:tcPr>
          <w:p w:rsidR="003415B5" w:rsidRPr="00185142" w:rsidRDefault="003415B5" w:rsidP="002959BC">
            <w:pPr>
              <w:spacing w:before="120"/>
              <w:rPr>
                <w:b/>
                <w:sz w:val="22"/>
              </w:rPr>
            </w:pPr>
            <w:r w:rsidRPr="00185142">
              <w:rPr>
                <w:b/>
                <w:sz w:val="22"/>
              </w:rPr>
              <w:t>10'908'000.--</w:t>
            </w:r>
          </w:p>
        </w:tc>
      </w:tr>
    </w:tbl>
    <w:p w:rsidR="003415B5" w:rsidRPr="00064ABC" w:rsidRDefault="003415B5" w:rsidP="003415B5"/>
    <w:p w:rsidR="003415B5" w:rsidRPr="00064ABC" w:rsidRDefault="003415B5" w:rsidP="003415B5"/>
    <w:p w:rsidR="003415B5" w:rsidRPr="00064ABC" w:rsidRDefault="003415B5" w:rsidP="003415B5">
      <w:r w:rsidRPr="00064ABC">
        <w:t>Tenuto conto della proposta di contributo a fondo perso di cui sopra, il finanziamento della nuova casa per anziani è così assicurato:</w:t>
      </w:r>
    </w:p>
    <w:p w:rsidR="003415B5" w:rsidRPr="00064ABC" w:rsidRDefault="003415B5" w:rsidP="003415B5">
      <w:pPr>
        <w:pStyle w:val="Corpodeltesto32"/>
        <w:tabs>
          <w:tab w:val="left" w:pos="284"/>
          <w:tab w:val="left" w:pos="3969"/>
          <w:tab w:val="decimal" w:pos="5670"/>
        </w:tabs>
        <w:jc w:val="both"/>
        <w:rPr>
          <w:rFonts w:asciiTheme="minorHAnsi" w:eastAsiaTheme="minorHAnsi" w:hAnsiTheme="minorHAnsi" w:cstheme="minorBidi"/>
          <w:i w:val="0"/>
          <w:szCs w:val="24"/>
          <w:lang w:eastAsia="en-US"/>
        </w:rPr>
      </w:pPr>
    </w:p>
    <w:p w:rsidR="00185142" w:rsidRDefault="00185142">
      <w:pPr>
        <w:rPr>
          <w:rFonts w:asciiTheme="minorHAnsi" w:hAnsiTheme="minorHAnsi"/>
          <w:szCs w:val="24"/>
          <w:lang w:val="it-IT"/>
        </w:rPr>
      </w:pPr>
      <w:r>
        <w:rPr>
          <w:rFonts w:asciiTheme="minorHAnsi" w:hAnsiTheme="minorHAnsi"/>
          <w:i/>
          <w:szCs w:val="24"/>
        </w:rPr>
        <w:br w:type="page"/>
      </w:r>
    </w:p>
    <w:p w:rsidR="003415B5" w:rsidRPr="00185142" w:rsidRDefault="003415B5" w:rsidP="003415B5">
      <w:pPr>
        <w:pStyle w:val="Corpodeltesto32"/>
        <w:tabs>
          <w:tab w:val="left" w:pos="284"/>
          <w:tab w:val="left" w:pos="3969"/>
          <w:tab w:val="left" w:pos="5670"/>
          <w:tab w:val="left" w:pos="6096"/>
        </w:tabs>
        <w:jc w:val="both"/>
        <w:rPr>
          <w:rFonts w:eastAsiaTheme="minorHAnsi" w:cs="Arial"/>
          <w:i w:val="0"/>
          <w:sz w:val="22"/>
          <w:szCs w:val="22"/>
          <w:lang w:eastAsia="en-US"/>
        </w:rPr>
      </w:pPr>
      <w:r w:rsidRPr="00185142">
        <w:rPr>
          <w:rFonts w:eastAsiaTheme="minorHAnsi" w:cs="Arial"/>
          <w:i w:val="0"/>
          <w:sz w:val="22"/>
          <w:szCs w:val="22"/>
          <w:lang w:eastAsia="en-US"/>
        </w:rPr>
        <w:lastRenderedPageBreak/>
        <w:t>Costo complessivo dell’opera</w:t>
      </w:r>
      <w:r w:rsidRPr="00185142">
        <w:rPr>
          <w:rFonts w:eastAsiaTheme="minorHAnsi" w:cs="Arial"/>
          <w:sz w:val="22"/>
          <w:szCs w:val="22"/>
          <w:lang w:eastAsia="en-US"/>
        </w:rPr>
        <w:footnoteReference w:id="1"/>
      </w:r>
      <w:r w:rsidRPr="00185142">
        <w:rPr>
          <w:rFonts w:eastAsiaTheme="minorHAnsi" w:cs="Arial"/>
          <w:i w:val="0"/>
          <w:sz w:val="22"/>
          <w:szCs w:val="22"/>
          <w:lang w:eastAsia="en-US"/>
        </w:rPr>
        <w:tab/>
      </w:r>
      <w:r w:rsidRPr="00185142">
        <w:rPr>
          <w:rFonts w:eastAsiaTheme="minorHAnsi" w:cs="Arial"/>
          <w:i w:val="0"/>
          <w:sz w:val="22"/>
          <w:szCs w:val="22"/>
          <w:lang w:eastAsia="en-US"/>
        </w:rPr>
        <w:tab/>
      </w:r>
      <w:proofErr w:type="spellStart"/>
      <w:r w:rsidRPr="00185142">
        <w:rPr>
          <w:rFonts w:eastAsiaTheme="minorHAnsi" w:cs="Arial"/>
          <w:i w:val="0"/>
          <w:sz w:val="22"/>
          <w:szCs w:val="22"/>
          <w:lang w:eastAsia="en-US"/>
        </w:rPr>
        <w:t>fr</w:t>
      </w:r>
      <w:proofErr w:type="spellEnd"/>
      <w:r w:rsidRPr="00185142">
        <w:rPr>
          <w:rFonts w:eastAsiaTheme="minorHAnsi" w:cs="Arial"/>
          <w:i w:val="0"/>
          <w:sz w:val="22"/>
          <w:szCs w:val="22"/>
          <w:lang w:eastAsia="en-US"/>
        </w:rPr>
        <w:t>.</w:t>
      </w:r>
      <w:r w:rsidRPr="00185142">
        <w:rPr>
          <w:rFonts w:eastAsiaTheme="minorHAnsi" w:cs="Arial"/>
          <w:i w:val="0"/>
          <w:sz w:val="22"/>
          <w:szCs w:val="22"/>
          <w:lang w:eastAsia="en-US"/>
        </w:rPr>
        <w:tab/>
        <w:t>10'118’000.--</w:t>
      </w:r>
    </w:p>
    <w:p w:rsidR="003415B5" w:rsidRPr="00185142" w:rsidRDefault="003415B5" w:rsidP="003415B5">
      <w:pPr>
        <w:pStyle w:val="Corpodeltesto32"/>
        <w:tabs>
          <w:tab w:val="left" w:pos="284"/>
          <w:tab w:val="left" w:pos="3969"/>
          <w:tab w:val="decimal" w:pos="5529"/>
          <w:tab w:val="left" w:pos="5812"/>
        </w:tabs>
        <w:jc w:val="both"/>
        <w:rPr>
          <w:rFonts w:eastAsiaTheme="minorHAnsi" w:cs="Arial"/>
          <w:i w:val="0"/>
          <w:sz w:val="22"/>
          <w:szCs w:val="22"/>
          <w:lang w:eastAsia="en-US"/>
        </w:rPr>
      </w:pPr>
    </w:p>
    <w:p w:rsidR="003415B5" w:rsidRPr="00185142" w:rsidRDefault="003415B5" w:rsidP="003415B5">
      <w:pPr>
        <w:pStyle w:val="Corpodeltesto32"/>
        <w:tabs>
          <w:tab w:val="left" w:pos="284"/>
          <w:tab w:val="left" w:pos="3969"/>
          <w:tab w:val="decimal" w:pos="5529"/>
          <w:tab w:val="left" w:pos="5812"/>
        </w:tabs>
        <w:jc w:val="both"/>
        <w:rPr>
          <w:rFonts w:eastAsiaTheme="minorHAnsi" w:cs="Arial"/>
          <w:b/>
          <w:i w:val="0"/>
          <w:sz w:val="22"/>
          <w:szCs w:val="22"/>
          <w:lang w:eastAsia="en-US"/>
        </w:rPr>
      </w:pPr>
      <w:r w:rsidRPr="00185142">
        <w:rPr>
          <w:rFonts w:eastAsiaTheme="minorHAnsi" w:cs="Arial"/>
          <w:b/>
          <w:i w:val="0"/>
          <w:sz w:val="22"/>
          <w:szCs w:val="22"/>
          <w:lang w:eastAsia="en-US"/>
        </w:rPr>
        <w:t>Finanziamento</w:t>
      </w:r>
    </w:p>
    <w:p w:rsidR="003415B5" w:rsidRPr="00185142" w:rsidRDefault="003415B5" w:rsidP="003415B5">
      <w:pPr>
        <w:pStyle w:val="Corpodeltesto32"/>
        <w:tabs>
          <w:tab w:val="left" w:pos="5670"/>
          <w:tab w:val="left" w:pos="6237"/>
        </w:tabs>
        <w:spacing w:before="60"/>
        <w:jc w:val="both"/>
        <w:rPr>
          <w:rFonts w:eastAsiaTheme="minorHAnsi" w:cs="Arial"/>
          <w:b/>
          <w:i w:val="0"/>
          <w:sz w:val="22"/>
          <w:szCs w:val="22"/>
          <w:lang w:eastAsia="en-US"/>
        </w:rPr>
      </w:pPr>
      <w:r w:rsidRPr="00185142">
        <w:rPr>
          <w:rFonts w:eastAsiaTheme="minorHAnsi" w:cs="Arial"/>
          <w:b/>
          <w:i w:val="0"/>
          <w:sz w:val="22"/>
          <w:szCs w:val="22"/>
          <w:lang w:eastAsia="en-US"/>
        </w:rPr>
        <w:t>Contributo cantonale (38%)</w:t>
      </w:r>
      <w:r w:rsidRPr="00185142">
        <w:rPr>
          <w:rFonts w:eastAsiaTheme="minorHAnsi" w:cs="Arial"/>
          <w:b/>
          <w:i w:val="0"/>
          <w:sz w:val="22"/>
          <w:szCs w:val="22"/>
          <w:lang w:eastAsia="en-US"/>
        </w:rPr>
        <w:tab/>
      </w:r>
      <w:proofErr w:type="spellStart"/>
      <w:r w:rsidRPr="00185142">
        <w:rPr>
          <w:rFonts w:eastAsiaTheme="minorHAnsi" w:cs="Arial"/>
          <w:b/>
          <w:i w:val="0"/>
          <w:sz w:val="22"/>
          <w:szCs w:val="22"/>
          <w:lang w:eastAsia="en-US"/>
        </w:rPr>
        <w:t>fr</w:t>
      </w:r>
      <w:proofErr w:type="spellEnd"/>
      <w:r w:rsidRPr="00185142">
        <w:rPr>
          <w:rFonts w:eastAsiaTheme="minorHAnsi" w:cs="Arial"/>
          <w:b/>
          <w:i w:val="0"/>
          <w:sz w:val="22"/>
          <w:szCs w:val="22"/>
          <w:lang w:eastAsia="en-US"/>
        </w:rPr>
        <w:t>.</w:t>
      </w:r>
      <w:r w:rsidRPr="00185142">
        <w:rPr>
          <w:rFonts w:eastAsiaTheme="minorHAnsi" w:cs="Arial"/>
          <w:b/>
          <w:i w:val="0"/>
          <w:sz w:val="22"/>
          <w:szCs w:val="22"/>
          <w:lang w:eastAsia="en-US"/>
        </w:rPr>
        <w:tab/>
        <w:t>3'875’000.--</w:t>
      </w:r>
    </w:p>
    <w:p w:rsidR="003415B5" w:rsidRPr="00185142" w:rsidRDefault="003415B5" w:rsidP="003415B5">
      <w:pPr>
        <w:pStyle w:val="Corpodeltesto32"/>
        <w:tabs>
          <w:tab w:val="left" w:pos="284"/>
          <w:tab w:val="left" w:pos="3402"/>
          <w:tab w:val="decimal" w:pos="5529"/>
          <w:tab w:val="left" w:pos="5812"/>
          <w:tab w:val="left" w:pos="6237"/>
        </w:tabs>
        <w:spacing w:before="60"/>
        <w:jc w:val="both"/>
        <w:rPr>
          <w:rFonts w:eastAsiaTheme="minorHAnsi" w:cs="Arial"/>
          <w:i w:val="0"/>
          <w:sz w:val="22"/>
          <w:szCs w:val="22"/>
          <w:lang w:eastAsia="en-US"/>
        </w:rPr>
      </w:pPr>
      <w:r w:rsidRPr="00185142">
        <w:rPr>
          <w:rFonts w:eastAsiaTheme="minorHAnsi" w:cs="Arial"/>
          <w:i w:val="0"/>
          <w:sz w:val="22"/>
          <w:szCs w:val="22"/>
          <w:lang w:eastAsia="en-US"/>
        </w:rPr>
        <w:t>Consorzio Casa per anziani</w:t>
      </w:r>
    </w:p>
    <w:p w:rsidR="003415B5" w:rsidRPr="00185142" w:rsidRDefault="003415B5" w:rsidP="003415B5">
      <w:pPr>
        <w:pStyle w:val="Corpodeltesto32"/>
        <w:tabs>
          <w:tab w:val="left" w:pos="5670"/>
          <w:tab w:val="left" w:pos="6237"/>
        </w:tabs>
        <w:spacing w:before="60"/>
        <w:jc w:val="both"/>
        <w:rPr>
          <w:rFonts w:eastAsiaTheme="minorHAnsi" w:cs="Arial"/>
          <w:i w:val="0"/>
          <w:sz w:val="22"/>
          <w:szCs w:val="22"/>
          <w:lang w:eastAsia="en-US"/>
        </w:rPr>
      </w:pPr>
      <w:r w:rsidRPr="00185142">
        <w:rPr>
          <w:rFonts w:eastAsiaTheme="minorHAnsi" w:cs="Arial"/>
          <w:i w:val="0"/>
          <w:sz w:val="22"/>
          <w:szCs w:val="22"/>
          <w:lang w:eastAsia="en-US"/>
        </w:rPr>
        <w:t xml:space="preserve">Medio </w:t>
      </w:r>
      <w:proofErr w:type="spellStart"/>
      <w:r w:rsidRPr="00185142">
        <w:rPr>
          <w:rFonts w:eastAsiaTheme="minorHAnsi" w:cs="Arial"/>
          <w:i w:val="0"/>
          <w:sz w:val="22"/>
          <w:szCs w:val="22"/>
          <w:lang w:eastAsia="en-US"/>
        </w:rPr>
        <w:t>Vedeggio</w:t>
      </w:r>
      <w:proofErr w:type="spellEnd"/>
      <w:r w:rsidRPr="00185142">
        <w:rPr>
          <w:rFonts w:eastAsiaTheme="minorHAnsi" w:cs="Arial"/>
          <w:i w:val="0"/>
          <w:sz w:val="22"/>
          <w:szCs w:val="22"/>
          <w:lang w:eastAsia="en-US"/>
        </w:rPr>
        <w:t xml:space="preserve"> “Stella Maris” Bedano (62%)</w:t>
      </w:r>
      <w:r w:rsidRPr="00185142">
        <w:rPr>
          <w:rFonts w:eastAsiaTheme="minorHAnsi" w:cs="Arial"/>
          <w:i w:val="0"/>
          <w:sz w:val="22"/>
          <w:szCs w:val="22"/>
          <w:lang w:eastAsia="en-US"/>
        </w:rPr>
        <w:tab/>
      </w:r>
      <w:proofErr w:type="spellStart"/>
      <w:r w:rsidRPr="00185142">
        <w:rPr>
          <w:rFonts w:eastAsiaTheme="minorHAnsi" w:cs="Arial"/>
          <w:i w:val="0"/>
          <w:sz w:val="22"/>
          <w:szCs w:val="22"/>
          <w:lang w:eastAsia="en-US"/>
        </w:rPr>
        <w:t>fr</w:t>
      </w:r>
      <w:proofErr w:type="spellEnd"/>
      <w:r w:rsidRPr="00185142">
        <w:rPr>
          <w:rFonts w:eastAsiaTheme="minorHAnsi" w:cs="Arial"/>
          <w:i w:val="0"/>
          <w:sz w:val="22"/>
          <w:szCs w:val="22"/>
          <w:lang w:eastAsia="en-US"/>
        </w:rPr>
        <w:t>.</w:t>
      </w:r>
      <w:r w:rsidRPr="00185142">
        <w:rPr>
          <w:rFonts w:eastAsiaTheme="minorHAnsi" w:cs="Arial"/>
          <w:i w:val="0"/>
          <w:sz w:val="22"/>
          <w:szCs w:val="22"/>
          <w:lang w:eastAsia="en-US"/>
        </w:rPr>
        <w:tab/>
        <w:t>6'243'000.--</w:t>
      </w:r>
    </w:p>
    <w:p w:rsidR="003415B5" w:rsidRPr="00185142" w:rsidRDefault="003415B5" w:rsidP="003415B5">
      <w:pPr>
        <w:pStyle w:val="Corpodeltesto32"/>
        <w:tabs>
          <w:tab w:val="left" w:pos="284"/>
          <w:tab w:val="left" w:pos="3402"/>
          <w:tab w:val="left" w:pos="5670"/>
          <w:tab w:val="left" w:pos="6237"/>
        </w:tabs>
        <w:spacing w:before="60"/>
        <w:jc w:val="both"/>
        <w:rPr>
          <w:rFonts w:eastAsiaTheme="minorHAnsi" w:cs="Arial"/>
          <w:i w:val="0"/>
          <w:sz w:val="22"/>
          <w:szCs w:val="22"/>
          <w:lang w:eastAsia="en-US"/>
        </w:rPr>
      </w:pPr>
      <w:r w:rsidRPr="00185142">
        <w:rPr>
          <w:rFonts w:eastAsiaTheme="minorHAnsi" w:cs="Arial"/>
          <w:i w:val="0"/>
          <w:sz w:val="22"/>
          <w:szCs w:val="22"/>
          <w:lang w:eastAsia="en-US"/>
        </w:rPr>
        <w:tab/>
      </w:r>
      <w:r w:rsidRPr="00185142">
        <w:rPr>
          <w:rFonts w:eastAsiaTheme="minorHAnsi" w:cs="Arial"/>
          <w:i w:val="0"/>
          <w:sz w:val="22"/>
          <w:szCs w:val="22"/>
          <w:lang w:eastAsia="en-US"/>
        </w:rPr>
        <w:tab/>
      </w:r>
      <w:r w:rsidRPr="00185142">
        <w:rPr>
          <w:rFonts w:eastAsiaTheme="minorHAnsi" w:cs="Arial"/>
          <w:i w:val="0"/>
          <w:sz w:val="22"/>
          <w:szCs w:val="22"/>
          <w:lang w:eastAsia="en-US"/>
        </w:rPr>
        <w:tab/>
        <w:t>______________</w:t>
      </w:r>
    </w:p>
    <w:p w:rsidR="003415B5" w:rsidRPr="00185142" w:rsidRDefault="003415B5" w:rsidP="003415B5">
      <w:pPr>
        <w:pStyle w:val="Corpodeltesto32"/>
        <w:tabs>
          <w:tab w:val="left" w:pos="284"/>
          <w:tab w:val="left" w:pos="3402"/>
          <w:tab w:val="left" w:pos="4111"/>
          <w:tab w:val="left" w:pos="5670"/>
          <w:tab w:val="left" w:pos="6096"/>
        </w:tabs>
        <w:spacing w:before="120"/>
        <w:jc w:val="both"/>
        <w:rPr>
          <w:rFonts w:eastAsiaTheme="minorHAnsi" w:cs="Arial"/>
          <w:i w:val="0"/>
          <w:sz w:val="22"/>
          <w:szCs w:val="22"/>
          <w:lang w:eastAsia="en-US"/>
        </w:rPr>
      </w:pPr>
      <w:r w:rsidRPr="00185142">
        <w:rPr>
          <w:rFonts w:eastAsiaTheme="minorHAnsi" w:cs="Arial"/>
          <w:i w:val="0"/>
          <w:sz w:val="22"/>
          <w:szCs w:val="22"/>
          <w:lang w:eastAsia="en-US"/>
        </w:rPr>
        <w:tab/>
      </w:r>
      <w:r w:rsidRPr="00185142">
        <w:rPr>
          <w:rFonts w:eastAsiaTheme="minorHAnsi" w:cs="Arial"/>
          <w:i w:val="0"/>
          <w:sz w:val="22"/>
          <w:szCs w:val="22"/>
          <w:lang w:eastAsia="en-US"/>
        </w:rPr>
        <w:tab/>
      </w:r>
      <w:r w:rsidRPr="00185142">
        <w:rPr>
          <w:rFonts w:eastAsiaTheme="minorHAnsi" w:cs="Arial"/>
          <w:i w:val="0"/>
          <w:sz w:val="22"/>
          <w:szCs w:val="22"/>
          <w:lang w:eastAsia="en-US"/>
        </w:rPr>
        <w:tab/>
      </w:r>
      <w:r w:rsidRPr="00185142">
        <w:rPr>
          <w:rFonts w:eastAsiaTheme="minorHAnsi" w:cs="Arial"/>
          <w:i w:val="0"/>
          <w:sz w:val="22"/>
          <w:szCs w:val="22"/>
          <w:lang w:eastAsia="en-US"/>
        </w:rPr>
        <w:tab/>
      </w:r>
      <w:proofErr w:type="spellStart"/>
      <w:r w:rsidRPr="00185142">
        <w:rPr>
          <w:rFonts w:eastAsiaTheme="minorHAnsi" w:cs="Arial"/>
          <w:i w:val="0"/>
          <w:sz w:val="22"/>
          <w:szCs w:val="22"/>
          <w:lang w:eastAsia="en-US"/>
        </w:rPr>
        <w:t>fr</w:t>
      </w:r>
      <w:proofErr w:type="spellEnd"/>
      <w:r w:rsidRPr="00185142">
        <w:rPr>
          <w:rFonts w:eastAsiaTheme="minorHAnsi" w:cs="Arial"/>
          <w:i w:val="0"/>
          <w:sz w:val="22"/>
          <w:szCs w:val="22"/>
          <w:lang w:eastAsia="en-US"/>
        </w:rPr>
        <w:t>.</w:t>
      </w:r>
      <w:r w:rsidRPr="00185142">
        <w:rPr>
          <w:rFonts w:eastAsiaTheme="minorHAnsi" w:cs="Arial"/>
          <w:i w:val="0"/>
          <w:sz w:val="22"/>
          <w:szCs w:val="22"/>
          <w:lang w:eastAsia="en-US"/>
        </w:rPr>
        <w:tab/>
        <w:t>10'118'000.--</w:t>
      </w:r>
    </w:p>
    <w:p w:rsidR="003415B5" w:rsidRPr="00064ABC" w:rsidRDefault="003415B5" w:rsidP="003415B5"/>
    <w:p w:rsidR="003415B5" w:rsidRPr="00064ABC" w:rsidRDefault="003415B5" w:rsidP="003415B5"/>
    <w:p w:rsidR="003415B5" w:rsidRPr="00064ABC" w:rsidRDefault="003415B5" w:rsidP="003415B5">
      <w:r w:rsidRPr="00064ABC">
        <w:t>Le cifre riportate si riferiscono naturalmente solo all’investimento in quanto tale e non riguardano invece la gestione dello stesso (sia dal profilo operativo che da quello finanziario.)</w:t>
      </w:r>
    </w:p>
    <w:p w:rsidR="003415B5" w:rsidRDefault="003415B5" w:rsidP="003415B5"/>
    <w:p w:rsidR="003415B5" w:rsidRPr="00064ABC" w:rsidRDefault="003415B5" w:rsidP="003415B5">
      <w:r>
        <w:t>Analizzando più nel dettaglio il progetto va evidenziato come u</w:t>
      </w:r>
      <w:r w:rsidRPr="00064ABC">
        <w:t>tilizzando il parametro dei costi per posto letto si ottiene un valore di circa 329'000 franchi, una cifra superiore sia in riferimento ad investimenti simili (che normalmente si situa</w:t>
      </w:r>
      <w:r>
        <w:t>no</w:t>
      </w:r>
      <w:r w:rsidRPr="00064ABC">
        <w:t xml:space="preserve"> tra i 250'000 e i 300'000 franchi) che ai parametri utilizzati dal DSS per le spese di ampliamento (250'000 franchi). </w:t>
      </w:r>
    </w:p>
    <w:p w:rsidR="003415B5" w:rsidRPr="00064ABC" w:rsidRDefault="003415B5" w:rsidP="003415B5"/>
    <w:p w:rsidR="003415B5" w:rsidRPr="00064ABC" w:rsidRDefault="003415B5" w:rsidP="003415B5">
      <w:r w:rsidRPr="00064ABC">
        <w:t>Discorso analogo può essere fatto per il costo al m3 che, con un’edificazione SIA 416 di 9'077 m3</w:t>
      </w:r>
      <w:r>
        <w:t xml:space="preserve"> ci</w:t>
      </w:r>
      <w:r w:rsidRPr="00064ABC">
        <w:t xml:space="preserve"> si situa a</w:t>
      </w:r>
      <w:r>
        <w:t xml:space="preserve"> </w:t>
      </w:r>
      <w:r w:rsidRPr="00064ABC">
        <w:t>1’103 franchi al m3 con valori che i media sono</w:t>
      </w:r>
      <w:r>
        <w:t xml:space="preserve"> invece normalmente </w:t>
      </w:r>
      <w:r w:rsidRPr="00064ABC">
        <w:t>compresi tra gli 800 e i 1000 franchi.</w:t>
      </w:r>
    </w:p>
    <w:p w:rsidR="003415B5" w:rsidRPr="00064ABC" w:rsidRDefault="003415B5" w:rsidP="003415B5"/>
    <w:p w:rsidR="003415B5" w:rsidRPr="00064ABC" w:rsidRDefault="003415B5" w:rsidP="003415B5">
      <w:r w:rsidRPr="00064ABC">
        <w:t xml:space="preserve">Per comprendere queste differenze va </w:t>
      </w:r>
      <w:r>
        <w:t>premesso</w:t>
      </w:r>
      <w:r w:rsidRPr="00064ABC">
        <w:t xml:space="preserve"> che ogni progetto presenta della specificità che lo contraddistinguono e, nel caso </w:t>
      </w:r>
      <w:r>
        <w:t>particolare</w:t>
      </w:r>
      <w:r w:rsidRPr="00064ABC">
        <w:t xml:space="preserve">, vanno considerate le peculiarità dei contenuti. Se è vero che in questo genere di strutture il dato importante è quello dei posti letto è da considerare che nel caso </w:t>
      </w:r>
      <w:r>
        <w:t>in oggetto</w:t>
      </w:r>
      <w:r w:rsidRPr="00064ABC">
        <w:t xml:space="preserve"> una fetta non indifferente dell’ampliamento riguarderà la necessità di creare degli spazi di appoggio e di servizio che a opera terminata occuperanno circa i 2/5 dell’intera superficie utile.</w:t>
      </w:r>
    </w:p>
    <w:p w:rsidR="003415B5" w:rsidRDefault="003415B5" w:rsidP="003415B5"/>
    <w:p w:rsidR="003415B5" w:rsidRPr="00064ABC" w:rsidRDefault="003415B5" w:rsidP="003415B5">
      <w:r>
        <w:t>Per dare qualche ulteriore dettaglio</w:t>
      </w:r>
      <w:r w:rsidRPr="00064ABC">
        <w:t>, dopo un contatto c</w:t>
      </w:r>
      <w:r>
        <w:t xml:space="preserve">on i responsabili del progetto, si può precisare </w:t>
      </w:r>
      <w:r w:rsidRPr="00064ABC">
        <w:t>che:</w:t>
      </w:r>
    </w:p>
    <w:p w:rsidR="003415B5" w:rsidRPr="00185142" w:rsidRDefault="00185142" w:rsidP="00185142">
      <w:pPr>
        <w:pStyle w:val="Paragrafoelenco"/>
        <w:widowControl w:val="0"/>
        <w:numPr>
          <w:ilvl w:val="0"/>
          <w:numId w:val="5"/>
        </w:numPr>
        <w:tabs>
          <w:tab w:val="left" w:pos="284"/>
        </w:tabs>
        <w:autoSpaceDE w:val="0"/>
        <w:autoSpaceDN w:val="0"/>
        <w:adjustRightInd w:val="0"/>
        <w:spacing w:before="60"/>
        <w:ind w:left="284" w:hanging="284"/>
        <w:rPr>
          <w:rFonts w:cs="Arial"/>
          <w:color w:val="000000" w:themeColor="text1"/>
          <w:szCs w:val="24"/>
        </w:rPr>
      </w:pPr>
      <w:r>
        <w:rPr>
          <w:rFonts w:cs="Arial"/>
          <w:color w:val="000000" w:themeColor="text1"/>
          <w:szCs w:val="24"/>
        </w:rPr>
        <w:t>n</w:t>
      </w:r>
      <w:r w:rsidR="003415B5" w:rsidRPr="00185142">
        <w:rPr>
          <w:rFonts w:cs="Arial"/>
          <w:color w:val="000000" w:themeColor="text1"/>
          <w:szCs w:val="24"/>
        </w:rPr>
        <w:t xml:space="preserve">ella nuova ala sarà creato un reparto specifico, di 12 posti letto, per persone affette da deficienze cognitive (un cosiddetto reparto protetto) che richiede spazi maggiori e l’aggiunta di uno spazio </w:t>
      </w:r>
      <w:r>
        <w:rPr>
          <w:rFonts w:cs="Arial"/>
          <w:color w:val="000000" w:themeColor="text1"/>
          <w:szCs w:val="24"/>
        </w:rPr>
        <w:t>dedicato: “giardino Alzheimer”;</w:t>
      </w:r>
    </w:p>
    <w:p w:rsidR="003415B5" w:rsidRPr="00185142" w:rsidRDefault="00185142" w:rsidP="00185142">
      <w:pPr>
        <w:pStyle w:val="Paragrafoelenco"/>
        <w:widowControl w:val="0"/>
        <w:numPr>
          <w:ilvl w:val="0"/>
          <w:numId w:val="5"/>
        </w:numPr>
        <w:tabs>
          <w:tab w:val="left" w:pos="284"/>
        </w:tabs>
        <w:autoSpaceDE w:val="0"/>
        <w:autoSpaceDN w:val="0"/>
        <w:adjustRightInd w:val="0"/>
        <w:spacing w:before="60"/>
        <w:ind w:left="284" w:hanging="284"/>
        <w:rPr>
          <w:rFonts w:cs="Arial"/>
          <w:color w:val="000000" w:themeColor="text1"/>
          <w:szCs w:val="24"/>
        </w:rPr>
      </w:pPr>
      <w:r>
        <w:rPr>
          <w:rFonts w:cs="Arial"/>
          <w:color w:val="000000" w:themeColor="text1"/>
          <w:szCs w:val="24"/>
        </w:rPr>
        <w:t>l</w:t>
      </w:r>
      <w:r w:rsidR="003415B5" w:rsidRPr="00185142">
        <w:rPr>
          <w:rFonts w:cs="Arial"/>
          <w:color w:val="000000" w:themeColor="text1"/>
          <w:szCs w:val="24"/>
        </w:rPr>
        <w:t>a posizione della nuova ala, verso montagna, richiede uno scavo importante (12 metri di profondità) che richiede un adeguato contenimento del terreno a monte realizzato con particolari accorgimenti di sicurezza (muro di so</w:t>
      </w:r>
      <w:r>
        <w:rPr>
          <w:rFonts w:cs="Arial"/>
          <w:color w:val="000000" w:themeColor="text1"/>
          <w:szCs w:val="24"/>
        </w:rPr>
        <w:t>stegno con ancoraggi);</w:t>
      </w:r>
    </w:p>
    <w:p w:rsidR="003415B5" w:rsidRPr="00185142" w:rsidRDefault="00185142" w:rsidP="00185142">
      <w:pPr>
        <w:pStyle w:val="Paragrafoelenco"/>
        <w:widowControl w:val="0"/>
        <w:numPr>
          <w:ilvl w:val="0"/>
          <w:numId w:val="5"/>
        </w:numPr>
        <w:tabs>
          <w:tab w:val="left" w:pos="284"/>
        </w:tabs>
        <w:autoSpaceDE w:val="0"/>
        <w:autoSpaceDN w:val="0"/>
        <w:adjustRightInd w:val="0"/>
        <w:spacing w:before="60"/>
        <w:ind w:left="284" w:hanging="284"/>
        <w:rPr>
          <w:rFonts w:cs="Arial"/>
          <w:color w:val="000000" w:themeColor="text1"/>
          <w:szCs w:val="24"/>
        </w:rPr>
      </w:pPr>
      <w:r>
        <w:rPr>
          <w:rFonts w:cs="Arial"/>
          <w:color w:val="000000" w:themeColor="text1"/>
          <w:szCs w:val="24"/>
        </w:rPr>
        <w:t>n</w:t>
      </w:r>
      <w:r w:rsidR="003415B5" w:rsidRPr="00185142">
        <w:rPr>
          <w:rFonts w:cs="Arial"/>
          <w:color w:val="000000" w:themeColor="text1"/>
          <w:szCs w:val="24"/>
        </w:rPr>
        <w:t xml:space="preserve">el piano cantina si necessita di costruire un tunnel di collegamento tra i due edifici in </w:t>
      </w:r>
      <w:proofErr w:type="spellStart"/>
      <w:r w:rsidR="003415B5" w:rsidRPr="00185142">
        <w:rPr>
          <w:rFonts w:cs="Arial"/>
          <w:color w:val="000000" w:themeColor="text1"/>
          <w:szCs w:val="24"/>
        </w:rPr>
        <w:t>sottomurazione</w:t>
      </w:r>
      <w:proofErr w:type="spellEnd"/>
      <w:r>
        <w:rPr>
          <w:rFonts w:cs="Arial"/>
          <w:color w:val="000000" w:themeColor="text1"/>
          <w:szCs w:val="24"/>
        </w:rPr>
        <w:t>;</w:t>
      </w:r>
    </w:p>
    <w:p w:rsidR="003415B5" w:rsidRPr="00185142" w:rsidRDefault="00185142" w:rsidP="00185142">
      <w:pPr>
        <w:pStyle w:val="Paragrafoelenco"/>
        <w:widowControl w:val="0"/>
        <w:numPr>
          <w:ilvl w:val="0"/>
          <w:numId w:val="5"/>
        </w:numPr>
        <w:tabs>
          <w:tab w:val="left" w:pos="284"/>
        </w:tabs>
        <w:autoSpaceDE w:val="0"/>
        <w:autoSpaceDN w:val="0"/>
        <w:adjustRightInd w:val="0"/>
        <w:spacing w:before="60"/>
        <w:ind w:left="284" w:hanging="284"/>
        <w:rPr>
          <w:rFonts w:cs="Arial"/>
          <w:color w:val="000000" w:themeColor="text1"/>
          <w:szCs w:val="24"/>
        </w:rPr>
      </w:pPr>
      <w:r>
        <w:rPr>
          <w:rFonts w:cs="Arial"/>
          <w:color w:val="000000" w:themeColor="text1"/>
          <w:szCs w:val="24"/>
        </w:rPr>
        <w:t>s</w:t>
      </w:r>
      <w:r w:rsidR="003415B5" w:rsidRPr="00185142">
        <w:rPr>
          <w:rFonts w:cs="Arial"/>
          <w:color w:val="000000" w:themeColor="text1"/>
          <w:szCs w:val="24"/>
        </w:rPr>
        <w:t>ono previste sostanziali demolizioni per assicurare il collegamento fra la struttura esistente e la nuova ala che ovviamente com</w:t>
      </w:r>
      <w:r>
        <w:rPr>
          <w:rFonts w:cs="Arial"/>
          <w:color w:val="000000" w:themeColor="text1"/>
          <w:szCs w:val="24"/>
        </w:rPr>
        <w:t>portano dei costi di intervento;</w:t>
      </w:r>
    </w:p>
    <w:p w:rsidR="003415B5" w:rsidRPr="00185142" w:rsidRDefault="00185142" w:rsidP="00185142">
      <w:pPr>
        <w:pStyle w:val="Paragrafoelenco"/>
        <w:widowControl w:val="0"/>
        <w:numPr>
          <w:ilvl w:val="0"/>
          <w:numId w:val="5"/>
        </w:numPr>
        <w:tabs>
          <w:tab w:val="left" w:pos="284"/>
        </w:tabs>
        <w:autoSpaceDE w:val="0"/>
        <w:autoSpaceDN w:val="0"/>
        <w:adjustRightInd w:val="0"/>
        <w:spacing w:before="60"/>
        <w:ind w:left="284" w:hanging="284"/>
        <w:rPr>
          <w:rFonts w:cs="Arial"/>
          <w:color w:val="000000" w:themeColor="text1"/>
          <w:szCs w:val="24"/>
        </w:rPr>
      </w:pPr>
      <w:r>
        <w:rPr>
          <w:rFonts w:cs="Arial"/>
          <w:color w:val="000000" w:themeColor="text1"/>
          <w:szCs w:val="24"/>
        </w:rPr>
        <w:t>l</w:t>
      </w:r>
      <w:r w:rsidR="003415B5" w:rsidRPr="00185142">
        <w:rPr>
          <w:rFonts w:cs="Arial"/>
          <w:color w:val="000000" w:themeColor="text1"/>
          <w:szCs w:val="24"/>
        </w:rPr>
        <w:t>a struttura della nuova costruzione deve tener conto dello stabile esistente, che dovrà comunque garantire la sua funzionalità</w:t>
      </w:r>
      <w:r>
        <w:rPr>
          <w:rFonts w:cs="Arial"/>
          <w:color w:val="000000" w:themeColor="text1"/>
          <w:szCs w:val="24"/>
        </w:rPr>
        <w:t xml:space="preserve"> per tutta la durata dei lavori;</w:t>
      </w:r>
    </w:p>
    <w:p w:rsidR="003415B5" w:rsidRPr="00185142" w:rsidRDefault="00185142" w:rsidP="00185142">
      <w:pPr>
        <w:pStyle w:val="Paragrafoelenco"/>
        <w:widowControl w:val="0"/>
        <w:numPr>
          <w:ilvl w:val="0"/>
          <w:numId w:val="5"/>
        </w:numPr>
        <w:tabs>
          <w:tab w:val="left" w:pos="284"/>
        </w:tabs>
        <w:autoSpaceDE w:val="0"/>
        <w:autoSpaceDN w:val="0"/>
        <w:adjustRightInd w:val="0"/>
        <w:spacing w:before="60"/>
        <w:ind w:left="284" w:hanging="284"/>
        <w:rPr>
          <w:rFonts w:cs="Arial"/>
          <w:color w:val="000000" w:themeColor="text1"/>
          <w:szCs w:val="24"/>
        </w:rPr>
      </w:pPr>
      <w:r>
        <w:rPr>
          <w:rFonts w:cs="Arial"/>
          <w:color w:val="000000" w:themeColor="text1"/>
          <w:szCs w:val="24"/>
        </w:rPr>
        <w:t>n</w:t>
      </w:r>
      <w:r w:rsidR="003415B5" w:rsidRPr="00185142">
        <w:rPr>
          <w:rFonts w:cs="Arial"/>
          <w:color w:val="000000" w:themeColor="text1"/>
          <w:szCs w:val="24"/>
        </w:rPr>
        <w:t xml:space="preserve">ella nuova ala sono previsti diversi locali di servizio come: la nuova fisioterapia (attualmente situata nel seminterrato) l’ergoterapia dimensionata all’aumento del </w:t>
      </w:r>
      <w:r w:rsidR="003415B5" w:rsidRPr="00185142">
        <w:rPr>
          <w:rFonts w:cs="Arial"/>
          <w:color w:val="000000" w:themeColor="text1"/>
          <w:szCs w:val="24"/>
        </w:rPr>
        <w:lastRenderedPageBreak/>
        <w:t>numero dei residenti, una sala didattica, nuovi spogliatoi per il personale, che sostituiscono quelli esistenti nella vecchia ala, non più rispondenti ai requisiti delle norme igienico-sanitarie</w:t>
      </w:r>
      <w:r>
        <w:rPr>
          <w:rFonts w:cs="Arial"/>
          <w:color w:val="000000" w:themeColor="text1"/>
          <w:szCs w:val="24"/>
        </w:rPr>
        <w:t>;</w:t>
      </w:r>
    </w:p>
    <w:p w:rsidR="003415B5" w:rsidRPr="00185142" w:rsidRDefault="00185142" w:rsidP="00185142">
      <w:pPr>
        <w:pStyle w:val="Paragrafoelenco"/>
        <w:widowControl w:val="0"/>
        <w:numPr>
          <w:ilvl w:val="0"/>
          <w:numId w:val="5"/>
        </w:numPr>
        <w:tabs>
          <w:tab w:val="left" w:pos="284"/>
        </w:tabs>
        <w:autoSpaceDE w:val="0"/>
        <w:autoSpaceDN w:val="0"/>
        <w:adjustRightInd w:val="0"/>
        <w:spacing w:before="60"/>
        <w:ind w:left="284" w:hanging="284"/>
        <w:rPr>
          <w:rFonts w:cs="Arial"/>
          <w:color w:val="000000" w:themeColor="text1"/>
          <w:szCs w:val="24"/>
        </w:rPr>
      </w:pPr>
      <w:r>
        <w:rPr>
          <w:rFonts w:cs="Arial"/>
          <w:color w:val="000000" w:themeColor="text1"/>
          <w:szCs w:val="24"/>
        </w:rPr>
        <w:t>s</w:t>
      </w:r>
      <w:r w:rsidR="003415B5" w:rsidRPr="00185142">
        <w:rPr>
          <w:rFonts w:cs="Arial"/>
          <w:color w:val="000000" w:themeColor="text1"/>
          <w:szCs w:val="24"/>
        </w:rPr>
        <w:t xml:space="preserve">ono previsti i nuovi locali tecnici ventilazione e riscaldamento (con termopompe, invece del riscaldamento a </w:t>
      </w:r>
      <w:proofErr w:type="spellStart"/>
      <w:r w:rsidR="003415B5" w:rsidRPr="00185142">
        <w:rPr>
          <w:rFonts w:cs="Arial"/>
          <w:color w:val="000000" w:themeColor="text1"/>
          <w:szCs w:val="24"/>
        </w:rPr>
        <w:t>cippato</w:t>
      </w:r>
      <w:proofErr w:type="spellEnd"/>
      <w:r w:rsidR="003415B5" w:rsidRPr="00185142">
        <w:rPr>
          <w:rFonts w:cs="Arial"/>
          <w:color w:val="000000" w:themeColor="text1"/>
          <w:szCs w:val="24"/>
        </w:rPr>
        <w:t xml:space="preserve"> di legna, inizialmente previsto), un ufficio e la nuova lavanderia (ristrutturazione con separazione circuito pulito/sporco s</w:t>
      </w:r>
      <w:r>
        <w:rPr>
          <w:rFonts w:cs="Arial"/>
          <w:color w:val="000000" w:themeColor="text1"/>
          <w:szCs w:val="24"/>
        </w:rPr>
        <w:t>econdo le prescrizioni vigenti);</w:t>
      </w:r>
    </w:p>
    <w:p w:rsidR="003415B5" w:rsidRPr="00185142" w:rsidRDefault="00185142" w:rsidP="00185142">
      <w:pPr>
        <w:pStyle w:val="Paragrafoelenco"/>
        <w:widowControl w:val="0"/>
        <w:numPr>
          <w:ilvl w:val="0"/>
          <w:numId w:val="5"/>
        </w:numPr>
        <w:tabs>
          <w:tab w:val="left" w:pos="284"/>
        </w:tabs>
        <w:autoSpaceDE w:val="0"/>
        <w:autoSpaceDN w:val="0"/>
        <w:adjustRightInd w:val="0"/>
        <w:spacing w:before="60"/>
        <w:ind w:left="284" w:hanging="284"/>
        <w:rPr>
          <w:rFonts w:cs="Arial"/>
          <w:color w:val="000000" w:themeColor="text1"/>
          <w:szCs w:val="24"/>
        </w:rPr>
      </w:pPr>
      <w:r>
        <w:rPr>
          <w:rFonts w:cs="Arial"/>
          <w:color w:val="000000" w:themeColor="text1"/>
          <w:szCs w:val="24"/>
        </w:rPr>
        <w:t>è</w:t>
      </w:r>
      <w:r w:rsidR="003415B5" w:rsidRPr="00185142">
        <w:rPr>
          <w:rFonts w:cs="Arial"/>
          <w:color w:val="000000" w:themeColor="text1"/>
          <w:szCs w:val="24"/>
        </w:rPr>
        <w:t xml:space="preserve"> prevista l’installazione della videosorveglianza negli spazi collettivi (corridoi e accessi principale)</w:t>
      </w:r>
    </w:p>
    <w:p w:rsidR="003415B5" w:rsidRPr="00064ABC" w:rsidRDefault="003415B5" w:rsidP="003415B5">
      <w:pPr>
        <w:widowControl w:val="0"/>
        <w:tabs>
          <w:tab w:val="left" w:pos="220"/>
          <w:tab w:val="left" w:pos="720"/>
        </w:tabs>
        <w:autoSpaceDE w:val="0"/>
        <w:autoSpaceDN w:val="0"/>
        <w:adjustRightInd w:val="0"/>
        <w:rPr>
          <w:color w:val="000000" w:themeColor="text1"/>
        </w:rPr>
      </w:pPr>
    </w:p>
    <w:p w:rsidR="003415B5" w:rsidRDefault="003415B5" w:rsidP="003415B5">
      <w:r w:rsidRPr="00064ABC">
        <w:t>Fatte queste precisazioni</w:t>
      </w:r>
      <w:r w:rsidR="00185142">
        <w:t>,</w:t>
      </w:r>
      <w:r w:rsidRPr="00064ABC">
        <w:t xml:space="preserve"> è quindi giustificata la differenza riscontrata rispetto ad alcuni progetti che apparentemente potevano essere considerati analoghi.</w:t>
      </w:r>
    </w:p>
    <w:p w:rsidR="00185142" w:rsidRDefault="00185142" w:rsidP="003415B5"/>
    <w:p w:rsidR="00185142" w:rsidRDefault="00185142" w:rsidP="003415B5"/>
    <w:p w:rsidR="00185142" w:rsidRPr="00064ABC" w:rsidRDefault="00185142" w:rsidP="003415B5"/>
    <w:p w:rsidR="003415B5" w:rsidRPr="00064ABC" w:rsidRDefault="003415B5" w:rsidP="00185142">
      <w:pPr>
        <w:pStyle w:val="Titolo1"/>
      </w:pPr>
      <w:r w:rsidRPr="00064ABC">
        <w:t>Conclusioni commissionali</w:t>
      </w:r>
    </w:p>
    <w:p w:rsidR="003415B5" w:rsidRPr="00064ABC" w:rsidRDefault="003415B5" w:rsidP="003415B5">
      <w:r w:rsidRPr="00064ABC">
        <w:t xml:space="preserve">La necessità di procedere in Ticino in tempi rapidi alla realizzazione di strutture per anziani è incontestabile e considerato quanto esposto nel presente rapporto </w:t>
      </w:r>
      <w:r w:rsidR="00185142">
        <w:t>e nel messaggio governativo la C</w:t>
      </w:r>
      <w:r w:rsidRPr="00064ABC">
        <w:t xml:space="preserve">ommissione della </w:t>
      </w:r>
      <w:r w:rsidR="00185142">
        <w:t>g</w:t>
      </w:r>
      <w:r w:rsidRPr="00064ABC">
        <w:t xml:space="preserve">estione e delle </w:t>
      </w:r>
      <w:r w:rsidR="00185142">
        <w:t>f</w:t>
      </w:r>
      <w:r w:rsidRPr="00064ABC">
        <w:t>inanze invita il Gran Consiglio ad approvare il credito così come proposto.</w:t>
      </w:r>
    </w:p>
    <w:p w:rsidR="00076E70" w:rsidRP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gestione e finanze:</w:t>
      </w:r>
    </w:p>
    <w:p w:rsidR="00076E70" w:rsidRPr="00076E70" w:rsidRDefault="00185142" w:rsidP="00076E70">
      <w:pPr>
        <w:rPr>
          <w:rFonts w:cs="Arial"/>
          <w:szCs w:val="24"/>
        </w:rPr>
      </w:pPr>
      <w:r>
        <w:rPr>
          <w:rFonts w:cs="Arial"/>
          <w:szCs w:val="24"/>
        </w:rPr>
        <w:t>Alex Farinelli</w:t>
      </w:r>
      <w:r w:rsidR="00076E70" w:rsidRPr="00076E70">
        <w:rPr>
          <w:rFonts w:cs="Arial"/>
          <w:szCs w:val="24"/>
        </w:rPr>
        <w:t>, relatore</w:t>
      </w:r>
    </w:p>
    <w:p w:rsidR="00185142" w:rsidRDefault="00185142" w:rsidP="00185142">
      <w:pPr>
        <w:rPr>
          <w:rFonts w:cs="Arial"/>
        </w:rPr>
      </w:pPr>
      <w:bookmarkStart w:id="1" w:name="OLE_LINK1"/>
      <w:bookmarkStart w:id="2" w:name="OLE_LINK2"/>
      <w:r w:rsidRPr="005E5056">
        <w:rPr>
          <w:rFonts w:cs="Arial"/>
        </w:rPr>
        <w:t xml:space="preserve">Bacchetta-Cattori - </w:t>
      </w:r>
      <w:r>
        <w:rPr>
          <w:rFonts w:cs="Arial"/>
        </w:rPr>
        <w:t xml:space="preserve">Badasci - Caprara - </w:t>
      </w:r>
    </w:p>
    <w:p w:rsidR="00185142" w:rsidRDefault="00185142" w:rsidP="00185142">
      <w:pPr>
        <w:rPr>
          <w:rFonts w:cs="Arial"/>
        </w:rPr>
      </w:pPr>
      <w:r>
        <w:rPr>
          <w:rFonts w:cs="Arial"/>
        </w:rPr>
        <w:t xml:space="preserve">Caverzasio - De Rosa - Denti - Durisch - </w:t>
      </w:r>
    </w:p>
    <w:p w:rsidR="00185142" w:rsidRDefault="00185142" w:rsidP="00185142">
      <w:pPr>
        <w:rPr>
          <w:rFonts w:cs="Arial"/>
        </w:rPr>
      </w:pPr>
      <w:r>
        <w:rPr>
          <w:rFonts w:cs="Arial"/>
        </w:rPr>
        <w:t xml:space="preserve">Foletti - Garobbio - Gianora - Guerra - </w:t>
      </w:r>
    </w:p>
    <w:p w:rsidR="00185142" w:rsidRDefault="00185142" w:rsidP="00185142">
      <w:pPr>
        <w:rPr>
          <w:rFonts w:cs="Arial"/>
        </w:rPr>
      </w:pPr>
      <w:r>
        <w:rPr>
          <w:rFonts w:cs="Arial"/>
        </w:rPr>
        <w:t>Kandemir Bordoli - Pini - Pinoja - Quadranti</w:t>
      </w:r>
    </w:p>
    <w:bookmarkEnd w:id="1"/>
    <w:bookmarkEnd w:id="2"/>
    <w:p w:rsidR="00076E70" w:rsidRPr="00076E70" w:rsidRDefault="00076E70">
      <w:pPr>
        <w:rPr>
          <w:rFonts w:cs="Arial"/>
          <w:szCs w:val="24"/>
        </w:rPr>
      </w:pPr>
    </w:p>
    <w:sectPr w:rsidR="00076E70" w:rsidRPr="00076E70" w:rsidSect="008B4137">
      <w:footerReference w:type="default" r:id="rId10"/>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AE4" w:rsidRDefault="006F1AE4" w:rsidP="008E77C6">
      <w:r>
        <w:separator/>
      </w:r>
    </w:p>
  </w:endnote>
  <w:endnote w:type="continuationSeparator" w:id="0">
    <w:p w:rsidR="006F1AE4" w:rsidRDefault="006F1AE4"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A7161F" w:rsidRPr="00A7161F">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AE4" w:rsidRDefault="006F1AE4" w:rsidP="008E77C6">
      <w:r>
        <w:separator/>
      </w:r>
    </w:p>
  </w:footnote>
  <w:footnote w:type="continuationSeparator" w:id="0">
    <w:p w:rsidR="006F1AE4" w:rsidRDefault="006F1AE4" w:rsidP="008E77C6">
      <w:r>
        <w:continuationSeparator/>
      </w:r>
    </w:p>
  </w:footnote>
  <w:footnote w:id="1">
    <w:p w:rsidR="003415B5" w:rsidRPr="0041428C" w:rsidRDefault="003415B5" w:rsidP="003415B5">
      <w:pPr>
        <w:pStyle w:val="Testonotaapidipagina"/>
        <w:jc w:val="both"/>
        <w:rPr>
          <w:rFonts w:ascii="Arial" w:hAnsi="Arial" w:cs="Arial"/>
          <w:sz w:val="18"/>
          <w:szCs w:val="18"/>
        </w:rPr>
      </w:pPr>
      <w:r w:rsidRPr="0041428C">
        <w:rPr>
          <w:rStyle w:val="Rimandonotaapidipagina"/>
          <w:rFonts w:cs="Arial"/>
          <w:sz w:val="18"/>
          <w:szCs w:val="18"/>
        </w:rPr>
        <w:footnoteRef/>
      </w:r>
      <w:r w:rsidRPr="0041428C">
        <w:rPr>
          <w:rFonts w:ascii="Arial" w:hAnsi="Arial" w:cs="Arial"/>
          <w:sz w:val="18"/>
          <w:szCs w:val="18"/>
        </w:rPr>
        <w:t xml:space="preserve"> Non comprensivo dell’importo di </w:t>
      </w:r>
      <w:proofErr w:type="spellStart"/>
      <w:r>
        <w:rPr>
          <w:rFonts w:ascii="Arial" w:hAnsi="Arial" w:cs="Arial"/>
          <w:sz w:val="18"/>
          <w:szCs w:val="18"/>
        </w:rPr>
        <w:t>f</w:t>
      </w:r>
      <w:r w:rsidRPr="0041428C">
        <w:rPr>
          <w:rFonts w:ascii="Arial" w:hAnsi="Arial" w:cs="Arial"/>
          <w:sz w:val="18"/>
          <w:szCs w:val="18"/>
        </w:rPr>
        <w:t>r</w:t>
      </w:r>
      <w:proofErr w:type="spellEnd"/>
      <w:r w:rsidRPr="0041428C">
        <w:rPr>
          <w:rFonts w:ascii="Arial" w:hAnsi="Arial" w:cs="Arial"/>
          <w:sz w:val="18"/>
          <w:szCs w:val="18"/>
        </w:rPr>
        <w:t>. 790'000.-</w:t>
      </w:r>
      <w:r>
        <w:rPr>
          <w:rFonts w:ascii="Arial" w:hAnsi="Arial" w:cs="Arial"/>
          <w:sz w:val="18"/>
          <w:szCs w:val="18"/>
        </w:rPr>
        <w:t xml:space="preserve">- </w:t>
      </w:r>
      <w:r w:rsidRPr="0041428C">
        <w:rPr>
          <w:rFonts w:ascii="Arial" w:hAnsi="Arial" w:cs="Arial"/>
          <w:sz w:val="18"/>
          <w:szCs w:val="18"/>
        </w:rPr>
        <w:t>(IVA 7.6% inclusa) per il credito di progettazione, già stanziato dai Comuni (come da Messaggio della Delegazione consortile no. 9/2015).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9BB60AA2"/>
    <w:lvl w:ilvl="0" w:tplc="5D7CB4EA">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106A68B6"/>
    <w:multiLevelType w:val="hybridMultilevel"/>
    <w:tmpl w:val="95545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185142"/>
    <w:rsid w:val="002E5E40"/>
    <w:rsid w:val="003415B5"/>
    <w:rsid w:val="0052425A"/>
    <w:rsid w:val="00586A8D"/>
    <w:rsid w:val="006D7A3B"/>
    <w:rsid w:val="006F1AE4"/>
    <w:rsid w:val="007B5462"/>
    <w:rsid w:val="008034BD"/>
    <w:rsid w:val="00876352"/>
    <w:rsid w:val="008B4137"/>
    <w:rsid w:val="008C767A"/>
    <w:rsid w:val="008E77C6"/>
    <w:rsid w:val="009770BB"/>
    <w:rsid w:val="009E008D"/>
    <w:rsid w:val="00A5465F"/>
    <w:rsid w:val="00A7161F"/>
    <w:rsid w:val="00A77678"/>
    <w:rsid w:val="00BC4C95"/>
    <w:rsid w:val="00BD5944"/>
    <w:rsid w:val="00CF6858"/>
    <w:rsid w:val="00D93B3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185142"/>
    <w:pPr>
      <w:keepNext/>
      <w:keepLines/>
      <w:numPr>
        <w:numId w:val="4"/>
      </w:numPr>
      <w:spacing w:after="120"/>
      <w:ind w:left="567" w:hanging="567"/>
      <w:outlineLvl w:val="0"/>
    </w:pPr>
    <w:rPr>
      <w:rFonts w:cs="Arial"/>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185142"/>
    <w:rPr>
      <w:rFonts w:ascii="Arial" w:hAnsi="Arial" w:cs="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NormaleWeb">
    <w:name w:val="Normal (Web)"/>
    <w:basedOn w:val="Normale"/>
    <w:uiPriority w:val="99"/>
    <w:semiHidden/>
    <w:unhideWhenUsed/>
    <w:rsid w:val="003415B5"/>
    <w:pPr>
      <w:spacing w:before="100" w:beforeAutospacing="1" w:after="100" w:afterAutospacing="1"/>
      <w:jc w:val="left"/>
    </w:pPr>
    <w:rPr>
      <w:rFonts w:ascii="Times New Roman" w:hAnsi="Times New Roman" w:cs="Times New Roman"/>
      <w:szCs w:val="24"/>
      <w:lang w:val="it-IT" w:eastAsia="it-IT"/>
    </w:rPr>
  </w:style>
  <w:style w:type="paragraph" w:styleId="Didascalia">
    <w:name w:val="caption"/>
    <w:basedOn w:val="Normale"/>
    <w:next w:val="Normale"/>
    <w:uiPriority w:val="35"/>
    <w:unhideWhenUsed/>
    <w:qFormat/>
    <w:rsid w:val="003415B5"/>
    <w:pPr>
      <w:spacing w:after="200"/>
      <w:jc w:val="left"/>
    </w:pPr>
    <w:rPr>
      <w:rFonts w:asciiTheme="minorHAnsi" w:hAnsiTheme="minorHAnsi"/>
      <w:i/>
      <w:iCs/>
      <w:color w:val="1F497D" w:themeColor="text2"/>
      <w:sz w:val="18"/>
      <w:szCs w:val="18"/>
      <w:lang w:val="it-IT"/>
    </w:rPr>
  </w:style>
  <w:style w:type="paragraph" w:styleId="Testonotaapidipagina">
    <w:name w:val="footnote text"/>
    <w:basedOn w:val="Normale"/>
    <w:link w:val="TestonotaapidipaginaCarattere"/>
    <w:uiPriority w:val="99"/>
    <w:rsid w:val="003415B5"/>
    <w:pPr>
      <w:jc w:val="left"/>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3415B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3415B5"/>
    <w:rPr>
      <w:vertAlign w:val="superscript"/>
    </w:rPr>
  </w:style>
  <w:style w:type="paragraph" w:customStyle="1" w:styleId="Corpodeltesto32">
    <w:name w:val="Corpo del testo 32"/>
    <w:basedOn w:val="Normale"/>
    <w:rsid w:val="003415B5"/>
    <w:pPr>
      <w:jc w:val="left"/>
    </w:pPr>
    <w:rPr>
      <w:rFonts w:eastAsia="Times New Roman" w:cs="Times New Roman"/>
      <w:i/>
      <w:szCs w:val="20"/>
      <w:lang w:val="it-IT" w:eastAsia="it-IT"/>
    </w:rPr>
  </w:style>
  <w:style w:type="paragraph" w:styleId="Testofumetto">
    <w:name w:val="Balloon Text"/>
    <w:basedOn w:val="Normale"/>
    <w:link w:val="TestofumettoCarattere"/>
    <w:uiPriority w:val="99"/>
    <w:semiHidden/>
    <w:unhideWhenUsed/>
    <w:rsid w:val="001851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51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185142"/>
    <w:pPr>
      <w:keepNext/>
      <w:keepLines/>
      <w:numPr>
        <w:numId w:val="4"/>
      </w:numPr>
      <w:spacing w:after="120"/>
      <w:ind w:left="567" w:hanging="567"/>
      <w:outlineLvl w:val="0"/>
    </w:pPr>
    <w:rPr>
      <w:rFonts w:cs="Arial"/>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185142"/>
    <w:rPr>
      <w:rFonts w:ascii="Arial" w:hAnsi="Arial" w:cs="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NormaleWeb">
    <w:name w:val="Normal (Web)"/>
    <w:basedOn w:val="Normale"/>
    <w:uiPriority w:val="99"/>
    <w:semiHidden/>
    <w:unhideWhenUsed/>
    <w:rsid w:val="003415B5"/>
    <w:pPr>
      <w:spacing w:before="100" w:beforeAutospacing="1" w:after="100" w:afterAutospacing="1"/>
      <w:jc w:val="left"/>
    </w:pPr>
    <w:rPr>
      <w:rFonts w:ascii="Times New Roman" w:hAnsi="Times New Roman" w:cs="Times New Roman"/>
      <w:szCs w:val="24"/>
      <w:lang w:val="it-IT" w:eastAsia="it-IT"/>
    </w:rPr>
  </w:style>
  <w:style w:type="paragraph" w:styleId="Didascalia">
    <w:name w:val="caption"/>
    <w:basedOn w:val="Normale"/>
    <w:next w:val="Normale"/>
    <w:uiPriority w:val="35"/>
    <w:unhideWhenUsed/>
    <w:qFormat/>
    <w:rsid w:val="003415B5"/>
    <w:pPr>
      <w:spacing w:after="200"/>
      <w:jc w:val="left"/>
    </w:pPr>
    <w:rPr>
      <w:rFonts w:asciiTheme="minorHAnsi" w:hAnsiTheme="minorHAnsi"/>
      <w:i/>
      <w:iCs/>
      <w:color w:val="1F497D" w:themeColor="text2"/>
      <w:sz w:val="18"/>
      <w:szCs w:val="18"/>
      <w:lang w:val="it-IT"/>
    </w:rPr>
  </w:style>
  <w:style w:type="paragraph" w:styleId="Testonotaapidipagina">
    <w:name w:val="footnote text"/>
    <w:basedOn w:val="Normale"/>
    <w:link w:val="TestonotaapidipaginaCarattere"/>
    <w:uiPriority w:val="99"/>
    <w:rsid w:val="003415B5"/>
    <w:pPr>
      <w:jc w:val="left"/>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3415B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3415B5"/>
    <w:rPr>
      <w:vertAlign w:val="superscript"/>
    </w:rPr>
  </w:style>
  <w:style w:type="paragraph" w:customStyle="1" w:styleId="Corpodeltesto32">
    <w:name w:val="Corpo del testo 32"/>
    <w:basedOn w:val="Normale"/>
    <w:rsid w:val="003415B5"/>
    <w:pPr>
      <w:jc w:val="left"/>
    </w:pPr>
    <w:rPr>
      <w:rFonts w:eastAsia="Times New Roman" w:cs="Times New Roman"/>
      <w:i/>
      <w:szCs w:val="20"/>
      <w:lang w:val="it-IT" w:eastAsia="it-IT"/>
    </w:rPr>
  </w:style>
  <w:style w:type="paragraph" w:styleId="Testofumetto">
    <w:name w:val="Balloon Text"/>
    <w:basedOn w:val="Normale"/>
    <w:link w:val="TestofumettoCarattere"/>
    <w:uiPriority w:val="99"/>
    <w:semiHidden/>
    <w:unhideWhenUsed/>
    <w:rsid w:val="001851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51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6949-B796-4309-8B32-4B80A4B3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1198</Words>
  <Characters>6831</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Righetti Paolo / kxgc022</cp:lastModifiedBy>
  <cp:revision>4</cp:revision>
  <cp:lastPrinted>2016-10-26T09:39:00Z</cp:lastPrinted>
  <dcterms:created xsi:type="dcterms:W3CDTF">2016-10-25T12:58:00Z</dcterms:created>
  <dcterms:modified xsi:type="dcterms:W3CDTF">2016-10-26T09:40:00Z</dcterms:modified>
</cp:coreProperties>
</file>