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Pr="00080172" w:rsidRDefault="00080172" w:rsidP="00076E70">
      <w:pPr>
        <w:rPr>
          <w:b/>
          <w:sz w:val="36"/>
        </w:rPr>
      </w:pPr>
      <w:bookmarkStart w:id="0" w:name="_GoBack"/>
      <w:r w:rsidRPr="00080172">
        <w:rPr>
          <w:rFonts w:cs="Arial"/>
          <w:b/>
          <w:sz w:val="28"/>
          <w:szCs w:val="20"/>
        </w:rPr>
        <w:t>Rapporto</w:t>
      </w:r>
    </w:p>
    <w:bookmarkEnd w:id="0"/>
    <w:p w:rsidR="008B4137" w:rsidRDefault="008B4137">
      <w:pPr>
        <w:rPr>
          <w:rFonts w:cs="Arial"/>
          <w:szCs w:val="24"/>
        </w:rPr>
      </w:pPr>
    </w:p>
    <w:p w:rsidR="005C22B4" w:rsidRDefault="005C22B4">
      <w:pPr>
        <w:rPr>
          <w:rFonts w:cs="Arial"/>
          <w:szCs w:val="24"/>
        </w:rPr>
      </w:pPr>
    </w:p>
    <w:p w:rsidR="00076E70" w:rsidRDefault="00076E70">
      <w:pPr>
        <w:rPr>
          <w:rFonts w:cs="Arial"/>
          <w:szCs w:val="24"/>
        </w:rPr>
      </w:pPr>
    </w:p>
    <w:p w:rsidR="008B4137" w:rsidRDefault="00EE4132" w:rsidP="006D7A3B">
      <w:pPr>
        <w:tabs>
          <w:tab w:val="left" w:pos="2098"/>
          <w:tab w:val="left" w:pos="4933"/>
        </w:tabs>
        <w:rPr>
          <w:rFonts w:cs="Arial"/>
          <w:szCs w:val="24"/>
        </w:rPr>
      </w:pPr>
      <w:r>
        <w:rPr>
          <w:rFonts w:cs="Arial"/>
          <w:b/>
          <w:sz w:val="32"/>
          <w:szCs w:val="32"/>
        </w:rPr>
        <w:t>72</w:t>
      </w:r>
      <w:r w:rsidR="008B4137" w:rsidRPr="008B4137">
        <w:rPr>
          <w:rFonts w:cs="Arial"/>
          <w:b/>
          <w:sz w:val="32"/>
          <w:szCs w:val="32"/>
        </w:rPr>
        <w:t>0</w:t>
      </w:r>
      <w:r>
        <w:rPr>
          <w:rFonts w:cs="Arial"/>
          <w:b/>
          <w:sz w:val="32"/>
          <w:szCs w:val="32"/>
        </w:rPr>
        <w:t>1</w:t>
      </w:r>
      <w:r w:rsidR="008B4137" w:rsidRPr="008B4137">
        <w:rPr>
          <w:rFonts w:cs="Arial"/>
          <w:b/>
          <w:sz w:val="32"/>
          <w:szCs w:val="32"/>
        </w:rPr>
        <w:t xml:space="preserve"> R</w:t>
      </w:r>
      <w:r w:rsidR="008B4137" w:rsidRPr="008B4137">
        <w:rPr>
          <w:rFonts w:cs="Arial"/>
          <w:sz w:val="28"/>
          <w:szCs w:val="28"/>
        </w:rPr>
        <w:tab/>
      </w:r>
      <w:r>
        <w:rPr>
          <w:rFonts w:cs="Arial"/>
          <w:sz w:val="28"/>
          <w:szCs w:val="28"/>
        </w:rPr>
        <w:t>15 novembre 2016</w:t>
      </w:r>
      <w:r w:rsidR="008B4137" w:rsidRPr="008B4137">
        <w:rPr>
          <w:rFonts w:cs="Arial"/>
          <w:sz w:val="28"/>
          <w:szCs w:val="28"/>
        </w:rPr>
        <w:tab/>
      </w:r>
      <w:r w:rsidRPr="00075437">
        <w:rPr>
          <w:rFonts w:cs="Arial"/>
          <w:sz w:val="28"/>
          <w:szCs w:val="28"/>
        </w:rPr>
        <w:t>TERRITORIO</w:t>
      </w:r>
    </w:p>
    <w:p w:rsidR="008B4137" w:rsidRDefault="008B4137">
      <w:pPr>
        <w:rPr>
          <w:rFonts w:cs="Arial"/>
          <w:szCs w:val="24"/>
        </w:rPr>
      </w:pPr>
    </w:p>
    <w:p w:rsidR="008B4137" w:rsidRDefault="008B4137">
      <w:pPr>
        <w:rPr>
          <w:rFonts w:cs="Arial"/>
          <w:szCs w:val="24"/>
        </w:rPr>
      </w:pPr>
    </w:p>
    <w:p w:rsidR="00EE4132" w:rsidRPr="00075437" w:rsidRDefault="00EE4132" w:rsidP="00EE4132">
      <w:pPr>
        <w:rPr>
          <w:rFonts w:cs="Arial"/>
          <w:b/>
          <w:sz w:val="28"/>
          <w:szCs w:val="28"/>
        </w:rPr>
      </w:pPr>
      <w:r>
        <w:rPr>
          <w:rFonts w:cs="Arial"/>
          <w:b/>
          <w:sz w:val="28"/>
          <w:szCs w:val="28"/>
        </w:rPr>
        <w:t>della C</w:t>
      </w:r>
      <w:r w:rsidRPr="00075437">
        <w:rPr>
          <w:rFonts w:cs="Arial"/>
          <w:b/>
          <w:sz w:val="28"/>
          <w:szCs w:val="28"/>
        </w:rPr>
        <w:t>ommissione speciale energia</w:t>
      </w:r>
    </w:p>
    <w:p w:rsidR="00EE4132" w:rsidRPr="00075437" w:rsidRDefault="00EE4132" w:rsidP="00EE4132">
      <w:pPr>
        <w:rPr>
          <w:rFonts w:cs="Arial"/>
          <w:b/>
          <w:color w:val="262626"/>
          <w:sz w:val="28"/>
          <w:szCs w:val="28"/>
          <w:lang w:val="it-IT"/>
        </w:rPr>
      </w:pPr>
      <w:r>
        <w:rPr>
          <w:rFonts w:cs="Arial"/>
          <w:b/>
          <w:sz w:val="28"/>
          <w:szCs w:val="28"/>
        </w:rPr>
        <w:t>s</w:t>
      </w:r>
      <w:r w:rsidRPr="00075437">
        <w:rPr>
          <w:rFonts w:cs="Arial"/>
          <w:b/>
          <w:sz w:val="28"/>
          <w:szCs w:val="28"/>
        </w:rPr>
        <w:t xml:space="preserve">ul messaggio </w:t>
      </w:r>
      <w:r>
        <w:rPr>
          <w:rFonts w:cs="Arial"/>
          <w:b/>
          <w:sz w:val="28"/>
          <w:szCs w:val="28"/>
        </w:rPr>
        <w:t>6</w:t>
      </w:r>
      <w:r w:rsidRPr="00075437">
        <w:rPr>
          <w:rFonts w:cs="Arial"/>
          <w:b/>
          <w:sz w:val="28"/>
          <w:szCs w:val="28"/>
        </w:rPr>
        <w:t xml:space="preserve"> </w:t>
      </w:r>
      <w:r>
        <w:rPr>
          <w:rFonts w:cs="Arial"/>
          <w:b/>
          <w:sz w:val="28"/>
          <w:szCs w:val="28"/>
        </w:rPr>
        <w:t xml:space="preserve">luglio </w:t>
      </w:r>
      <w:r w:rsidRPr="00075437">
        <w:rPr>
          <w:rFonts w:cs="Arial"/>
          <w:b/>
          <w:sz w:val="28"/>
          <w:szCs w:val="28"/>
        </w:rPr>
        <w:t>201</w:t>
      </w:r>
      <w:r>
        <w:rPr>
          <w:rFonts w:cs="Arial"/>
          <w:b/>
          <w:sz w:val="28"/>
          <w:szCs w:val="28"/>
        </w:rPr>
        <w:t>6</w:t>
      </w:r>
      <w:r w:rsidRPr="00075437">
        <w:rPr>
          <w:rFonts w:cs="Arial"/>
          <w:b/>
          <w:sz w:val="28"/>
          <w:szCs w:val="28"/>
        </w:rPr>
        <w:t xml:space="preserve"> concernente </w:t>
      </w:r>
      <w:r>
        <w:rPr>
          <w:rFonts w:cs="Arial"/>
          <w:b/>
          <w:sz w:val="28"/>
          <w:szCs w:val="28"/>
        </w:rPr>
        <w:t>l’</w:t>
      </w:r>
      <w:r w:rsidR="00EA4E28">
        <w:rPr>
          <w:rFonts w:cs="Arial"/>
          <w:b/>
          <w:sz w:val="28"/>
          <w:szCs w:val="28"/>
        </w:rPr>
        <w:t>i</w:t>
      </w:r>
      <w:r w:rsidRPr="006C4E0C">
        <w:rPr>
          <w:rFonts w:cs="Arial"/>
          <w:b/>
          <w:sz w:val="28"/>
          <w:szCs w:val="28"/>
        </w:rPr>
        <w:t xml:space="preserve">ntegrazione del programma federale di incentivi per il risanamento degli edifici (Programma Edifici - PE) nel programma cantonale di incentivi di cui al messaggio n. 7091 del 13 maggio 2015 e conseguente richiesta di approvazione di un aumento di </w:t>
      </w:r>
      <w:proofErr w:type="spellStart"/>
      <w:r w:rsidRPr="006C4E0C">
        <w:rPr>
          <w:rFonts w:cs="Arial"/>
          <w:b/>
          <w:sz w:val="28"/>
          <w:szCs w:val="28"/>
        </w:rPr>
        <w:t>fr</w:t>
      </w:r>
      <w:proofErr w:type="spellEnd"/>
      <w:r w:rsidRPr="006C4E0C">
        <w:rPr>
          <w:rFonts w:cs="Arial"/>
          <w:b/>
          <w:sz w:val="28"/>
          <w:szCs w:val="28"/>
        </w:rPr>
        <w:t xml:space="preserve">. 40'000'000.- del credito quadro approvato con decreto legislativo del 25 gennaio 2016, per un totale di </w:t>
      </w:r>
      <w:proofErr w:type="spellStart"/>
      <w:r w:rsidRPr="006C4E0C">
        <w:rPr>
          <w:rFonts w:cs="Arial"/>
          <w:b/>
          <w:sz w:val="28"/>
          <w:szCs w:val="28"/>
        </w:rPr>
        <w:t>fr</w:t>
      </w:r>
      <w:proofErr w:type="spellEnd"/>
      <w:r w:rsidRPr="006C4E0C">
        <w:rPr>
          <w:rFonts w:cs="Arial"/>
          <w:b/>
          <w:sz w:val="28"/>
          <w:szCs w:val="28"/>
        </w:rPr>
        <w:t>. 70'000'000.- per il periodo 2016-2020</w:t>
      </w:r>
    </w:p>
    <w:p w:rsidR="008B4137" w:rsidRPr="00EE4132" w:rsidRDefault="008B4137">
      <w:pPr>
        <w:rPr>
          <w:rFonts w:cs="Arial"/>
          <w:szCs w:val="24"/>
          <w:lang w:val="it-IT"/>
        </w:rPr>
      </w:pPr>
    </w:p>
    <w:p w:rsidR="008B4137" w:rsidRDefault="008B4137">
      <w:pPr>
        <w:rPr>
          <w:rFonts w:cs="Arial"/>
          <w:szCs w:val="24"/>
        </w:rPr>
      </w:pPr>
    </w:p>
    <w:p w:rsidR="00EE4132" w:rsidRPr="00075437" w:rsidRDefault="00EE4132" w:rsidP="00EE4132">
      <w:pPr>
        <w:pStyle w:val="Paragrafoelenco"/>
        <w:numPr>
          <w:ilvl w:val="0"/>
          <w:numId w:val="5"/>
        </w:numPr>
        <w:spacing w:after="60"/>
        <w:ind w:left="567" w:hanging="567"/>
        <w:contextualSpacing/>
        <w:rPr>
          <w:rFonts w:cs="Arial"/>
          <w:b/>
          <w:szCs w:val="24"/>
        </w:rPr>
      </w:pPr>
      <w:r>
        <w:rPr>
          <w:rFonts w:cs="Arial"/>
          <w:b/>
          <w:szCs w:val="24"/>
        </w:rPr>
        <w:t>INTRODUZIONE</w:t>
      </w:r>
    </w:p>
    <w:p w:rsidR="00EE4132" w:rsidRDefault="00EE4132" w:rsidP="00EE4132">
      <w:r>
        <w:t>In seguito alla revisione dell’ordinanza sul CO</w:t>
      </w:r>
      <w:r w:rsidRPr="00D73C6C">
        <w:rPr>
          <w:vertAlign w:val="subscript"/>
        </w:rPr>
        <w:t>2</w:t>
      </w:r>
      <w:r>
        <w:t>, il programma Edifici della Confederazione deve essere ripreso a livello di programma promozionale cantonale, ripresa che era già stata anticipata nel messaggio governativo n. 7091 del 13 maggio 2015.</w:t>
      </w:r>
    </w:p>
    <w:p w:rsidR="00EE4132" w:rsidRDefault="00EE4132" w:rsidP="00EE4132">
      <w:r>
        <w:t>Il messaggio governativo n. 7201 del 6 luglio 2016 chiede di formalizzare questa proposta.</w:t>
      </w:r>
    </w:p>
    <w:p w:rsidR="00EE4132" w:rsidRDefault="00EE4132" w:rsidP="00EE4132"/>
    <w:p w:rsidR="00EE4132" w:rsidRDefault="00EE4132" w:rsidP="00EE4132"/>
    <w:p w:rsidR="00EE4132" w:rsidRPr="00075437" w:rsidRDefault="00EE4132" w:rsidP="00EE4132">
      <w:pPr>
        <w:pStyle w:val="Paragrafoelenco"/>
        <w:numPr>
          <w:ilvl w:val="0"/>
          <w:numId w:val="5"/>
        </w:numPr>
        <w:spacing w:after="60"/>
        <w:ind w:left="567" w:hanging="567"/>
        <w:contextualSpacing/>
        <w:rPr>
          <w:rFonts w:cs="Arial"/>
          <w:b/>
          <w:szCs w:val="24"/>
        </w:rPr>
      </w:pPr>
      <w:r>
        <w:rPr>
          <w:rFonts w:cs="Arial"/>
          <w:b/>
          <w:szCs w:val="24"/>
        </w:rPr>
        <w:t>RIPARTIZIONE DEL CREDITO QUADRO</w:t>
      </w:r>
    </w:p>
    <w:p w:rsidR="00EE4132" w:rsidRDefault="00EE4132" w:rsidP="00EE4132">
      <w:r>
        <w:t xml:space="preserve">Il tema relativo al programma cantonale di incentivi era stato approfondito dalla Commissione speciale energia nel rapporto al Messaggio n. 7091 del Consiglio di Stato, messaggio che prevedeva la </w:t>
      </w:r>
      <w:r w:rsidRPr="005456F9">
        <w:t>seguente ripartizione del credito quadro:</w:t>
      </w:r>
    </w:p>
    <w:p w:rsidR="00EE4132" w:rsidRPr="005456F9" w:rsidRDefault="00EE4132" w:rsidP="00EE4132">
      <w:pPr>
        <w:spacing w:after="60"/>
        <w:rPr>
          <w:rFonts w:cs="Arial"/>
          <w:szCs w:val="24"/>
        </w:rPr>
      </w:pPr>
    </w:p>
    <w:p w:rsidR="00EE4132" w:rsidRPr="00EE4132" w:rsidRDefault="00EE4132" w:rsidP="00EE4132">
      <w:pPr>
        <w:spacing w:after="120"/>
        <w:rPr>
          <w:rFonts w:cs="Arial"/>
          <w:b/>
          <w:sz w:val="22"/>
        </w:rPr>
      </w:pPr>
      <w:r w:rsidRPr="00EE4132">
        <w:rPr>
          <w:rFonts w:cs="Arial"/>
          <w:b/>
          <w:sz w:val="22"/>
        </w:rPr>
        <w:t>Tabella 1 – Proposta di ripartizione del credito quadro messaggio n. 7091</w:t>
      </w: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520"/>
        <w:gridCol w:w="884"/>
      </w:tblGrid>
      <w:tr w:rsidR="00EE4132" w:rsidRPr="00EA4E28" w:rsidTr="00EA4E28">
        <w:trPr>
          <w:trHeight w:val="225"/>
        </w:trPr>
        <w:tc>
          <w:tcPr>
            <w:tcW w:w="709" w:type="dxa"/>
            <w:shd w:val="clear" w:color="auto" w:fill="999999"/>
          </w:tcPr>
          <w:p w:rsidR="00EE4132" w:rsidRPr="00EA4E28" w:rsidRDefault="00EE4132" w:rsidP="00EA4E28">
            <w:pPr>
              <w:tabs>
                <w:tab w:val="left" w:pos="709"/>
                <w:tab w:val="right" w:leader="dot" w:pos="9639"/>
              </w:tabs>
              <w:spacing w:before="40" w:after="40"/>
              <w:rPr>
                <w:rFonts w:cs="Arial"/>
                <w:b/>
                <w:sz w:val="22"/>
              </w:rPr>
            </w:pPr>
            <w:r w:rsidRPr="00EA4E28">
              <w:rPr>
                <w:rFonts w:cs="Arial"/>
                <w:b/>
                <w:sz w:val="22"/>
              </w:rPr>
              <w:t>Nr.</w:t>
            </w:r>
          </w:p>
        </w:tc>
        <w:tc>
          <w:tcPr>
            <w:tcW w:w="0" w:type="auto"/>
            <w:shd w:val="clear" w:color="auto" w:fill="999999"/>
          </w:tcPr>
          <w:p w:rsidR="00EE4132" w:rsidRPr="00EA4E28" w:rsidRDefault="00EE4132" w:rsidP="00EA4E28">
            <w:pPr>
              <w:tabs>
                <w:tab w:val="left" w:pos="709"/>
                <w:tab w:val="right" w:leader="dot" w:pos="9639"/>
              </w:tabs>
              <w:spacing w:before="40" w:after="40"/>
              <w:jc w:val="center"/>
              <w:rPr>
                <w:rFonts w:cs="Arial"/>
                <w:b/>
                <w:sz w:val="22"/>
              </w:rPr>
            </w:pPr>
            <w:r w:rsidRPr="00EA4E28">
              <w:rPr>
                <w:rFonts w:cs="Arial"/>
                <w:b/>
                <w:sz w:val="22"/>
              </w:rPr>
              <w:t>OGGETTO</w:t>
            </w:r>
          </w:p>
        </w:tc>
        <w:tc>
          <w:tcPr>
            <w:tcW w:w="0" w:type="auto"/>
            <w:shd w:val="clear" w:color="auto" w:fill="999999"/>
          </w:tcPr>
          <w:p w:rsidR="00EE4132" w:rsidRPr="00EA4E28" w:rsidRDefault="00EE4132" w:rsidP="00EA4E28">
            <w:pPr>
              <w:tabs>
                <w:tab w:val="left" w:pos="709"/>
                <w:tab w:val="right" w:leader="dot" w:pos="9639"/>
              </w:tabs>
              <w:spacing w:before="40" w:after="40"/>
              <w:jc w:val="center"/>
              <w:rPr>
                <w:rFonts w:cs="Arial"/>
                <w:b/>
                <w:sz w:val="22"/>
              </w:rPr>
            </w:pPr>
            <w:r w:rsidRPr="00EA4E28">
              <w:rPr>
                <w:rFonts w:cs="Arial"/>
                <w:b/>
                <w:sz w:val="22"/>
              </w:rPr>
              <w:t xml:space="preserve">Mio </w:t>
            </w:r>
            <w:proofErr w:type="spellStart"/>
            <w:r w:rsidRPr="00EA4E28">
              <w:rPr>
                <w:rFonts w:cs="Arial"/>
                <w:b/>
                <w:sz w:val="22"/>
              </w:rPr>
              <w:t>fr</w:t>
            </w:r>
            <w:proofErr w:type="spellEnd"/>
            <w:r w:rsidRPr="00EA4E28">
              <w:rPr>
                <w:rFonts w:cs="Arial"/>
                <w:b/>
                <w:sz w:val="22"/>
              </w:rPr>
              <w:t>.</w:t>
            </w:r>
          </w:p>
        </w:tc>
      </w:tr>
      <w:tr w:rsidR="00EE4132" w:rsidRPr="00EA4E28" w:rsidTr="00EA4E28">
        <w:trPr>
          <w:trHeight w:val="237"/>
        </w:trPr>
        <w:tc>
          <w:tcPr>
            <w:tcW w:w="709" w:type="dxa"/>
            <w:shd w:val="clear" w:color="auto" w:fill="auto"/>
          </w:tcPr>
          <w:p w:rsidR="00EE4132" w:rsidRPr="00EA4E28" w:rsidRDefault="00EE4132" w:rsidP="00EA4E28">
            <w:pPr>
              <w:tabs>
                <w:tab w:val="left" w:pos="229"/>
                <w:tab w:val="left" w:pos="709"/>
                <w:tab w:val="right" w:leader="dot" w:pos="9639"/>
              </w:tabs>
              <w:spacing w:before="40" w:after="40"/>
              <w:rPr>
                <w:rFonts w:cs="Arial"/>
                <w:sz w:val="22"/>
              </w:rPr>
            </w:pPr>
            <w:r w:rsidRPr="00EA4E28">
              <w:rPr>
                <w:rFonts w:cs="Arial"/>
                <w:sz w:val="22"/>
              </w:rPr>
              <w:t>1</w:t>
            </w:r>
          </w:p>
        </w:tc>
        <w:tc>
          <w:tcPr>
            <w:tcW w:w="0" w:type="auto"/>
            <w:shd w:val="clear" w:color="auto" w:fill="auto"/>
          </w:tcPr>
          <w:p w:rsidR="00EE4132" w:rsidRPr="00EA4E28" w:rsidRDefault="00EE4132" w:rsidP="00EA4E28">
            <w:pPr>
              <w:tabs>
                <w:tab w:val="left" w:pos="229"/>
                <w:tab w:val="left" w:pos="709"/>
                <w:tab w:val="right" w:leader="dot" w:pos="9639"/>
              </w:tabs>
              <w:spacing w:before="40" w:after="40"/>
              <w:rPr>
                <w:rFonts w:cs="Arial"/>
                <w:i/>
                <w:sz w:val="22"/>
              </w:rPr>
            </w:pPr>
            <w:r w:rsidRPr="00EA4E28">
              <w:rPr>
                <w:rFonts w:cs="Arial"/>
                <w:i/>
                <w:sz w:val="22"/>
              </w:rPr>
              <w:t>Efficienza energetica</w:t>
            </w:r>
          </w:p>
        </w:tc>
        <w:tc>
          <w:tcPr>
            <w:tcW w:w="0" w:type="auto"/>
            <w:shd w:val="clear" w:color="auto" w:fill="auto"/>
          </w:tcPr>
          <w:p w:rsidR="00EE4132" w:rsidRPr="00EA4E28" w:rsidRDefault="00EE4132" w:rsidP="00EA4E28">
            <w:pPr>
              <w:tabs>
                <w:tab w:val="left" w:pos="709"/>
                <w:tab w:val="right" w:leader="dot" w:pos="9639"/>
              </w:tabs>
              <w:spacing w:before="40" w:after="40"/>
              <w:jc w:val="center"/>
              <w:rPr>
                <w:rFonts w:cs="Arial"/>
                <w:b/>
                <w:sz w:val="22"/>
              </w:rPr>
            </w:pPr>
            <w:r w:rsidRPr="00EA4E28">
              <w:rPr>
                <w:rFonts w:cs="Arial"/>
                <w:b/>
                <w:sz w:val="22"/>
              </w:rPr>
              <w:t>14</w:t>
            </w:r>
          </w:p>
        </w:tc>
      </w:tr>
      <w:tr w:rsidR="00EE4132" w:rsidRPr="00EA4E28" w:rsidTr="00EA4E28">
        <w:tc>
          <w:tcPr>
            <w:tcW w:w="709" w:type="dxa"/>
            <w:shd w:val="clear" w:color="auto" w:fill="auto"/>
          </w:tcPr>
          <w:p w:rsidR="00EE4132" w:rsidRPr="00EA4E28" w:rsidRDefault="00EE4132" w:rsidP="007E31AD">
            <w:pPr>
              <w:tabs>
                <w:tab w:val="left" w:pos="709"/>
                <w:tab w:val="right" w:leader="dot" w:pos="9639"/>
              </w:tabs>
              <w:spacing w:before="40" w:after="40"/>
              <w:rPr>
                <w:rFonts w:cs="Arial"/>
                <w:sz w:val="22"/>
              </w:rPr>
            </w:pPr>
            <w:r w:rsidRPr="00EA4E28">
              <w:rPr>
                <w:rFonts w:cs="Arial"/>
                <w:sz w:val="22"/>
              </w:rPr>
              <w:t>1.1</w:t>
            </w:r>
          </w:p>
          <w:p w:rsidR="00EE4132" w:rsidRPr="00EA4E28" w:rsidRDefault="00EE4132" w:rsidP="007E31AD">
            <w:pPr>
              <w:tabs>
                <w:tab w:val="left" w:pos="709"/>
                <w:tab w:val="right" w:leader="dot" w:pos="9639"/>
              </w:tabs>
              <w:spacing w:before="40" w:after="40"/>
              <w:rPr>
                <w:rFonts w:cs="Arial"/>
                <w:sz w:val="22"/>
              </w:rPr>
            </w:pPr>
            <w:r w:rsidRPr="00EA4E28">
              <w:rPr>
                <w:rFonts w:cs="Arial"/>
                <w:sz w:val="22"/>
              </w:rPr>
              <w:t>1.2</w:t>
            </w:r>
          </w:p>
        </w:tc>
        <w:tc>
          <w:tcPr>
            <w:tcW w:w="0" w:type="auto"/>
            <w:shd w:val="clear" w:color="auto" w:fill="auto"/>
          </w:tcPr>
          <w:p w:rsidR="00EE4132" w:rsidRPr="00EA4E28" w:rsidRDefault="00EE4132" w:rsidP="00005668">
            <w:pPr>
              <w:tabs>
                <w:tab w:val="left" w:pos="709"/>
                <w:tab w:val="right" w:leader="dot" w:pos="9639"/>
              </w:tabs>
              <w:spacing w:before="40" w:after="40"/>
              <w:rPr>
                <w:rFonts w:cs="Arial"/>
                <w:sz w:val="22"/>
              </w:rPr>
            </w:pPr>
            <w:r w:rsidRPr="00EA4E28">
              <w:rPr>
                <w:rFonts w:cs="Arial"/>
                <w:sz w:val="22"/>
              </w:rPr>
              <w:t>Risanamento edifici</w:t>
            </w:r>
          </w:p>
          <w:p w:rsidR="00EE4132" w:rsidRPr="00EA4E28" w:rsidRDefault="00EE4132" w:rsidP="00EA4E28">
            <w:pPr>
              <w:tabs>
                <w:tab w:val="left" w:pos="709"/>
                <w:tab w:val="right" w:leader="dot" w:pos="9639"/>
              </w:tabs>
              <w:spacing w:before="40" w:after="40"/>
              <w:rPr>
                <w:rFonts w:cs="Arial"/>
                <w:sz w:val="22"/>
              </w:rPr>
            </w:pPr>
            <w:r w:rsidRPr="00EA4E28">
              <w:rPr>
                <w:rFonts w:cs="Arial"/>
                <w:sz w:val="22"/>
              </w:rPr>
              <w:t>Nuovi edifici</w:t>
            </w:r>
          </w:p>
        </w:tc>
        <w:tc>
          <w:tcPr>
            <w:tcW w:w="0" w:type="auto"/>
            <w:shd w:val="clear" w:color="auto" w:fill="auto"/>
          </w:tcPr>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rPr>
              <w:t>11.5</w:t>
            </w:r>
          </w:p>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rPr>
              <w:t>2.5</w:t>
            </w:r>
          </w:p>
        </w:tc>
      </w:tr>
      <w:tr w:rsidR="00EE4132" w:rsidRPr="00EA4E28" w:rsidTr="00EA4E28">
        <w:trPr>
          <w:trHeight w:val="225"/>
        </w:trPr>
        <w:tc>
          <w:tcPr>
            <w:tcW w:w="709" w:type="dxa"/>
            <w:shd w:val="clear" w:color="auto" w:fill="auto"/>
          </w:tcPr>
          <w:p w:rsidR="00EE4132" w:rsidRPr="00EA4E28" w:rsidRDefault="00EE4132" w:rsidP="00EA4E28">
            <w:pPr>
              <w:tabs>
                <w:tab w:val="left" w:pos="229"/>
                <w:tab w:val="left" w:pos="709"/>
                <w:tab w:val="right" w:leader="dot" w:pos="9639"/>
              </w:tabs>
              <w:spacing w:before="40" w:after="40"/>
              <w:rPr>
                <w:rFonts w:cs="Arial"/>
                <w:sz w:val="22"/>
              </w:rPr>
            </w:pPr>
            <w:r w:rsidRPr="00EA4E28">
              <w:rPr>
                <w:rFonts w:cs="Arial"/>
                <w:sz w:val="22"/>
              </w:rPr>
              <w:t>2</w:t>
            </w:r>
          </w:p>
        </w:tc>
        <w:tc>
          <w:tcPr>
            <w:tcW w:w="0" w:type="auto"/>
            <w:shd w:val="clear" w:color="auto" w:fill="auto"/>
          </w:tcPr>
          <w:p w:rsidR="00EE4132" w:rsidRPr="00EA4E28" w:rsidRDefault="00EE4132" w:rsidP="00EA4E28">
            <w:pPr>
              <w:tabs>
                <w:tab w:val="left" w:pos="229"/>
                <w:tab w:val="left" w:pos="709"/>
                <w:tab w:val="right" w:leader="dot" w:pos="9639"/>
              </w:tabs>
              <w:spacing w:before="40" w:after="40"/>
              <w:rPr>
                <w:rFonts w:cs="Arial"/>
                <w:b/>
                <w:i/>
                <w:sz w:val="22"/>
              </w:rPr>
            </w:pPr>
            <w:r w:rsidRPr="00EA4E28">
              <w:rPr>
                <w:rFonts w:cs="Arial"/>
                <w:i/>
                <w:sz w:val="22"/>
              </w:rPr>
              <w:t>Produzione di energia termica da fonti rinnovabili</w:t>
            </w:r>
          </w:p>
        </w:tc>
        <w:tc>
          <w:tcPr>
            <w:tcW w:w="0" w:type="auto"/>
            <w:shd w:val="clear" w:color="auto" w:fill="auto"/>
          </w:tcPr>
          <w:p w:rsidR="00EE4132" w:rsidRPr="00EA4E28" w:rsidRDefault="00EE4132" w:rsidP="00EA4E28">
            <w:pPr>
              <w:tabs>
                <w:tab w:val="left" w:pos="709"/>
                <w:tab w:val="right" w:leader="dot" w:pos="9639"/>
              </w:tabs>
              <w:spacing w:before="40" w:after="40"/>
              <w:jc w:val="center"/>
              <w:rPr>
                <w:rFonts w:cs="Arial"/>
                <w:b/>
                <w:sz w:val="22"/>
              </w:rPr>
            </w:pPr>
            <w:r w:rsidRPr="00EA4E28">
              <w:rPr>
                <w:rFonts w:cs="Arial"/>
                <w:b/>
                <w:sz w:val="22"/>
              </w:rPr>
              <w:t>8</w:t>
            </w:r>
          </w:p>
        </w:tc>
      </w:tr>
      <w:tr w:rsidR="00EE4132" w:rsidRPr="00EA4E28" w:rsidTr="00EA4E28">
        <w:trPr>
          <w:cantSplit/>
        </w:trPr>
        <w:tc>
          <w:tcPr>
            <w:tcW w:w="709" w:type="dxa"/>
            <w:shd w:val="clear" w:color="auto" w:fill="auto"/>
          </w:tcPr>
          <w:p w:rsidR="00EE4132" w:rsidRPr="00EA4E28" w:rsidRDefault="00EE4132" w:rsidP="00EA4E28">
            <w:pPr>
              <w:tabs>
                <w:tab w:val="left" w:pos="709"/>
                <w:tab w:val="right" w:leader="dot" w:pos="9639"/>
              </w:tabs>
              <w:spacing w:before="40" w:after="40"/>
              <w:rPr>
                <w:rFonts w:cs="Arial"/>
                <w:sz w:val="22"/>
              </w:rPr>
            </w:pPr>
            <w:r w:rsidRPr="00EA4E28">
              <w:rPr>
                <w:rFonts w:cs="Arial"/>
                <w:sz w:val="22"/>
              </w:rPr>
              <w:t>2.1</w:t>
            </w:r>
          </w:p>
          <w:p w:rsidR="00EE4132" w:rsidRPr="00EA4E28" w:rsidRDefault="00EE4132" w:rsidP="00EA4E28">
            <w:pPr>
              <w:tabs>
                <w:tab w:val="left" w:pos="709"/>
                <w:tab w:val="right" w:leader="dot" w:pos="9639"/>
              </w:tabs>
              <w:spacing w:before="40" w:after="40"/>
              <w:rPr>
                <w:rFonts w:cs="Arial"/>
                <w:sz w:val="22"/>
              </w:rPr>
            </w:pPr>
            <w:r w:rsidRPr="00EA4E28">
              <w:rPr>
                <w:rFonts w:cs="Arial"/>
                <w:sz w:val="22"/>
              </w:rPr>
              <w:t>2.2</w:t>
            </w:r>
          </w:p>
          <w:p w:rsidR="00EE4132" w:rsidRPr="00EA4E28" w:rsidRDefault="00EE4132" w:rsidP="00EA4E28">
            <w:pPr>
              <w:tabs>
                <w:tab w:val="left" w:pos="709"/>
                <w:tab w:val="right" w:leader="dot" w:pos="9639"/>
              </w:tabs>
              <w:spacing w:before="40" w:after="40"/>
              <w:rPr>
                <w:rFonts w:cs="Arial"/>
                <w:sz w:val="22"/>
              </w:rPr>
            </w:pPr>
            <w:r w:rsidRPr="00EA4E28">
              <w:rPr>
                <w:rFonts w:cs="Arial"/>
                <w:sz w:val="22"/>
              </w:rPr>
              <w:t>2.3</w:t>
            </w:r>
          </w:p>
          <w:p w:rsidR="00EE4132" w:rsidRPr="00EA4E28" w:rsidRDefault="00EE4132" w:rsidP="00EA4E28">
            <w:pPr>
              <w:tabs>
                <w:tab w:val="left" w:pos="709"/>
                <w:tab w:val="right" w:leader="dot" w:pos="9639"/>
              </w:tabs>
              <w:spacing w:before="40" w:after="40"/>
              <w:rPr>
                <w:rFonts w:cs="Arial"/>
                <w:sz w:val="22"/>
              </w:rPr>
            </w:pPr>
            <w:r w:rsidRPr="00EA4E28">
              <w:rPr>
                <w:rFonts w:cs="Arial"/>
                <w:sz w:val="22"/>
              </w:rPr>
              <w:t>2.4</w:t>
            </w:r>
          </w:p>
        </w:tc>
        <w:tc>
          <w:tcPr>
            <w:tcW w:w="0" w:type="auto"/>
            <w:shd w:val="clear" w:color="auto" w:fill="auto"/>
          </w:tcPr>
          <w:p w:rsidR="00EE4132" w:rsidRPr="00EA4E28" w:rsidRDefault="00EE4132" w:rsidP="00EA4E28">
            <w:pPr>
              <w:tabs>
                <w:tab w:val="left" w:pos="229"/>
                <w:tab w:val="left" w:pos="709"/>
                <w:tab w:val="right" w:leader="dot" w:pos="9639"/>
              </w:tabs>
              <w:spacing w:before="40" w:after="40"/>
              <w:rPr>
                <w:rFonts w:cs="Arial"/>
                <w:sz w:val="22"/>
              </w:rPr>
            </w:pPr>
            <w:r w:rsidRPr="00EA4E28">
              <w:rPr>
                <w:rFonts w:cs="Arial"/>
                <w:sz w:val="22"/>
              </w:rPr>
              <w:t>Energia solare termica</w:t>
            </w:r>
          </w:p>
          <w:p w:rsidR="00EE4132" w:rsidRPr="00EA4E28" w:rsidRDefault="00EE4132" w:rsidP="00EA4E28">
            <w:pPr>
              <w:tabs>
                <w:tab w:val="left" w:pos="229"/>
                <w:tab w:val="left" w:pos="709"/>
                <w:tab w:val="right" w:leader="dot" w:pos="9639"/>
              </w:tabs>
              <w:spacing w:before="40" w:after="40"/>
              <w:rPr>
                <w:rFonts w:cs="Arial"/>
                <w:sz w:val="22"/>
              </w:rPr>
            </w:pPr>
            <w:r w:rsidRPr="00EA4E28">
              <w:rPr>
                <w:rFonts w:cs="Arial"/>
                <w:sz w:val="22"/>
              </w:rPr>
              <w:t>Energia dal legno</w:t>
            </w:r>
          </w:p>
          <w:p w:rsidR="00EE4132" w:rsidRPr="00EA4E28" w:rsidRDefault="00EE4132" w:rsidP="00EA4E28">
            <w:pPr>
              <w:tabs>
                <w:tab w:val="left" w:pos="229"/>
                <w:tab w:val="left" w:pos="709"/>
                <w:tab w:val="right" w:leader="dot" w:pos="9639"/>
              </w:tabs>
              <w:spacing w:before="40" w:after="40"/>
              <w:rPr>
                <w:rFonts w:cs="Arial"/>
                <w:sz w:val="22"/>
              </w:rPr>
            </w:pPr>
            <w:r w:rsidRPr="00EA4E28">
              <w:rPr>
                <w:rFonts w:cs="Arial"/>
                <w:sz w:val="22"/>
              </w:rPr>
              <w:t>Energia da biomassa vegetale</w:t>
            </w:r>
          </w:p>
          <w:p w:rsidR="00EE4132" w:rsidRPr="00EA4E28" w:rsidRDefault="00EE4132" w:rsidP="00EA4E28">
            <w:pPr>
              <w:tabs>
                <w:tab w:val="left" w:pos="229"/>
                <w:tab w:val="left" w:pos="709"/>
                <w:tab w:val="right" w:leader="dot" w:pos="9639"/>
              </w:tabs>
              <w:spacing w:before="40" w:after="40"/>
              <w:rPr>
                <w:rFonts w:cs="Arial"/>
                <w:sz w:val="22"/>
              </w:rPr>
            </w:pPr>
            <w:r w:rsidRPr="00EA4E28">
              <w:rPr>
                <w:rFonts w:cs="Arial"/>
                <w:sz w:val="22"/>
              </w:rPr>
              <w:t>Sostituzione di riscaldamenti elettrici con impianti di energia rinnovabile</w:t>
            </w:r>
          </w:p>
        </w:tc>
        <w:tc>
          <w:tcPr>
            <w:tcW w:w="0" w:type="auto"/>
            <w:shd w:val="clear" w:color="auto" w:fill="auto"/>
          </w:tcPr>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rPr>
              <w:t>3</w:t>
            </w:r>
          </w:p>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rPr>
              <w:t>4</w:t>
            </w:r>
          </w:p>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rPr>
              <w:t>0.5</w:t>
            </w:r>
          </w:p>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rPr>
              <w:t>0.5</w:t>
            </w:r>
          </w:p>
        </w:tc>
      </w:tr>
      <w:tr w:rsidR="00EE4132" w:rsidRPr="00EA4E28" w:rsidTr="00EA4E28">
        <w:trPr>
          <w:trHeight w:val="237"/>
        </w:trPr>
        <w:tc>
          <w:tcPr>
            <w:tcW w:w="709" w:type="dxa"/>
            <w:shd w:val="clear" w:color="auto" w:fill="auto"/>
          </w:tcPr>
          <w:p w:rsidR="00EE4132" w:rsidRPr="00EA4E28" w:rsidRDefault="00EE4132" w:rsidP="00EA4E28">
            <w:pPr>
              <w:tabs>
                <w:tab w:val="left" w:pos="229"/>
                <w:tab w:val="left" w:pos="709"/>
                <w:tab w:val="right" w:leader="dot" w:pos="9639"/>
              </w:tabs>
              <w:spacing w:before="40" w:after="40"/>
              <w:rPr>
                <w:rFonts w:cs="Arial"/>
                <w:sz w:val="22"/>
              </w:rPr>
            </w:pPr>
            <w:r w:rsidRPr="00EA4E28">
              <w:rPr>
                <w:rFonts w:cs="Arial"/>
                <w:sz w:val="22"/>
              </w:rPr>
              <w:t>3</w:t>
            </w:r>
          </w:p>
        </w:tc>
        <w:tc>
          <w:tcPr>
            <w:tcW w:w="0" w:type="auto"/>
            <w:shd w:val="clear" w:color="auto" w:fill="auto"/>
          </w:tcPr>
          <w:p w:rsidR="00EE4132" w:rsidRPr="00EA4E28" w:rsidRDefault="00EE4132" w:rsidP="00EA4E28">
            <w:pPr>
              <w:tabs>
                <w:tab w:val="left" w:pos="229"/>
                <w:tab w:val="left" w:pos="709"/>
                <w:tab w:val="right" w:leader="dot" w:pos="9639"/>
              </w:tabs>
              <w:spacing w:before="40" w:after="40"/>
              <w:rPr>
                <w:rFonts w:cs="Arial"/>
                <w:i/>
                <w:sz w:val="22"/>
              </w:rPr>
            </w:pPr>
            <w:r w:rsidRPr="00EA4E28">
              <w:rPr>
                <w:rFonts w:cs="Arial"/>
                <w:i/>
                <w:sz w:val="22"/>
              </w:rPr>
              <w:t>Distribuzione di energia termica</w:t>
            </w:r>
          </w:p>
        </w:tc>
        <w:tc>
          <w:tcPr>
            <w:tcW w:w="0" w:type="auto"/>
            <w:shd w:val="clear" w:color="auto" w:fill="auto"/>
          </w:tcPr>
          <w:p w:rsidR="00EE4132" w:rsidRPr="00EA4E28" w:rsidRDefault="00EE4132" w:rsidP="00EA4E28">
            <w:pPr>
              <w:tabs>
                <w:tab w:val="left" w:pos="709"/>
                <w:tab w:val="right" w:leader="dot" w:pos="9639"/>
              </w:tabs>
              <w:spacing w:before="40" w:after="40"/>
              <w:jc w:val="center"/>
              <w:rPr>
                <w:rFonts w:cs="Arial"/>
                <w:b/>
                <w:sz w:val="22"/>
              </w:rPr>
            </w:pPr>
            <w:r w:rsidRPr="00EA4E28">
              <w:rPr>
                <w:rFonts w:cs="Arial"/>
                <w:b/>
                <w:sz w:val="22"/>
              </w:rPr>
              <w:t>4</w:t>
            </w:r>
          </w:p>
        </w:tc>
      </w:tr>
      <w:tr w:rsidR="00EE4132" w:rsidRPr="00EA4E28" w:rsidTr="00EA4E28">
        <w:trPr>
          <w:cantSplit/>
        </w:trPr>
        <w:tc>
          <w:tcPr>
            <w:tcW w:w="709" w:type="dxa"/>
            <w:shd w:val="clear" w:color="auto" w:fill="auto"/>
          </w:tcPr>
          <w:p w:rsidR="00EE4132" w:rsidRPr="00EA4E28" w:rsidRDefault="00EE4132" w:rsidP="007E31AD">
            <w:pPr>
              <w:tabs>
                <w:tab w:val="left" w:pos="709"/>
                <w:tab w:val="right" w:leader="dot" w:pos="9639"/>
              </w:tabs>
              <w:spacing w:before="40" w:after="40"/>
              <w:rPr>
                <w:rFonts w:cs="Arial"/>
                <w:sz w:val="22"/>
              </w:rPr>
            </w:pPr>
            <w:r w:rsidRPr="00EA4E28">
              <w:rPr>
                <w:rFonts w:cs="Arial"/>
                <w:sz w:val="22"/>
              </w:rPr>
              <w:t>3.1</w:t>
            </w:r>
          </w:p>
        </w:tc>
        <w:tc>
          <w:tcPr>
            <w:tcW w:w="0" w:type="auto"/>
            <w:shd w:val="clear" w:color="auto" w:fill="auto"/>
          </w:tcPr>
          <w:p w:rsidR="00EE4132" w:rsidRPr="00EA4E28" w:rsidRDefault="00EE4132" w:rsidP="00EA4E28">
            <w:pPr>
              <w:tabs>
                <w:tab w:val="left" w:pos="709"/>
                <w:tab w:val="right" w:leader="dot" w:pos="9639"/>
              </w:tabs>
              <w:spacing w:before="40" w:after="60"/>
              <w:rPr>
                <w:rFonts w:cs="Arial"/>
                <w:sz w:val="22"/>
              </w:rPr>
            </w:pPr>
            <w:r w:rsidRPr="00EA4E28">
              <w:rPr>
                <w:rFonts w:cs="Arial"/>
                <w:sz w:val="22"/>
              </w:rPr>
              <w:t>Reti di teleriscaldamento</w:t>
            </w:r>
          </w:p>
        </w:tc>
        <w:tc>
          <w:tcPr>
            <w:tcW w:w="0" w:type="auto"/>
            <w:shd w:val="clear" w:color="auto" w:fill="auto"/>
          </w:tcPr>
          <w:p w:rsidR="00EE4132" w:rsidRPr="00EA4E28" w:rsidRDefault="00EE4132" w:rsidP="007E31AD">
            <w:pPr>
              <w:tabs>
                <w:tab w:val="left" w:pos="709"/>
                <w:tab w:val="right" w:leader="dot" w:pos="9639"/>
              </w:tabs>
              <w:spacing w:before="40" w:after="60"/>
              <w:jc w:val="center"/>
              <w:rPr>
                <w:rFonts w:cs="Arial"/>
                <w:sz w:val="22"/>
              </w:rPr>
            </w:pPr>
            <w:r w:rsidRPr="00EA4E28">
              <w:rPr>
                <w:rFonts w:cs="Arial"/>
                <w:sz w:val="22"/>
              </w:rPr>
              <w:t>4</w:t>
            </w:r>
          </w:p>
        </w:tc>
      </w:tr>
      <w:tr w:rsidR="00EE4132" w:rsidRPr="00EA4E28" w:rsidTr="00EA4E28">
        <w:trPr>
          <w:trHeight w:val="225"/>
        </w:trPr>
        <w:tc>
          <w:tcPr>
            <w:tcW w:w="709" w:type="dxa"/>
            <w:shd w:val="clear" w:color="auto" w:fill="auto"/>
          </w:tcPr>
          <w:p w:rsidR="00EE4132" w:rsidRPr="00EA4E28" w:rsidRDefault="00EE4132" w:rsidP="00EA4E28">
            <w:pPr>
              <w:tabs>
                <w:tab w:val="left" w:pos="229"/>
                <w:tab w:val="left" w:pos="709"/>
                <w:tab w:val="right" w:leader="dot" w:pos="9639"/>
              </w:tabs>
              <w:spacing w:before="40" w:after="40"/>
              <w:rPr>
                <w:rFonts w:cs="Arial"/>
                <w:sz w:val="22"/>
              </w:rPr>
            </w:pPr>
            <w:r w:rsidRPr="00EA4E28">
              <w:rPr>
                <w:rFonts w:cs="Arial"/>
                <w:sz w:val="22"/>
              </w:rPr>
              <w:t>4</w:t>
            </w:r>
          </w:p>
        </w:tc>
        <w:tc>
          <w:tcPr>
            <w:tcW w:w="0" w:type="auto"/>
            <w:shd w:val="clear" w:color="auto" w:fill="auto"/>
          </w:tcPr>
          <w:p w:rsidR="00EE4132" w:rsidRPr="00EA4E28" w:rsidRDefault="00EE4132" w:rsidP="00EA4E28">
            <w:pPr>
              <w:tabs>
                <w:tab w:val="left" w:pos="229"/>
                <w:tab w:val="left" w:pos="709"/>
                <w:tab w:val="right" w:leader="dot" w:pos="9639"/>
              </w:tabs>
              <w:spacing w:before="40" w:after="40"/>
              <w:rPr>
                <w:rFonts w:cs="Arial"/>
                <w:i/>
                <w:sz w:val="22"/>
              </w:rPr>
            </w:pPr>
            <w:r w:rsidRPr="00EA4E28">
              <w:rPr>
                <w:rFonts w:cs="Arial"/>
                <w:i/>
                <w:sz w:val="22"/>
              </w:rPr>
              <w:t>Informazione, sensibilizzazione, formazione, postformazione e consulenza</w:t>
            </w:r>
          </w:p>
        </w:tc>
        <w:tc>
          <w:tcPr>
            <w:tcW w:w="0" w:type="auto"/>
            <w:shd w:val="clear" w:color="auto" w:fill="auto"/>
          </w:tcPr>
          <w:p w:rsidR="00EE4132" w:rsidRPr="00EA4E28" w:rsidRDefault="00EE4132" w:rsidP="00EA4E28">
            <w:pPr>
              <w:tabs>
                <w:tab w:val="left" w:pos="709"/>
                <w:tab w:val="right" w:leader="dot" w:pos="9639"/>
              </w:tabs>
              <w:spacing w:before="40" w:after="40"/>
              <w:jc w:val="center"/>
              <w:rPr>
                <w:rFonts w:cs="Arial"/>
                <w:b/>
                <w:sz w:val="22"/>
              </w:rPr>
            </w:pPr>
            <w:r w:rsidRPr="00EA4E28">
              <w:rPr>
                <w:rFonts w:cs="Arial"/>
                <w:b/>
                <w:sz w:val="22"/>
              </w:rPr>
              <w:t>4</w:t>
            </w:r>
          </w:p>
        </w:tc>
      </w:tr>
      <w:tr w:rsidR="00EE4132" w:rsidRPr="00EA4E28" w:rsidTr="00EA4E28">
        <w:trPr>
          <w:cantSplit/>
          <w:trHeight w:val="940"/>
        </w:trPr>
        <w:tc>
          <w:tcPr>
            <w:tcW w:w="709" w:type="dxa"/>
            <w:shd w:val="clear" w:color="auto" w:fill="auto"/>
          </w:tcPr>
          <w:p w:rsidR="00EE4132" w:rsidRPr="00EA4E28" w:rsidRDefault="00EE4132" w:rsidP="007E31AD">
            <w:pPr>
              <w:tabs>
                <w:tab w:val="left" w:pos="709"/>
                <w:tab w:val="right" w:leader="dot" w:pos="9639"/>
              </w:tabs>
              <w:spacing w:before="40" w:after="40"/>
              <w:rPr>
                <w:rFonts w:cs="Arial"/>
                <w:sz w:val="22"/>
              </w:rPr>
            </w:pPr>
            <w:r w:rsidRPr="00EA4E28">
              <w:rPr>
                <w:rFonts w:cs="Arial"/>
                <w:sz w:val="22"/>
              </w:rPr>
              <w:t>4.1</w:t>
            </w:r>
          </w:p>
          <w:p w:rsidR="00EE4132" w:rsidRPr="00EA4E28" w:rsidRDefault="00EE4132" w:rsidP="007E31AD">
            <w:pPr>
              <w:tabs>
                <w:tab w:val="left" w:pos="709"/>
                <w:tab w:val="right" w:leader="dot" w:pos="9639"/>
              </w:tabs>
              <w:spacing w:before="40" w:after="40"/>
              <w:rPr>
                <w:rFonts w:cs="Arial"/>
                <w:sz w:val="22"/>
              </w:rPr>
            </w:pPr>
            <w:r w:rsidRPr="00EA4E28">
              <w:rPr>
                <w:rFonts w:cs="Arial"/>
                <w:sz w:val="22"/>
              </w:rPr>
              <w:t>4.2</w:t>
            </w:r>
          </w:p>
          <w:p w:rsidR="00EE4132" w:rsidRPr="00EA4E28" w:rsidRDefault="00EE4132" w:rsidP="00EA4E28">
            <w:pPr>
              <w:tabs>
                <w:tab w:val="left" w:pos="709"/>
                <w:tab w:val="right" w:leader="dot" w:pos="9639"/>
              </w:tabs>
              <w:spacing w:before="40" w:after="40"/>
              <w:rPr>
                <w:rFonts w:cs="Arial"/>
                <w:sz w:val="22"/>
              </w:rPr>
            </w:pPr>
            <w:r w:rsidRPr="00EA4E28">
              <w:rPr>
                <w:rFonts w:cs="Arial"/>
                <w:sz w:val="22"/>
              </w:rPr>
              <w:t>4.3</w:t>
            </w:r>
          </w:p>
        </w:tc>
        <w:tc>
          <w:tcPr>
            <w:tcW w:w="0" w:type="auto"/>
            <w:shd w:val="clear" w:color="auto" w:fill="auto"/>
          </w:tcPr>
          <w:p w:rsidR="00EE4132" w:rsidRPr="00EA4E28" w:rsidRDefault="00EE4132" w:rsidP="00EA4E28">
            <w:pPr>
              <w:tabs>
                <w:tab w:val="left" w:pos="709"/>
                <w:tab w:val="right" w:leader="dot" w:pos="9639"/>
              </w:tabs>
              <w:spacing w:before="40" w:after="40"/>
              <w:rPr>
                <w:rFonts w:cs="Arial"/>
                <w:sz w:val="22"/>
              </w:rPr>
            </w:pPr>
            <w:r w:rsidRPr="00EA4E28">
              <w:rPr>
                <w:rFonts w:cs="Arial"/>
                <w:sz w:val="22"/>
              </w:rPr>
              <w:t>Provvedimenti indiretti della politica energetica comunale</w:t>
            </w:r>
          </w:p>
          <w:p w:rsidR="00EE4132" w:rsidRPr="00EA4E28" w:rsidRDefault="00EE4132" w:rsidP="007E31AD">
            <w:pPr>
              <w:tabs>
                <w:tab w:val="left" w:pos="709"/>
                <w:tab w:val="right" w:leader="dot" w:pos="9639"/>
              </w:tabs>
              <w:spacing w:before="40" w:after="40"/>
              <w:rPr>
                <w:rFonts w:cs="Arial"/>
                <w:sz w:val="22"/>
              </w:rPr>
            </w:pPr>
            <w:r w:rsidRPr="00EA4E28">
              <w:rPr>
                <w:rFonts w:cs="Arial"/>
                <w:sz w:val="22"/>
              </w:rPr>
              <w:t>Processi industriali, commercio e servizi</w:t>
            </w:r>
          </w:p>
          <w:p w:rsidR="00EE4132" w:rsidRPr="00EA4E28" w:rsidRDefault="00EE4132" w:rsidP="007E31AD">
            <w:pPr>
              <w:tabs>
                <w:tab w:val="left" w:pos="709"/>
                <w:tab w:val="right" w:leader="dot" w:pos="9639"/>
              </w:tabs>
              <w:spacing w:before="40" w:after="40"/>
              <w:rPr>
                <w:rFonts w:cs="Arial"/>
                <w:sz w:val="22"/>
              </w:rPr>
            </w:pPr>
            <w:r w:rsidRPr="00EA4E28">
              <w:rPr>
                <w:rFonts w:cs="Arial"/>
                <w:sz w:val="22"/>
              </w:rPr>
              <w:t xml:space="preserve">Mandato di prestazione a </w:t>
            </w:r>
            <w:proofErr w:type="spellStart"/>
            <w:r w:rsidRPr="00EA4E28">
              <w:rPr>
                <w:rFonts w:cs="Arial"/>
                <w:sz w:val="22"/>
              </w:rPr>
              <w:t>TicinoEnergia</w:t>
            </w:r>
            <w:proofErr w:type="spellEnd"/>
          </w:p>
        </w:tc>
        <w:tc>
          <w:tcPr>
            <w:tcW w:w="0" w:type="auto"/>
            <w:shd w:val="clear" w:color="auto" w:fill="auto"/>
          </w:tcPr>
          <w:p w:rsidR="00EE4132" w:rsidRPr="00EA4E28" w:rsidRDefault="00EE4132" w:rsidP="007E31AD">
            <w:pPr>
              <w:tabs>
                <w:tab w:val="left" w:pos="709"/>
                <w:tab w:val="right" w:leader="dot" w:pos="9639"/>
              </w:tabs>
              <w:spacing w:before="40" w:after="60"/>
              <w:jc w:val="center"/>
              <w:rPr>
                <w:rFonts w:cs="Arial"/>
                <w:sz w:val="22"/>
              </w:rPr>
            </w:pPr>
            <w:r w:rsidRPr="00EA4E28">
              <w:rPr>
                <w:rFonts w:cs="Arial"/>
                <w:sz w:val="22"/>
              </w:rPr>
              <w:t>1</w:t>
            </w:r>
          </w:p>
          <w:p w:rsidR="00EE4132" w:rsidRPr="00EA4E28" w:rsidRDefault="00EE4132" w:rsidP="007E31AD">
            <w:pPr>
              <w:tabs>
                <w:tab w:val="left" w:pos="709"/>
                <w:tab w:val="right" w:leader="dot" w:pos="9639"/>
              </w:tabs>
              <w:spacing w:before="40" w:after="60"/>
              <w:jc w:val="center"/>
              <w:rPr>
                <w:rFonts w:cs="Arial"/>
                <w:sz w:val="22"/>
              </w:rPr>
            </w:pPr>
            <w:r w:rsidRPr="00EA4E28">
              <w:rPr>
                <w:rFonts w:cs="Arial"/>
                <w:sz w:val="22"/>
              </w:rPr>
              <w:t>1</w:t>
            </w:r>
          </w:p>
          <w:p w:rsidR="00EE4132" w:rsidRPr="00EA4E28" w:rsidRDefault="00EE4132" w:rsidP="007E31AD">
            <w:pPr>
              <w:tabs>
                <w:tab w:val="left" w:pos="709"/>
                <w:tab w:val="right" w:leader="dot" w:pos="9639"/>
              </w:tabs>
              <w:spacing w:before="40" w:after="60"/>
              <w:jc w:val="center"/>
              <w:rPr>
                <w:rFonts w:cs="Arial"/>
                <w:sz w:val="22"/>
              </w:rPr>
            </w:pPr>
            <w:r w:rsidRPr="00EA4E28">
              <w:rPr>
                <w:rFonts w:cs="Arial"/>
                <w:sz w:val="22"/>
              </w:rPr>
              <w:t>2</w:t>
            </w:r>
          </w:p>
        </w:tc>
      </w:tr>
      <w:tr w:rsidR="00EE4132" w:rsidRPr="00EA4E28" w:rsidTr="00EA4E28">
        <w:trPr>
          <w:trHeight w:val="225"/>
        </w:trPr>
        <w:tc>
          <w:tcPr>
            <w:tcW w:w="709" w:type="dxa"/>
            <w:shd w:val="clear" w:color="auto" w:fill="999999"/>
          </w:tcPr>
          <w:p w:rsidR="00EE4132" w:rsidRPr="00EA4E28" w:rsidRDefault="00EE4132" w:rsidP="005C22B4">
            <w:pPr>
              <w:tabs>
                <w:tab w:val="left" w:pos="709"/>
                <w:tab w:val="right" w:leader="dot" w:pos="9639"/>
              </w:tabs>
              <w:spacing w:before="40" w:after="40"/>
              <w:rPr>
                <w:rFonts w:cs="Arial"/>
                <w:sz w:val="22"/>
              </w:rPr>
            </w:pPr>
          </w:p>
        </w:tc>
        <w:tc>
          <w:tcPr>
            <w:tcW w:w="0" w:type="auto"/>
            <w:shd w:val="clear" w:color="auto" w:fill="999999"/>
          </w:tcPr>
          <w:p w:rsidR="00EE4132" w:rsidRPr="00EA4E28" w:rsidRDefault="00EE4132" w:rsidP="005C22B4">
            <w:pPr>
              <w:tabs>
                <w:tab w:val="left" w:pos="709"/>
                <w:tab w:val="right" w:leader="dot" w:pos="9639"/>
              </w:tabs>
              <w:spacing w:before="40" w:after="40"/>
              <w:rPr>
                <w:rFonts w:cs="Arial"/>
                <w:b/>
                <w:sz w:val="22"/>
              </w:rPr>
            </w:pPr>
            <w:r w:rsidRPr="00EA4E28">
              <w:rPr>
                <w:rFonts w:cs="Arial"/>
                <w:b/>
                <w:sz w:val="22"/>
              </w:rPr>
              <w:t>Totale</w:t>
            </w:r>
          </w:p>
        </w:tc>
        <w:tc>
          <w:tcPr>
            <w:tcW w:w="0" w:type="auto"/>
            <w:shd w:val="clear" w:color="auto" w:fill="999999"/>
          </w:tcPr>
          <w:p w:rsidR="00EE4132" w:rsidRPr="00EA4E28" w:rsidRDefault="00EE4132" w:rsidP="005C22B4">
            <w:pPr>
              <w:tabs>
                <w:tab w:val="left" w:pos="709"/>
                <w:tab w:val="right" w:leader="dot" w:pos="9639"/>
              </w:tabs>
              <w:spacing w:before="40" w:after="40"/>
              <w:jc w:val="center"/>
              <w:rPr>
                <w:rFonts w:cs="Arial"/>
                <w:b/>
                <w:sz w:val="22"/>
              </w:rPr>
            </w:pPr>
            <w:r w:rsidRPr="00EA4E28">
              <w:rPr>
                <w:rFonts w:cs="Arial"/>
                <w:b/>
                <w:sz w:val="22"/>
              </w:rPr>
              <w:t>30.0</w:t>
            </w:r>
          </w:p>
        </w:tc>
      </w:tr>
    </w:tbl>
    <w:p w:rsidR="00EE4132" w:rsidRPr="005456F9" w:rsidRDefault="00EE4132" w:rsidP="00EA4E28"/>
    <w:p w:rsidR="00EE4132" w:rsidRDefault="00EE4132" w:rsidP="00EA4E28">
      <w:r>
        <w:t>Nel messaggio n.7201 la ripartizione, modificata rispetto alla proposta, è la seguente:</w:t>
      </w:r>
    </w:p>
    <w:p w:rsidR="00EE4132" w:rsidRPr="00EA4E28" w:rsidRDefault="00EE4132" w:rsidP="00EA4E28"/>
    <w:p w:rsidR="00EE4132" w:rsidRPr="00EE4132" w:rsidRDefault="00EE4132" w:rsidP="00EE4132">
      <w:pPr>
        <w:spacing w:after="120"/>
        <w:rPr>
          <w:rFonts w:cs="Arial"/>
          <w:b/>
          <w:sz w:val="22"/>
        </w:rPr>
      </w:pPr>
      <w:r w:rsidRPr="00EE4132">
        <w:rPr>
          <w:rFonts w:cs="Arial"/>
          <w:b/>
          <w:sz w:val="22"/>
        </w:rPr>
        <w:t>Tabella 2 – Proposta di ripartizione del credito quadro, con integrazione del programma federale di incentivi per il risanamento degli edifici (PE)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492"/>
        <w:gridCol w:w="992"/>
      </w:tblGrid>
      <w:tr w:rsidR="00EE4132" w:rsidRPr="00EA4E28" w:rsidTr="00EA4E28">
        <w:trPr>
          <w:trHeight w:val="225"/>
        </w:trPr>
        <w:tc>
          <w:tcPr>
            <w:tcW w:w="730" w:type="dxa"/>
            <w:shd w:val="clear" w:color="auto" w:fill="999999"/>
          </w:tcPr>
          <w:p w:rsidR="00EE4132" w:rsidRPr="00EA4E28" w:rsidRDefault="00EE4132" w:rsidP="00EA4E28">
            <w:pPr>
              <w:tabs>
                <w:tab w:val="left" w:pos="709"/>
                <w:tab w:val="right" w:leader="dot" w:pos="9639"/>
              </w:tabs>
              <w:spacing w:before="40" w:after="40"/>
              <w:rPr>
                <w:rFonts w:cs="Arial"/>
                <w:b/>
                <w:sz w:val="22"/>
              </w:rPr>
            </w:pPr>
            <w:r w:rsidRPr="00EA4E28">
              <w:rPr>
                <w:rFonts w:cs="Arial"/>
                <w:b/>
                <w:sz w:val="22"/>
              </w:rPr>
              <w:t>Nr.</w:t>
            </w:r>
          </w:p>
        </w:tc>
        <w:tc>
          <w:tcPr>
            <w:tcW w:w="7492" w:type="dxa"/>
            <w:shd w:val="clear" w:color="auto" w:fill="999999"/>
          </w:tcPr>
          <w:p w:rsidR="00EE4132" w:rsidRPr="00EA4E28" w:rsidRDefault="00EE4132" w:rsidP="00EA4E28">
            <w:pPr>
              <w:tabs>
                <w:tab w:val="left" w:pos="709"/>
                <w:tab w:val="right" w:leader="dot" w:pos="9639"/>
              </w:tabs>
              <w:spacing w:before="40" w:after="40"/>
              <w:jc w:val="center"/>
              <w:rPr>
                <w:rFonts w:cs="Arial"/>
                <w:b/>
                <w:sz w:val="22"/>
              </w:rPr>
            </w:pPr>
            <w:r w:rsidRPr="00EA4E28">
              <w:rPr>
                <w:rFonts w:cs="Arial"/>
                <w:b/>
                <w:sz w:val="22"/>
              </w:rPr>
              <w:t>OGGETTO</w:t>
            </w:r>
          </w:p>
        </w:tc>
        <w:tc>
          <w:tcPr>
            <w:tcW w:w="992" w:type="dxa"/>
            <w:shd w:val="clear" w:color="auto" w:fill="999999"/>
          </w:tcPr>
          <w:p w:rsidR="00EE4132" w:rsidRPr="00EA4E28" w:rsidRDefault="00EE4132" w:rsidP="00EA4E28">
            <w:pPr>
              <w:tabs>
                <w:tab w:val="left" w:pos="709"/>
                <w:tab w:val="right" w:leader="dot" w:pos="9639"/>
              </w:tabs>
              <w:spacing w:before="40" w:after="40"/>
              <w:jc w:val="center"/>
              <w:rPr>
                <w:rFonts w:cs="Arial"/>
                <w:b/>
                <w:sz w:val="22"/>
              </w:rPr>
            </w:pPr>
            <w:r w:rsidRPr="00EA4E28">
              <w:rPr>
                <w:rFonts w:cs="Arial"/>
                <w:b/>
                <w:sz w:val="22"/>
              </w:rPr>
              <w:t xml:space="preserve">Mio </w:t>
            </w:r>
            <w:proofErr w:type="spellStart"/>
            <w:r w:rsidRPr="00EA4E28">
              <w:rPr>
                <w:rFonts w:cs="Arial"/>
                <w:b/>
                <w:sz w:val="22"/>
              </w:rPr>
              <w:t>fr</w:t>
            </w:r>
            <w:proofErr w:type="spellEnd"/>
            <w:r w:rsidRPr="00EA4E28">
              <w:rPr>
                <w:rFonts w:cs="Arial"/>
                <w:b/>
                <w:sz w:val="22"/>
              </w:rPr>
              <w:t>.</w:t>
            </w:r>
          </w:p>
        </w:tc>
      </w:tr>
      <w:tr w:rsidR="00EE4132" w:rsidRPr="00EA4E28" w:rsidTr="00EA4E28">
        <w:trPr>
          <w:trHeight w:val="237"/>
        </w:trPr>
        <w:tc>
          <w:tcPr>
            <w:tcW w:w="730" w:type="dxa"/>
            <w:shd w:val="clear" w:color="auto" w:fill="92D050"/>
            <w:vAlign w:val="center"/>
          </w:tcPr>
          <w:p w:rsidR="00EE4132" w:rsidRPr="00EA4E28" w:rsidRDefault="00EE4132" w:rsidP="00EA4E28">
            <w:pPr>
              <w:tabs>
                <w:tab w:val="left" w:pos="229"/>
                <w:tab w:val="left" w:pos="709"/>
                <w:tab w:val="right" w:leader="dot" w:pos="9639"/>
              </w:tabs>
              <w:spacing w:before="40" w:after="40"/>
              <w:rPr>
                <w:rFonts w:cs="Arial"/>
                <w:i/>
                <w:sz w:val="22"/>
              </w:rPr>
            </w:pPr>
            <w:r w:rsidRPr="00EA4E28">
              <w:rPr>
                <w:rFonts w:cs="Arial"/>
                <w:i/>
                <w:sz w:val="22"/>
              </w:rPr>
              <w:t>1</w:t>
            </w:r>
          </w:p>
        </w:tc>
        <w:tc>
          <w:tcPr>
            <w:tcW w:w="7492" w:type="dxa"/>
            <w:shd w:val="clear" w:color="auto" w:fill="92D050"/>
            <w:vAlign w:val="center"/>
          </w:tcPr>
          <w:p w:rsidR="00EE4132" w:rsidRPr="00EA4E28" w:rsidRDefault="00EE4132" w:rsidP="00EA4E28">
            <w:pPr>
              <w:tabs>
                <w:tab w:val="left" w:pos="229"/>
                <w:tab w:val="left" w:pos="709"/>
                <w:tab w:val="right" w:leader="dot" w:pos="9639"/>
              </w:tabs>
              <w:spacing w:before="40" w:after="40"/>
              <w:rPr>
                <w:rFonts w:cs="Arial"/>
                <w:i/>
                <w:sz w:val="22"/>
              </w:rPr>
            </w:pPr>
            <w:r w:rsidRPr="00EA4E28">
              <w:rPr>
                <w:rFonts w:cs="Arial"/>
                <w:i/>
                <w:sz w:val="22"/>
              </w:rPr>
              <w:t>Destinazione parzialmente vincolata degli introiti provenienti dalla tassa sul CO</w:t>
            </w:r>
            <w:r w:rsidRPr="00EA4E28">
              <w:rPr>
                <w:rFonts w:cs="Arial"/>
                <w:i/>
                <w:sz w:val="22"/>
                <w:vertAlign w:val="subscript"/>
              </w:rPr>
              <w:t>2</w:t>
            </w:r>
          </w:p>
        </w:tc>
        <w:tc>
          <w:tcPr>
            <w:tcW w:w="992" w:type="dxa"/>
            <w:shd w:val="clear" w:color="auto" w:fill="92D050"/>
          </w:tcPr>
          <w:p w:rsidR="00EE4132" w:rsidRPr="00EA4E28" w:rsidRDefault="00EE4132" w:rsidP="00EA4E28">
            <w:pPr>
              <w:tabs>
                <w:tab w:val="left" w:pos="709"/>
                <w:tab w:val="right" w:leader="dot" w:pos="9639"/>
              </w:tabs>
              <w:spacing w:before="40" w:after="40"/>
              <w:jc w:val="center"/>
              <w:rPr>
                <w:rFonts w:cs="Arial"/>
                <w:i/>
                <w:sz w:val="22"/>
              </w:rPr>
            </w:pPr>
            <w:r w:rsidRPr="00EA4E28">
              <w:rPr>
                <w:rFonts w:cs="Arial"/>
                <w:b/>
                <w:i/>
                <w:sz w:val="22"/>
              </w:rPr>
              <w:t>40</w:t>
            </w:r>
          </w:p>
        </w:tc>
      </w:tr>
      <w:tr w:rsidR="00EE4132" w:rsidRPr="00EA4E28" w:rsidTr="00EA4E28">
        <w:trPr>
          <w:trHeight w:val="237"/>
        </w:trPr>
        <w:tc>
          <w:tcPr>
            <w:tcW w:w="730" w:type="dxa"/>
            <w:shd w:val="clear" w:color="auto" w:fill="92D050"/>
          </w:tcPr>
          <w:p w:rsidR="00EE4132" w:rsidRPr="00EA4E28" w:rsidRDefault="00EE4132" w:rsidP="00EA4E28">
            <w:pPr>
              <w:tabs>
                <w:tab w:val="left" w:pos="709"/>
                <w:tab w:val="right" w:leader="dot" w:pos="9639"/>
              </w:tabs>
              <w:spacing w:before="40" w:after="40"/>
              <w:rPr>
                <w:rFonts w:cs="Arial"/>
                <w:sz w:val="22"/>
              </w:rPr>
            </w:pPr>
            <w:r w:rsidRPr="00EA4E28">
              <w:rPr>
                <w:rFonts w:cs="Arial"/>
                <w:sz w:val="22"/>
              </w:rPr>
              <w:t>1.1</w:t>
            </w:r>
          </w:p>
        </w:tc>
        <w:tc>
          <w:tcPr>
            <w:tcW w:w="7492" w:type="dxa"/>
            <w:shd w:val="clear" w:color="auto" w:fill="92D050"/>
          </w:tcPr>
          <w:p w:rsidR="00EE4132" w:rsidRPr="00EA4E28" w:rsidRDefault="00EE4132" w:rsidP="005C22B4">
            <w:pPr>
              <w:tabs>
                <w:tab w:val="left" w:pos="229"/>
                <w:tab w:val="left" w:pos="709"/>
                <w:tab w:val="right" w:leader="dot" w:pos="9639"/>
              </w:tabs>
              <w:spacing w:before="40" w:after="40"/>
              <w:rPr>
                <w:rFonts w:cs="Arial"/>
                <w:sz w:val="22"/>
              </w:rPr>
            </w:pPr>
            <w:r w:rsidRPr="00EA4E28">
              <w:rPr>
                <w:rFonts w:cs="Arial"/>
                <w:sz w:val="22"/>
              </w:rPr>
              <w:t>Risanamento degli edifici (*)</w:t>
            </w:r>
          </w:p>
        </w:tc>
        <w:tc>
          <w:tcPr>
            <w:tcW w:w="992" w:type="dxa"/>
            <w:shd w:val="clear" w:color="auto" w:fill="92D050"/>
          </w:tcPr>
          <w:p w:rsidR="00EE4132" w:rsidRPr="00EA4E28" w:rsidRDefault="00EE4132" w:rsidP="00EA4E28">
            <w:pPr>
              <w:tabs>
                <w:tab w:val="left" w:pos="709"/>
                <w:tab w:val="right" w:leader="dot" w:pos="9639"/>
              </w:tabs>
              <w:spacing w:before="40" w:after="40"/>
              <w:jc w:val="center"/>
              <w:rPr>
                <w:rFonts w:cs="Arial"/>
                <w:sz w:val="22"/>
              </w:rPr>
            </w:pPr>
            <w:r w:rsidRPr="00EA4E28">
              <w:rPr>
                <w:rFonts w:cs="Arial"/>
                <w:sz w:val="22"/>
              </w:rPr>
              <w:t>40</w:t>
            </w:r>
          </w:p>
        </w:tc>
      </w:tr>
      <w:tr w:rsidR="00EE4132" w:rsidRPr="00EA4E28" w:rsidTr="00EA4E28">
        <w:trPr>
          <w:trHeight w:val="237"/>
        </w:trPr>
        <w:tc>
          <w:tcPr>
            <w:tcW w:w="730" w:type="dxa"/>
            <w:shd w:val="clear" w:color="auto" w:fill="auto"/>
          </w:tcPr>
          <w:p w:rsidR="00EE4132" w:rsidRPr="00EA4E28" w:rsidRDefault="00EE4132" w:rsidP="00EA4E28">
            <w:pPr>
              <w:tabs>
                <w:tab w:val="left" w:pos="229"/>
                <w:tab w:val="left" w:pos="709"/>
                <w:tab w:val="right" w:leader="dot" w:pos="9639"/>
              </w:tabs>
              <w:spacing w:before="40" w:after="40"/>
              <w:rPr>
                <w:rFonts w:cs="Arial"/>
                <w:i/>
                <w:sz w:val="22"/>
              </w:rPr>
            </w:pPr>
            <w:r w:rsidRPr="00EA4E28">
              <w:rPr>
                <w:rFonts w:cs="Arial"/>
                <w:i/>
                <w:sz w:val="22"/>
              </w:rPr>
              <w:t>2</w:t>
            </w:r>
          </w:p>
        </w:tc>
        <w:tc>
          <w:tcPr>
            <w:tcW w:w="7492" w:type="dxa"/>
            <w:shd w:val="clear" w:color="auto" w:fill="auto"/>
          </w:tcPr>
          <w:p w:rsidR="00EE4132" w:rsidRPr="00EA4E28" w:rsidRDefault="00EE4132" w:rsidP="00EA4E28">
            <w:pPr>
              <w:tabs>
                <w:tab w:val="left" w:pos="229"/>
                <w:tab w:val="left" w:pos="709"/>
                <w:tab w:val="right" w:leader="dot" w:pos="9639"/>
              </w:tabs>
              <w:spacing w:before="40" w:after="40"/>
              <w:rPr>
                <w:rFonts w:cs="Arial"/>
                <w:i/>
                <w:sz w:val="22"/>
              </w:rPr>
            </w:pPr>
            <w:r w:rsidRPr="00EA4E28">
              <w:rPr>
                <w:rFonts w:cs="Arial"/>
                <w:i/>
                <w:sz w:val="22"/>
              </w:rPr>
              <w:t>Efficienza energetica</w:t>
            </w:r>
          </w:p>
        </w:tc>
        <w:tc>
          <w:tcPr>
            <w:tcW w:w="992" w:type="dxa"/>
            <w:shd w:val="clear" w:color="auto" w:fill="auto"/>
          </w:tcPr>
          <w:p w:rsidR="00EE4132" w:rsidRPr="00EA4E28" w:rsidRDefault="00EE4132" w:rsidP="00EA4E28">
            <w:pPr>
              <w:tabs>
                <w:tab w:val="left" w:pos="709"/>
                <w:tab w:val="right" w:leader="dot" w:pos="9639"/>
              </w:tabs>
              <w:spacing w:before="40" w:after="40"/>
              <w:jc w:val="center"/>
              <w:rPr>
                <w:rFonts w:cs="Arial"/>
                <w:b/>
                <w:sz w:val="22"/>
              </w:rPr>
            </w:pPr>
            <w:r w:rsidRPr="00EA4E28">
              <w:rPr>
                <w:rFonts w:cs="Arial"/>
                <w:b/>
                <w:sz w:val="22"/>
                <w:highlight w:val="yellow"/>
              </w:rPr>
              <w:t>14.5</w:t>
            </w:r>
          </w:p>
        </w:tc>
      </w:tr>
      <w:tr w:rsidR="00EE4132" w:rsidRPr="00EA4E28" w:rsidTr="00EA4E28">
        <w:trPr>
          <w:trHeight w:val="1039"/>
        </w:trPr>
        <w:tc>
          <w:tcPr>
            <w:tcW w:w="730" w:type="dxa"/>
            <w:shd w:val="clear" w:color="auto" w:fill="auto"/>
          </w:tcPr>
          <w:p w:rsidR="00EE4132" w:rsidRPr="00EA4E28" w:rsidRDefault="00EE4132" w:rsidP="007E31AD">
            <w:pPr>
              <w:tabs>
                <w:tab w:val="left" w:pos="709"/>
                <w:tab w:val="right" w:leader="dot" w:pos="9639"/>
              </w:tabs>
              <w:spacing w:before="40" w:after="40"/>
              <w:rPr>
                <w:rFonts w:cs="Arial"/>
                <w:sz w:val="22"/>
              </w:rPr>
            </w:pPr>
            <w:r w:rsidRPr="00EA4E28">
              <w:rPr>
                <w:rFonts w:cs="Arial"/>
                <w:sz w:val="22"/>
              </w:rPr>
              <w:t>2.1</w:t>
            </w:r>
          </w:p>
          <w:p w:rsidR="00EE4132" w:rsidRPr="00EA4E28" w:rsidRDefault="00EE4132" w:rsidP="007E31AD">
            <w:pPr>
              <w:tabs>
                <w:tab w:val="left" w:pos="709"/>
                <w:tab w:val="right" w:leader="dot" w:pos="9639"/>
              </w:tabs>
              <w:spacing w:before="40" w:after="40"/>
              <w:rPr>
                <w:rFonts w:cs="Arial"/>
                <w:sz w:val="22"/>
              </w:rPr>
            </w:pPr>
            <w:r w:rsidRPr="00EA4E28">
              <w:rPr>
                <w:rFonts w:cs="Arial"/>
                <w:sz w:val="22"/>
              </w:rPr>
              <w:t>2.2</w:t>
            </w:r>
          </w:p>
          <w:p w:rsidR="00EE4132" w:rsidRPr="00EA4E28" w:rsidRDefault="00EE4132" w:rsidP="007E31AD">
            <w:pPr>
              <w:tabs>
                <w:tab w:val="left" w:pos="709"/>
                <w:tab w:val="right" w:leader="dot" w:pos="9639"/>
              </w:tabs>
              <w:spacing w:before="40" w:after="40"/>
              <w:rPr>
                <w:rFonts w:cs="Arial"/>
                <w:sz w:val="22"/>
              </w:rPr>
            </w:pPr>
            <w:r w:rsidRPr="00EA4E28">
              <w:rPr>
                <w:rFonts w:cs="Arial"/>
                <w:sz w:val="22"/>
              </w:rPr>
              <w:t>2.3</w:t>
            </w:r>
          </w:p>
        </w:tc>
        <w:tc>
          <w:tcPr>
            <w:tcW w:w="7492" w:type="dxa"/>
            <w:shd w:val="clear" w:color="auto" w:fill="auto"/>
          </w:tcPr>
          <w:p w:rsidR="00EE4132" w:rsidRPr="00EA4E28" w:rsidRDefault="00EE4132" w:rsidP="007E31AD">
            <w:pPr>
              <w:tabs>
                <w:tab w:val="left" w:pos="709"/>
                <w:tab w:val="right" w:leader="dot" w:pos="9639"/>
              </w:tabs>
              <w:spacing w:before="40" w:after="40"/>
              <w:rPr>
                <w:rFonts w:cs="Arial"/>
                <w:sz w:val="22"/>
              </w:rPr>
            </w:pPr>
            <w:r w:rsidRPr="00EA4E28">
              <w:rPr>
                <w:rFonts w:cs="Arial"/>
                <w:sz w:val="22"/>
              </w:rPr>
              <w:t>Risanamento edifici</w:t>
            </w:r>
          </w:p>
          <w:p w:rsidR="00EE4132" w:rsidRPr="00EA4E28" w:rsidRDefault="00EE4132" w:rsidP="007E31AD">
            <w:pPr>
              <w:tabs>
                <w:tab w:val="left" w:pos="709"/>
                <w:tab w:val="right" w:leader="dot" w:pos="9639"/>
              </w:tabs>
              <w:spacing w:before="40" w:after="40"/>
              <w:rPr>
                <w:rFonts w:cs="Arial"/>
                <w:sz w:val="22"/>
              </w:rPr>
            </w:pPr>
            <w:r w:rsidRPr="00EA4E28">
              <w:rPr>
                <w:rFonts w:cs="Arial"/>
                <w:sz w:val="22"/>
              </w:rPr>
              <w:t xml:space="preserve">Nuovi edifici </w:t>
            </w:r>
            <w:r w:rsidRPr="00EA4E28">
              <w:rPr>
                <w:rFonts w:cs="Arial"/>
                <w:sz w:val="22"/>
                <w:highlight w:val="yellow"/>
              </w:rPr>
              <w:t xml:space="preserve">con standard </w:t>
            </w:r>
            <w:proofErr w:type="spellStart"/>
            <w:r w:rsidRPr="00EA4E28">
              <w:rPr>
                <w:rFonts w:cs="Arial"/>
                <w:sz w:val="22"/>
                <w:highlight w:val="yellow"/>
              </w:rPr>
              <w:t>Minergie</w:t>
            </w:r>
            <w:proofErr w:type="spellEnd"/>
            <w:r w:rsidRPr="00EA4E28">
              <w:rPr>
                <w:rFonts w:cs="Arial"/>
                <w:sz w:val="22"/>
                <w:highlight w:val="yellow"/>
              </w:rPr>
              <w:t xml:space="preserve">-P o </w:t>
            </w:r>
            <w:proofErr w:type="spellStart"/>
            <w:r w:rsidRPr="00EA4E28">
              <w:rPr>
                <w:rFonts w:cs="Arial"/>
                <w:sz w:val="22"/>
                <w:highlight w:val="yellow"/>
              </w:rPr>
              <w:t>Minergie</w:t>
            </w:r>
            <w:proofErr w:type="spellEnd"/>
            <w:r w:rsidRPr="00EA4E28">
              <w:rPr>
                <w:rFonts w:cs="Arial"/>
                <w:sz w:val="22"/>
                <w:highlight w:val="yellow"/>
              </w:rPr>
              <w:t>-A</w:t>
            </w:r>
          </w:p>
          <w:p w:rsidR="00EE4132" w:rsidRPr="00EA4E28" w:rsidRDefault="00EE4132" w:rsidP="00EA4E28">
            <w:pPr>
              <w:tabs>
                <w:tab w:val="left" w:pos="709"/>
                <w:tab w:val="right" w:leader="dot" w:pos="9639"/>
              </w:tabs>
              <w:spacing w:before="40" w:after="40"/>
              <w:rPr>
                <w:rFonts w:cs="Arial"/>
                <w:sz w:val="22"/>
              </w:rPr>
            </w:pPr>
            <w:r w:rsidRPr="00EA4E28">
              <w:rPr>
                <w:rFonts w:cs="Arial"/>
                <w:sz w:val="22"/>
                <w:highlight w:val="yellow"/>
              </w:rPr>
              <w:t>Processi industriali, commercio e servizi</w:t>
            </w:r>
          </w:p>
        </w:tc>
        <w:tc>
          <w:tcPr>
            <w:tcW w:w="992" w:type="dxa"/>
            <w:shd w:val="clear" w:color="auto" w:fill="auto"/>
          </w:tcPr>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highlight w:val="yellow"/>
              </w:rPr>
              <w:t>10.5</w:t>
            </w:r>
          </w:p>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highlight w:val="yellow"/>
              </w:rPr>
              <w:t>3.5</w:t>
            </w:r>
          </w:p>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highlight w:val="yellow"/>
              </w:rPr>
              <w:t>0.5</w:t>
            </w:r>
          </w:p>
        </w:tc>
      </w:tr>
      <w:tr w:rsidR="00EE4132" w:rsidRPr="00EA4E28" w:rsidTr="00EA4E28">
        <w:trPr>
          <w:trHeight w:val="225"/>
        </w:trPr>
        <w:tc>
          <w:tcPr>
            <w:tcW w:w="730" w:type="dxa"/>
            <w:shd w:val="clear" w:color="auto" w:fill="auto"/>
          </w:tcPr>
          <w:p w:rsidR="00EE4132" w:rsidRPr="00EA4E28" w:rsidRDefault="00EE4132" w:rsidP="007E31AD">
            <w:pPr>
              <w:tabs>
                <w:tab w:val="left" w:pos="229"/>
                <w:tab w:val="left" w:pos="709"/>
                <w:tab w:val="right" w:leader="dot" w:pos="9639"/>
              </w:tabs>
              <w:spacing w:before="20"/>
              <w:rPr>
                <w:rFonts w:cs="Arial"/>
                <w:i/>
                <w:sz w:val="22"/>
              </w:rPr>
            </w:pPr>
            <w:r w:rsidRPr="00EA4E28">
              <w:rPr>
                <w:rFonts w:cs="Arial"/>
                <w:i/>
                <w:sz w:val="22"/>
              </w:rPr>
              <w:t>3</w:t>
            </w:r>
          </w:p>
        </w:tc>
        <w:tc>
          <w:tcPr>
            <w:tcW w:w="7492" w:type="dxa"/>
            <w:shd w:val="clear" w:color="auto" w:fill="auto"/>
          </w:tcPr>
          <w:p w:rsidR="00EE4132" w:rsidRPr="00EA4E28" w:rsidRDefault="00EE4132" w:rsidP="007E31AD">
            <w:pPr>
              <w:tabs>
                <w:tab w:val="left" w:pos="229"/>
                <w:tab w:val="left" w:pos="709"/>
                <w:tab w:val="right" w:leader="dot" w:pos="9639"/>
              </w:tabs>
              <w:spacing w:before="20"/>
              <w:rPr>
                <w:rFonts w:cs="Arial"/>
                <w:b/>
                <w:i/>
                <w:sz w:val="22"/>
              </w:rPr>
            </w:pPr>
            <w:r w:rsidRPr="00EA4E28">
              <w:rPr>
                <w:rFonts w:cs="Arial"/>
                <w:i/>
                <w:sz w:val="22"/>
              </w:rPr>
              <w:t>Produzione di energia termica da fonti rinnovabili</w:t>
            </w:r>
          </w:p>
        </w:tc>
        <w:tc>
          <w:tcPr>
            <w:tcW w:w="992" w:type="dxa"/>
            <w:shd w:val="clear" w:color="auto" w:fill="auto"/>
          </w:tcPr>
          <w:p w:rsidR="00EE4132" w:rsidRPr="00EA4E28" w:rsidRDefault="00EE4132" w:rsidP="007E31AD">
            <w:pPr>
              <w:tabs>
                <w:tab w:val="left" w:pos="709"/>
                <w:tab w:val="right" w:leader="dot" w:pos="9639"/>
              </w:tabs>
              <w:spacing w:before="20"/>
              <w:jc w:val="center"/>
              <w:rPr>
                <w:rFonts w:cs="Arial"/>
                <w:b/>
                <w:i/>
                <w:sz w:val="22"/>
              </w:rPr>
            </w:pPr>
            <w:r w:rsidRPr="00EA4E28">
              <w:rPr>
                <w:rFonts w:cs="Arial"/>
                <w:b/>
                <w:i/>
                <w:sz w:val="22"/>
                <w:highlight w:val="yellow"/>
              </w:rPr>
              <w:t>9</w:t>
            </w:r>
          </w:p>
        </w:tc>
      </w:tr>
      <w:tr w:rsidR="00EE4132" w:rsidRPr="00EA4E28" w:rsidTr="005C22B4">
        <w:trPr>
          <w:cantSplit/>
        </w:trPr>
        <w:tc>
          <w:tcPr>
            <w:tcW w:w="730" w:type="dxa"/>
            <w:shd w:val="clear" w:color="auto" w:fill="auto"/>
          </w:tcPr>
          <w:p w:rsidR="00EE4132" w:rsidRPr="00EA4E28" w:rsidRDefault="00EE4132" w:rsidP="007E31AD">
            <w:pPr>
              <w:tabs>
                <w:tab w:val="left" w:pos="709"/>
                <w:tab w:val="right" w:leader="dot" w:pos="9639"/>
              </w:tabs>
              <w:spacing w:before="40" w:after="40"/>
              <w:rPr>
                <w:rFonts w:cs="Arial"/>
                <w:sz w:val="22"/>
              </w:rPr>
            </w:pPr>
            <w:r w:rsidRPr="00EA4E28">
              <w:rPr>
                <w:rFonts w:cs="Arial"/>
                <w:sz w:val="22"/>
              </w:rPr>
              <w:t>3.1</w:t>
            </w:r>
          </w:p>
          <w:p w:rsidR="00EE4132" w:rsidRPr="00EA4E28" w:rsidRDefault="00EE4132" w:rsidP="007E31AD">
            <w:pPr>
              <w:tabs>
                <w:tab w:val="left" w:pos="709"/>
                <w:tab w:val="right" w:leader="dot" w:pos="9639"/>
              </w:tabs>
              <w:spacing w:before="40" w:after="40"/>
              <w:rPr>
                <w:rFonts w:cs="Arial"/>
                <w:sz w:val="22"/>
              </w:rPr>
            </w:pPr>
            <w:r w:rsidRPr="00EA4E28">
              <w:rPr>
                <w:rFonts w:cs="Arial"/>
                <w:sz w:val="22"/>
              </w:rPr>
              <w:t>3.2</w:t>
            </w:r>
          </w:p>
          <w:p w:rsidR="00EE4132" w:rsidRPr="00EA4E28" w:rsidRDefault="00EE4132" w:rsidP="007E31AD">
            <w:pPr>
              <w:tabs>
                <w:tab w:val="left" w:pos="709"/>
                <w:tab w:val="right" w:leader="dot" w:pos="9639"/>
              </w:tabs>
              <w:spacing w:before="40" w:after="40"/>
              <w:rPr>
                <w:rFonts w:cs="Arial"/>
                <w:sz w:val="22"/>
              </w:rPr>
            </w:pPr>
            <w:r w:rsidRPr="00EA4E28">
              <w:rPr>
                <w:rFonts w:cs="Arial"/>
                <w:sz w:val="22"/>
              </w:rPr>
              <w:t>3.3</w:t>
            </w:r>
          </w:p>
          <w:p w:rsidR="00EE4132" w:rsidRPr="00EA4E28" w:rsidRDefault="00EE4132" w:rsidP="007E31AD">
            <w:pPr>
              <w:tabs>
                <w:tab w:val="left" w:pos="709"/>
                <w:tab w:val="right" w:leader="dot" w:pos="9639"/>
              </w:tabs>
              <w:spacing w:before="40" w:after="40"/>
              <w:rPr>
                <w:rFonts w:cs="Arial"/>
                <w:sz w:val="22"/>
              </w:rPr>
            </w:pPr>
            <w:r w:rsidRPr="00EA4E28">
              <w:rPr>
                <w:rFonts w:cs="Arial"/>
                <w:sz w:val="22"/>
              </w:rPr>
              <w:t>3.4</w:t>
            </w:r>
          </w:p>
          <w:p w:rsidR="00EE4132" w:rsidRPr="00EA4E28" w:rsidRDefault="00EE4132" w:rsidP="007E31AD">
            <w:pPr>
              <w:tabs>
                <w:tab w:val="left" w:pos="709"/>
                <w:tab w:val="right" w:leader="dot" w:pos="9639"/>
              </w:tabs>
              <w:spacing w:before="40" w:after="40"/>
              <w:rPr>
                <w:rFonts w:cs="Arial"/>
                <w:sz w:val="22"/>
              </w:rPr>
            </w:pPr>
            <w:r w:rsidRPr="00EA4E28">
              <w:rPr>
                <w:rFonts w:cs="Arial"/>
                <w:sz w:val="22"/>
              </w:rPr>
              <w:t>3.5</w:t>
            </w:r>
          </w:p>
        </w:tc>
        <w:tc>
          <w:tcPr>
            <w:tcW w:w="7492" w:type="dxa"/>
            <w:shd w:val="clear" w:color="auto" w:fill="auto"/>
          </w:tcPr>
          <w:p w:rsidR="00EE4132" w:rsidRPr="00EA4E28" w:rsidRDefault="00EE4132" w:rsidP="007E31AD">
            <w:pPr>
              <w:tabs>
                <w:tab w:val="left" w:pos="229"/>
                <w:tab w:val="left" w:pos="709"/>
                <w:tab w:val="right" w:leader="dot" w:pos="9639"/>
              </w:tabs>
              <w:spacing w:before="40" w:after="40"/>
              <w:rPr>
                <w:rFonts w:cs="Arial"/>
                <w:sz w:val="22"/>
              </w:rPr>
            </w:pPr>
            <w:r w:rsidRPr="00EA4E28">
              <w:rPr>
                <w:rFonts w:cs="Arial"/>
                <w:sz w:val="22"/>
              </w:rPr>
              <w:t>Energia solare termica</w:t>
            </w:r>
          </w:p>
          <w:p w:rsidR="00EE4132" w:rsidRPr="00EA4E28" w:rsidRDefault="00EE4132" w:rsidP="007E31AD">
            <w:pPr>
              <w:tabs>
                <w:tab w:val="left" w:pos="229"/>
                <w:tab w:val="left" w:pos="709"/>
                <w:tab w:val="right" w:leader="dot" w:pos="9639"/>
              </w:tabs>
              <w:spacing w:before="40" w:after="40"/>
              <w:rPr>
                <w:rFonts w:cs="Arial"/>
                <w:sz w:val="22"/>
              </w:rPr>
            </w:pPr>
            <w:r w:rsidRPr="00EA4E28">
              <w:rPr>
                <w:rFonts w:cs="Arial"/>
                <w:sz w:val="22"/>
              </w:rPr>
              <w:t>Energia dal legno</w:t>
            </w:r>
          </w:p>
          <w:p w:rsidR="00EE4132" w:rsidRPr="00EA4E28" w:rsidRDefault="00EE4132" w:rsidP="007E31AD">
            <w:pPr>
              <w:tabs>
                <w:tab w:val="left" w:pos="229"/>
                <w:tab w:val="left" w:pos="709"/>
                <w:tab w:val="right" w:leader="dot" w:pos="9639"/>
              </w:tabs>
              <w:spacing w:before="40" w:after="40"/>
              <w:rPr>
                <w:rFonts w:cs="Arial"/>
                <w:sz w:val="22"/>
              </w:rPr>
            </w:pPr>
            <w:r w:rsidRPr="00EA4E28">
              <w:rPr>
                <w:rFonts w:cs="Arial"/>
                <w:sz w:val="22"/>
              </w:rPr>
              <w:t>Energia da biomassa vegetale</w:t>
            </w:r>
          </w:p>
          <w:p w:rsidR="00EE4132" w:rsidRPr="00EA4E28" w:rsidRDefault="00EE4132" w:rsidP="007E31AD">
            <w:pPr>
              <w:tabs>
                <w:tab w:val="left" w:pos="229"/>
                <w:tab w:val="left" w:pos="709"/>
                <w:tab w:val="right" w:leader="dot" w:pos="9639"/>
              </w:tabs>
              <w:spacing w:before="40" w:after="40"/>
              <w:rPr>
                <w:rFonts w:cs="Arial"/>
                <w:sz w:val="22"/>
              </w:rPr>
            </w:pPr>
            <w:r w:rsidRPr="00EA4E28">
              <w:rPr>
                <w:rFonts w:cs="Arial"/>
                <w:sz w:val="22"/>
              </w:rPr>
              <w:t>Pompe di calore di grande potenza</w:t>
            </w:r>
          </w:p>
          <w:p w:rsidR="00EE4132" w:rsidRPr="00EA4E28" w:rsidRDefault="00EE4132" w:rsidP="005C22B4">
            <w:pPr>
              <w:tabs>
                <w:tab w:val="left" w:pos="229"/>
                <w:tab w:val="left" w:pos="709"/>
                <w:tab w:val="right" w:leader="dot" w:pos="9639"/>
              </w:tabs>
              <w:spacing w:before="40" w:after="40"/>
              <w:rPr>
                <w:rFonts w:cs="Arial"/>
                <w:sz w:val="22"/>
              </w:rPr>
            </w:pPr>
            <w:r w:rsidRPr="00EA4E28">
              <w:rPr>
                <w:rFonts w:cs="Arial"/>
                <w:sz w:val="22"/>
              </w:rPr>
              <w:t xml:space="preserve">Conversione da riscaldamento elettrico </w:t>
            </w:r>
            <w:r w:rsidRPr="00EA4E28">
              <w:rPr>
                <w:rFonts w:cs="Arial"/>
                <w:sz w:val="22"/>
                <w:highlight w:val="yellow"/>
              </w:rPr>
              <w:t>o alimentato con olio combustibile</w:t>
            </w:r>
          </w:p>
        </w:tc>
        <w:tc>
          <w:tcPr>
            <w:tcW w:w="992" w:type="dxa"/>
            <w:shd w:val="clear" w:color="auto" w:fill="auto"/>
          </w:tcPr>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highlight w:val="yellow"/>
              </w:rPr>
              <w:t>2</w:t>
            </w:r>
          </w:p>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rPr>
              <w:t>4</w:t>
            </w:r>
          </w:p>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rPr>
              <w:t>0.5</w:t>
            </w:r>
          </w:p>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highlight w:val="yellow"/>
              </w:rPr>
              <w:t>0.5</w:t>
            </w:r>
          </w:p>
          <w:p w:rsidR="00EE4132" w:rsidRPr="00EA4E28" w:rsidRDefault="00EE4132" w:rsidP="007E31AD">
            <w:pPr>
              <w:tabs>
                <w:tab w:val="left" w:pos="709"/>
                <w:tab w:val="right" w:leader="dot" w:pos="9639"/>
              </w:tabs>
              <w:spacing w:before="40" w:after="40"/>
              <w:jc w:val="center"/>
              <w:rPr>
                <w:rFonts w:cs="Arial"/>
                <w:sz w:val="22"/>
              </w:rPr>
            </w:pPr>
            <w:r w:rsidRPr="00EA4E28">
              <w:rPr>
                <w:rFonts w:cs="Arial"/>
                <w:sz w:val="22"/>
                <w:highlight w:val="yellow"/>
              </w:rPr>
              <w:t>2</w:t>
            </w:r>
          </w:p>
        </w:tc>
      </w:tr>
      <w:tr w:rsidR="00EE4132" w:rsidRPr="00EA4E28" w:rsidTr="00EA4E28">
        <w:trPr>
          <w:trHeight w:val="237"/>
        </w:trPr>
        <w:tc>
          <w:tcPr>
            <w:tcW w:w="730" w:type="dxa"/>
            <w:shd w:val="clear" w:color="auto" w:fill="auto"/>
          </w:tcPr>
          <w:p w:rsidR="00EE4132" w:rsidRPr="00EA4E28" w:rsidRDefault="00EE4132" w:rsidP="007E31AD">
            <w:pPr>
              <w:tabs>
                <w:tab w:val="left" w:pos="229"/>
                <w:tab w:val="left" w:pos="709"/>
                <w:tab w:val="right" w:leader="dot" w:pos="9639"/>
              </w:tabs>
              <w:spacing w:before="20"/>
              <w:rPr>
                <w:rFonts w:cs="Arial"/>
                <w:i/>
                <w:sz w:val="22"/>
              </w:rPr>
            </w:pPr>
            <w:r w:rsidRPr="00EA4E28">
              <w:rPr>
                <w:rFonts w:cs="Arial"/>
                <w:i/>
                <w:sz w:val="22"/>
              </w:rPr>
              <w:t>4</w:t>
            </w:r>
          </w:p>
        </w:tc>
        <w:tc>
          <w:tcPr>
            <w:tcW w:w="7492" w:type="dxa"/>
            <w:shd w:val="clear" w:color="auto" w:fill="auto"/>
          </w:tcPr>
          <w:p w:rsidR="00EE4132" w:rsidRPr="00EA4E28" w:rsidRDefault="00EE4132" w:rsidP="007E31AD">
            <w:pPr>
              <w:tabs>
                <w:tab w:val="left" w:pos="229"/>
                <w:tab w:val="left" w:pos="709"/>
                <w:tab w:val="right" w:leader="dot" w:pos="9639"/>
              </w:tabs>
              <w:spacing w:before="20"/>
              <w:rPr>
                <w:rFonts w:cs="Arial"/>
                <w:i/>
                <w:sz w:val="22"/>
              </w:rPr>
            </w:pPr>
            <w:r w:rsidRPr="00EA4E28">
              <w:rPr>
                <w:rFonts w:cs="Arial"/>
                <w:i/>
                <w:sz w:val="22"/>
              </w:rPr>
              <w:t>Distribuzione di energia termica</w:t>
            </w:r>
          </w:p>
        </w:tc>
        <w:tc>
          <w:tcPr>
            <w:tcW w:w="992" w:type="dxa"/>
            <w:shd w:val="clear" w:color="auto" w:fill="auto"/>
          </w:tcPr>
          <w:p w:rsidR="00EE4132" w:rsidRPr="00EA4E28" w:rsidRDefault="00EE4132" w:rsidP="007E31AD">
            <w:pPr>
              <w:tabs>
                <w:tab w:val="left" w:pos="709"/>
                <w:tab w:val="right" w:leader="dot" w:pos="9639"/>
              </w:tabs>
              <w:spacing w:before="20"/>
              <w:jc w:val="center"/>
              <w:rPr>
                <w:rFonts w:cs="Arial"/>
                <w:b/>
                <w:i/>
                <w:sz w:val="22"/>
              </w:rPr>
            </w:pPr>
            <w:r w:rsidRPr="00EA4E28">
              <w:rPr>
                <w:rFonts w:cs="Arial"/>
                <w:b/>
                <w:i/>
                <w:sz w:val="22"/>
              </w:rPr>
              <w:t>4</w:t>
            </w:r>
          </w:p>
        </w:tc>
      </w:tr>
      <w:tr w:rsidR="00EE4132" w:rsidRPr="00EA4E28" w:rsidTr="005C22B4">
        <w:trPr>
          <w:cantSplit/>
        </w:trPr>
        <w:tc>
          <w:tcPr>
            <w:tcW w:w="730" w:type="dxa"/>
            <w:shd w:val="clear" w:color="auto" w:fill="auto"/>
          </w:tcPr>
          <w:p w:rsidR="00EE4132" w:rsidRPr="00EA4E28" w:rsidRDefault="00EE4132" w:rsidP="005C22B4">
            <w:pPr>
              <w:tabs>
                <w:tab w:val="left" w:pos="709"/>
                <w:tab w:val="right" w:leader="dot" w:pos="9639"/>
              </w:tabs>
              <w:spacing w:before="40" w:after="40"/>
              <w:rPr>
                <w:rFonts w:cs="Arial"/>
                <w:sz w:val="22"/>
              </w:rPr>
            </w:pPr>
            <w:r w:rsidRPr="00EA4E28">
              <w:rPr>
                <w:rFonts w:cs="Arial"/>
                <w:sz w:val="22"/>
              </w:rPr>
              <w:t>4.1</w:t>
            </w:r>
          </w:p>
        </w:tc>
        <w:tc>
          <w:tcPr>
            <w:tcW w:w="7492" w:type="dxa"/>
            <w:shd w:val="clear" w:color="auto" w:fill="auto"/>
          </w:tcPr>
          <w:p w:rsidR="00EE4132" w:rsidRPr="00EA4E28" w:rsidRDefault="00EE4132" w:rsidP="005C22B4">
            <w:pPr>
              <w:tabs>
                <w:tab w:val="left" w:pos="709"/>
                <w:tab w:val="right" w:leader="dot" w:pos="9639"/>
              </w:tabs>
              <w:spacing w:before="40" w:after="40"/>
              <w:rPr>
                <w:rFonts w:cs="Arial"/>
                <w:sz w:val="22"/>
              </w:rPr>
            </w:pPr>
            <w:r w:rsidRPr="00EA4E28">
              <w:rPr>
                <w:rFonts w:cs="Arial"/>
                <w:sz w:val="22"/>
              </w:rPr>
              <w:t>Reti di teleriscaldamento</w:t>
            </w:r>
          </w:p>
        </w:tc>
        <w:tc>
          <w:tcPr>
            <w:tcW w:w="992" w:type="dxa"/>
            <w:shd w:val="clear" w:color="auto" w:fill="auto"/>
          </w:tcPr>
          <w:p w:rsidR="00EE4132" w:rsidRPr="00EA4E28" w:rsidRDefault="00EE4132" w:rsidP="005C22B4">
            <w:pPr>
              <w:tabs>
                <w:tab w:val="left" w:pos="709"/>
                <w:tab w:val="right" w:leader="dot" w:pos="9639"/>
              </w:tabs>
              <w:spacing w:before="40" w:after="40"/>
              <w:jc w:val="center"/>
              <w:rPr>
                <w:rFonts w:cs="Arial"/>
                <w:sz w:val="22"/>
              </w:rPr>
            </w:pPr>
            <w:r w:rsidRPr="00EA4E28">
              <w:rPr>
                <w:rFonts w:cs="Arial"/>
                <w:sz w:val="22"/>
              </w:rPr>
              <w:t>4</w:t>
            </w:r>
          </w:p>
        </w:tc>
      </w:tr>
      <w:tr w:rsidR="00EE4132" w:rsidRPr="00EA4E28" w:rsidTr="00EA4E28">
        <w:trPr>
          <w:trHeight w:val="225"/>
        </w:trPr>
        <w:tc>
          <w:tcPr>
            <w:tcW w:w="730" w:type="dxa"/>
            <w:shd w:val="clear" w:color="auto" w:fill="auto"/>
          </w:tcPr>
          <w:p w:rsidR="00EE4132" w:rsidRPr="00EA4E28" w:rsidRDefault="00EE4132" w:rsidP="007E31AD">
            <w:pPr>
              <w:tabs>
                <w:tab w:val="left" w:pos="229"/>
                <w:tab w:val="left" w:pos="709"/>
                <w:tab w:val="right" w:leader="dot" w:pos="9639"/>
              </w:tabs>
              <w:spacing w:before="20"/>
              <w:rPr>
                <w:rFonts w:cs="Arial"/>
                <w:i/>
                <w:sz w:val="22"/>
              </w:rPr>
            </w:pPr>
            <w:r w:rsidRPr="00EA4E28">
              <w:rPr>
                <w:rFonts w:cs="Arial"/>
                <w:i/>
                <w:sz w:val="22"/>
              </w:rPr>
              <w:t>5</w:t>
            </w:r>
          </w:p>
        </w:tc>
        <w:tc>
          <w:tcPr>
            <w:tcW w:w="7492" w:type="dxa"/>
            <w:shd w:val="clear" w:color="auto" w:fill="auto"/>
          </w:tcPr>
          <w:p w:rsidR="00EE4132" w:rsidRPr="00EA4E28" w:rsidRDefault="00EE4132" w:rsidP="007E31AD">
            <w:pPr>
              <w:tabs>
                <w:tab w:val="left" w:pos="229"/>
                <w:tab w:val="left" w:pos="709"/>
                <w:tab w:val="right" w:leader="dot" w:pos="9639"/>
              </w:tabs>
              <w:spacing w:before="20"/>
              <w:rPr>
                <w:rFonts w:cs="Arial"/>
                <w:i/>
                <w:sz w:val="22"/>
              </w:rPr>
            </w:pPr>
            <w:r w:rsidRPr="00EA4E28">
              <w:rPr>
                <w:rFonts w:cs="Arial"/>
                <w:i/>
                <w:sz w:val="22"/>
              </w:rPr>
              <w:t>Informazione, sensibilizzazione, formazione, postformazione e consulenza</w:t>
            </w:r>
          </w:p>
        </w:tc>
        <w:tc>
          <w:tcPr>
            <w:tcW w:w="992" w:type="dxa"/>
            <w:shd w:val="clear" w:color="auto" w:fill="auto"/>
          </w:tcPr>
          <w:p w:rsidR="00EE4132" w:rsidRPr="00EA4E28" w:rsidRDefault="00EE4132" w:rsidP="007E31AD">
            <w:pPr>
              <w:tabs>
                <w:tab w:val="left" w:pos="709"/>
                <w:tab w:val="right" w:leader="dot" w:pos="9639"/>
              </w:tabs>
              <w:spacing w:before="20"/>
              <w:jc w:val="center"/>
              <w:rPr>
                <w:rFonts w:cs="Arial"/>
                <w:b/>
                <w:i/>
                <w:sz w:val="22"/>
              </w:rPr>
            </w:pPr>
            <w:r w:rsidRPr="00EA4E28">
              <w:rPr>
                <w:rFonts w:cs="Arial"/>
                <w:b/>
                <w:i/>
                <w:sz w:val="22"/>
              </w:rPr>
              <w:t>2.5</w:t>
            </w:r>
          </w:p>
        </w:tc>
      </w:tr>
      <w:tr w:rsidR="00EE4132" w:rsidRPr="00EA4E28" w:rsidTr="005C22B4">
        <w:trPr>
          <w:cantSplit/>
        </w:trPr>
        <w:tc>
          <w:tcPr>
            <w:tcW w:w="730" w:type="dxa"/>
            <w:shd w:val="clear" w:color="auto" w:fill="auto"/>
          </w:tcPr>
          <w:p w:rsidR="00EE4132" w:rsidRPr="00EA4E28" w:rsidRDefault="00EE4132" w:rsidP="007E31AD">
            <w:pPr>
              <w:tabs>
                <w:tab w:val="left" w:pos="709"/>
                <w:tab w:val="right" w:leader="dot" w:pos="9639"/>
              </w:tabs>
              <w:spacing w:before="40" w:after="40"/>
              <w:rPr>
                <w:rFonts w:cs="Arial"/>
                <w:sz w:val="22"/>
              </w:rPr>
            </w:pPr>
            <w:r w:rsidRPr="00EA4E28">
              <w:rPr>
                <w:rFonts w:cs="Arial"/>
                <w:sz w:val="22"/>
              </w:rPr>
              <w:t>5.1</w:t>
            </w:r>
          </w:p>
          <w:p w:rsidR="00EE4132" w:rsidRPr="00EA4E28" w:rsidRDefault="00EE4132" w:rsidP="005C22B4">
            <w:pPr>
              <w:tabs>
                <w:tab w:val="left" w:pos="709"/>
                <w:tab w:val="right" w:leader="dot" w:pos="9639"/>
              </w:tabs>
              <w:spacing w:before="40" w:after="40"/>
              <w:rPr>
                <w:rFonts w:cs="Arial"/>
                <w:sz w:val="22"/>
              </w:rPr>
            </w:pPr>
            <w:r w:rsidRPr="00EA4E28">
              <w:rPr>
                <w:rFonts w:cs="Arial"/>
                <w:sz w:val="22"/>
              </w:rPr>
              <w:t>5.2</w:t>
            </w:r>
          </w:p>
        </w:tc>
        <w:tc>
          <w:tcPr>
            <w:tcW w:w="7492" w:type="dxa"/>
            <w:shd w:val="clear" w:color="auto" w:fill="auto"/>
          </w:tcPr>
          <w:p w:rsidR="00EE4132" w:rsidRPr="00EA4E28" w:rsidRDefault="00EE4132" w:rsidP="007E31AD">
            <w:pPr>
              <w:tabs>
                <w:tab w:val="left" w:pos="709"/>
                <w:tab w:val="right" w:leader="dot" w:pos="9639"/>
              </w:tabs>
              <w:spacing w:before="40" w:after="40"/>
              <w:rPr>
                <w:rFonts w:cs="Arial"/>
                <w:sz w:val="22"/>
              </w:rPr>
            </w:pPr>
            <w:r w:rsidRPr="00EA4E28">
              <w:rPr>
                <w:rFonts w:cs="Arial"/>
                <w:sz w:val="22"/>
              </w:rPr>
              <w:t>Provvedimenti indiretti della politica energetica comunale</w:t>
            </w:r>
          </w:p>
          <w:p w:rsidR="00EE4132" w:rsidRPr="00EA4E28" w:rsidRDefault="00EE4132" w:rsidP="007E31AD">
            <w:pPr>
              <w:tabs>
                <w:tab w:val="left" w:pos="709"/>
                <w:tab w:val="right" w:leader="dot" w:pos="9639"/>
              </w:tabs>
              <w:spacing w:before="40" w:after="40"/>
              <w:rPr>
                <w:rFonts w:cs="Arial"/>
                <w:sz w:val="22"/>
              </w:rPr>
            </w:pPr>
            <w:r w:rsidRPr="00EA4E28">
              <w:rPr>
                <w:rFonts w:cs="Arial"/>
                <w:sz w:val="22"/>
              </w:rPr>
              <w:t xml:space="preserve">Mandato di prestazione a </w:t>
            </w:r>
            <w:proofErr w:type="spellStart"/>
            <w:r w:rsidRPr="00EA4E28">
              <w:rPr>
                <w:rFonts w:cs="Arial"/>
                <w:sz w:val="22"/>
              </w:rPr>
              <w:t>TicinoEnergia</w:t>
            </w:r>
            <w:proofErr w:type="spellEnd"/>
          </w:p>
        </w:tc>
        <w:tc>
          <w:tcPr>
            <w:tcW w:w="992" w:type="dxa"/>
            <w:shd w:val="clear" w:color="auto" w:fill="auto"/>
          </w:tcPr>
          <w:p w:rsidR="00EE4132" w:rsidRPr="00EA4E28" w:rsidRDefault="00EE4132" w:rsidP="007E31AD">
            <w:pPr>
              <w:tabs>
                <w:tab w:val="left" w:pos="709"/>
                <w:tab w:val="right" w:leader="dot" w:pos="9639"/>
              </w:tabs>
              <w:spacing w:before="40" w:after="60"/>
              <w:jc w:val="center"/>
              <w:rPr>
                <w:rFonts w:cs="Arial"/>
                <w:sz w:val="22"/>
              </w:rPr>
            </w:pPr>
            <w:r w:rsidRPr="00EA4E28">
              <w:rPr>
                <w:rFonts w:cs="Arial"/>
                <w:sz w:val="22"/>
                <w:highlight w:val="yellow"/>
              </w:rPr>
              <w:t>0.5</w:t>
            </w:r>
          </w:p>
          <w:p w:rsidR="00EE4132" w:rsidRPr="00EA4E28" w:rsidRDefault="00EE4132" w:rsidP="007E31AD">
            <w:pPr>
              <w:tabs>
                <w:tab w:val="left" w:pos="709"/>
                <w:tab w:val="right" w:leader="dot" w:pos="9639"/>
              </w:tabs>
              <w:spacing w:before="40" w:after="60"/>
              <w:jc w:val="center"/>
              <w:rPr>
                <w:rFonts w:cs="Arial"/>
                <w:sz w:val="22"/>
              </w:rPr>
            </w:pPr>
            <w:r w:rsidRPr="00EA4E28">
              <w:rPr>
                <w:rFonts w:cs="Arial"/>
                <w:sz w:val="22"/>
              </w:rPr>
              <w:t>2</w:t>
            </w:r>
          </w:p>
        </w:tc>
      </w:tr>
      <w:tr w:rsidR="00EE4132" w:rsidRPr="00EA4E28" w:rsidTr="00EA4E28">
        <w:trPr>
          <w:trHeight w:val="225"/>
        </w:trPr>
        <w:tc>
          <w:tcPr>
            <w:tcW w:w="730" w:type="dxa"/>
            <w:shd w:val="clear" w:color="auto" w:fill="999999"/>
          </w:tcPr>
          <w:p w:rsidR="00EE4132" w:rsidRPr="00EA4E28" w:rsidRDefault="00EE4132" w:rsidP="005C22B4">
            <w:pPr>
              <w:tabs>
                <w:tab w:val="left" w:pos="709"/>
                <w:tab w:val="right" w:leader="dot" w:pos="9639"/>
              </w:tabs>
              <w:spacing w:before="40" w:after="40"/>
              <w:rPr>
                <w:rFonts w:cs="Arial"/>
                <w:i/>
                <w:sz w:val="22"/>
              </w:rPr>
            </w:pPr>
          </w:p>
        </w:tc>
        <w:tc>
          <w:tcPr>
            <w:tcW w:w="7492" w:type="dxa"/>
            <w:shd w:val="clear" w:color="auto" w:fill="999999"/>
          </w:tcPr>
          <w:p w:rsidR="00EE4132" w:rsidRPr="00EA4E28" w:rsidRDefault="00EE4132" w:rsidP="005C22B4">
            <w:pPr>
              <w:tabs>
                <w:tab w:val="left" w:pos="709"/>
                <w:tab w:val="right" w:leader="dot" w:pos="9639"/>
              </w:tabs>
              <w:spacing w:before="40" w:after="40"/>
              <w:rPr>
                <w:rFonts w:cs="Arial"/>
                <w:b/>
                <w:i/>
                <w:sz w:val="22"/>
              </w:rPr>
            </w:pPr>
            <w:r w:rsidRPr="00EA4E28">
              <w:rPr>
                <w:rFonts w:cs="Arial"/>
                <w:b/>
                <w:i/>
                <w:sz w:val="22"/>
              </w:rPr>
              <w:t>Totale</w:t>
            </w:r>
          </w:p>
        </w:tc>
        <w:tc>
          <w:tcPr>
            <w:tcW w:w="992" w:type="dxa"/>
            <w:shd w:val="clear" w:color="auto" w:fill="999999"/>
          </w:tcPr>
          <w:p w:rsidR="00EE4132" w:rsidRPr="00EA4E28" w:rsidRDefault="00EE4132" w:rsidP="005C22B4">
            <w:pPr>
              <w:tabs>
                <w:tab w:val="left" w:pos="709"/>
                <w:tab w:val="right" w:leader="dot" w:pos="9639"/>
              </w:tabs>
              <w:spacing w:before="40" w:after="40"/>
              <w:jc w:val="center"/>
              <w:rPr>
                <w:rFonts w:cs="Arial"/>
                <w:b/>
                <w:i/>
                <w:sz w:val="22"/>
              </w:rPr>
            </w:pPr>
            <w:r w:rsidRPr="00EA4E28">
              <w:rPr>
                <w:rFonts w:cs="Arial"/>
                <w:b/>
                <w:i/>
                <w:sz w:val="22"/>
              </w:rPr>
              <w:t>70.0</w:t>
            </w:r>
          </w:p>
        </w:tc>
      </w:tr>
    </w:tbl>
    <w:p w:rsidR="00EE4132" w:rsidRDefault="00EE4132" w:rsidP="00EE4132">
      <w:pPr>
        <w:ind w:left="426" w:hanging="426"/>
        <w:rPr>
          <w:sz w:val="20"/>
        </w:rPr>
      </w:pPr>
    </w:p>
    <w:p w:rsidR="00EE4132" w:rsidRPr="00D97156" w:rsidRDefault="00EE4132" w:rsidP="00EE4132">
      <w:pPr>
        <w:ind w:left="426" w:hanging="426"/>
        <w:rPr>
          <w:rFonts w:cs="Arial"/>
          <w:sz w:val="20"/>
        </w:rPr>
      </w:pPr>
      <w:r w:rsidRPr="00D97156">
        <w:rPr>
          <w:rFonts w:cs="Arial"/>
          <w:sz w:val="20"/>
        </w:rPr>
        <w:t>(*)</w:t>
      </w:r>
      <w:r w:rsidRPr="00D97156">
        <w:rPr>
          <w:rFonts w:cs="Arial"/>
          <w:sz w:val="20"/>
        </w:rPr>
        <w:tab/>
      </w:r>
      <w:r w:rsidRPr="00D97156">
        <w:rPr>
          <w:rFonts w:cs="Arial"/>
          <w:i/>
          <w:sz w:val="20"/>
        </w:rPr>
        <w:t>La Confederazione riverserà al Cantone, in forma di contributo globale, la quota parte del credito riservato al risanamento energetico dell’involucro che verrà effettivamente utilizzato</w:t>
      </w:r>
    </w:p>
    <w:p w:rsidR="00EE4132" w:rsidRDefault="00EE4132" w:rsidP="00EE4132"/>
    <w:p w:rsidR="00005668" w:rsidRDefault="00005668" w:rsidP="00EE4132"/>
    <w:p w:rsidR="00EE4132" w:rsidRDefault="00EE4132" w:rsidP="00EE4132">
      <w:r>
        <w:t>In giallo sono evidenziate quelle posizioni che differiscono rispetto alla proposta fatta dal Consiglio di Stato nel suo messaggio n. 7091.</w:t>
      </w:r>
    </w:p>
    <w:p w:rsidR="00EE4132" w:rsidRDefault="00EE4132" w:rsidP="00EE4132"/>
    <w:p w:rsidR="00EE4132" w:rsidRDefault="00EE4132" w:rsidP="00EE4132">
      <w:r>
        <w:t>La nuova ripartizione è divenuta effettiva dopo la pubblicazione del relativo decreto esecutivo del Consiglio di Stato pubblicato sul Bollettino ufficiale delle Leggi il 29 aprile 2016.</w:t>
      </w:r>
    </w:p>
    <w:p w:rsidR="00EE4132" w:rsidRDefault="00EE4132" w:rsidP="00EE4132"/>
    <w:p w:rsidR="00005668" w:rsidRDefault="00005668" w:rsidP="00EE4132"/>
    <w:p w:rsidR="00EE4132" w:rsidRDefault="00EE4132" w:rsidP="00EE4132">
      <w:r>
        <w:t>La Commissione speciale energia ha preso atto delle modifiche apportate rispetto alla proposta contenuta nel messaggio 7091, chiedendo spiegazioni in merito al Consiglio di Stato, che così possono essere riassunte:</w:t>
      </w:r>
    </w:p>
    <w:p w:rsidR="00EE4132" w:rsidRPr="00A80272" w:rsidRDefault="00EE4132" w:rsidP="00EE4132">
      <w:pPr>
        <w:pStyle w:val="Paragrafoelenco"/>
        <w:numPr>
          <w:ilvl w:val="0"/>
          <w:numId w:val="7"/>
        </w:numPr>
        <w:spacing w:before="120"/>
        <w:ind w:left="284" w:hanging="284"/>
        <w:rPr>
          <w:rFonts w:cs="Arial"/>
          <w:szCs w:val="24"/>
        </w:rPr>
      </w:pPr>
      <w:r w:rsidRPr="00A80272">
        <w:rPr>
          <w:rFonts w:cs="Arial"/>
          <w:szCs w:val="24"/>
        </w:rPr>
        <w:t>Per l’</w:t>
      </w:r>
      <w:r w:rsidRPr="00A80272">
        <w:rPr>
          <w:rFonts w:cs="Arial"/>
          <w:b/>
          <w:bCs/>
          <w:szCs w:val="24"/>
        </w:rPr>
        <w:t>efficienza energetica</w:t>
      </w:r>
      <w:r w:rsidRPr="00A80272">
        <w:rPr>
          <w:rFonts w:cs="Arial"/>
          <w:szCs w:val="24"/>
        </w:rPr>
        <w:t xml:space="preserve"> si è passati da 11.5 Mio CHF a 10.5 Mio CHF per il risanamento di edifici e da 2.5. Mio CHF a 3.5 Mio CHF per nuovi edifici (</w:t>
      </w:r>
      <w:r w:rsidRPr="00A80272">
        <w:rPr>
          <w:rFonts w:cs="Arial"/>
          <w:i/>
          <w:iCs/>
          <w:szCs w:val="24"/>
        </w:rPr>
        <w:t>nuovo</w:t>
      </w:r>
      <w:r w:rsidRPr="00A80272">
        <w:rPr>
          <w:rFonts w:cs="Arial"/>
          <w:szCs w:val="24"/>
        </w:rPr>
        <w:t xml:space="preserve"> : con Standard </w:t>
      </w:r>
      <w:proofErr w:type="spellStart"/>
      <w:r w:rsidRPr="00A80272">
        <w:rPr>
          <w:rFonts w:cs="Arial"/>
          <w:szCs w:val="24"/>
        </w:rPr>
        <w:t>Minergie</w:t>
      </w:r>
      <w:proofErr w:type="spellEnd"/>
      <w:r w:rsidRPr="00A80272">
        <w:rPr>
          <w:rFonts w:cs="Arial"/>
          <w:szCs w:val="24"/>
        </w:rPr>
        <w:t xml:space="preserve">-P o </w:t>
      </w:r>
      <w:proofErr w:type="spellStart"/>
      <w:r w:rsidRPr="00A80272">
        <w:rPr>
          <w:rFonts w:cs="Arial"/>
          <w:szCs w:val="24"/>
        </w:rPr>
        <w:t>Minerge</w:t>
      </w:r>
      <w:proofErr w:type="spellEnd"/>
      <w:r w:rsidRPr="00A80272">
        <w:rPr>
          <w:rFonts w:cs="Arial"/>
          <w:szCs w:val="24"/>
        </w:rPr>
        <w:t>-A). In questo gruppo è stato inoltre inserito il tema relativo ai “Processi industriali, commercio e servizi”, diminuito però di 0.5 Mio CHF</w:t>
      </w:r>
      <w:r>
        <w:rPr>
          <w:rFonts w:cs="Arial"/>
          <w:szCs w:val="24"/>
        </w:rPr>
        <w:t xml:space="preserve">, che nella proposta iniziale era inserito in </w:t>
      </w:r>
      <w:r w:rsidRPr="002134D3">
        <w:rPr>
          <w:rFonts w:cs="Arial"/>
          <w:szCs w:val="24"/>
        </w:rPr>
        <w:t>“</w:t>
      </w:r>
      <w:r w:rsidRPr="002134D3">
        <w:rPr>
          <w:rFonts w:cs="Arial"/>
          <w:bCs/>
          <w:szCs w:val="24"/>
        </w:rPr>
        <w:t xml:space="preserve">Informazione, sensibilizzazione, </w:t>
      </w:r>
      <w:r w:rsidRPr="002134D3">
        <w:rPr>
          <w:rFonts w:cs="Arial"/>
          <w:szCs w:val="24"/>
        </w:rPr>
        <w:t>formazione, postformazione e consulenza</w:t>
      </w:r>
      <w:r w:rsidRPr="002134D3">
        <w:rPr>
          <w:rFonts w:cs="Arial"/>
          <w:i/>
        </w:rPr>
        <w:t>”</w:t>
      </w:r>
      <w:r w:rsidRPr="002134D3">
        <w:rPr>
          <w:rFonts w:cs="Arial"/>
          <w:szCs w:val="24"/>
        </w:rPr>
        <w:t>.</w:t>
      </w:r>
      <w:r w:rsidRPr="00A80272">
        <w:rPr>
          <w:rFonts w:cs="Arial"/>
          <w:szCs w:val="24"/>
        </w:rPr>
        <w:t xml:space="preserve"> </w:t>
      </w:r>
    </w:p>
    <w:p w:rsidR="00EE4132" w:rsidRPr="00A80272" w:rsidRDefault="00EE4132" w:rsidP="00EE4132">
      <w:pPr>
        <w:pStyle w:val="Paragrafoelenco"/>
        <w:numPr>
          <w:ilvl w:val="0"/>
          <w:numId w:val="7"/>
        </w:numPr>
        <w:spacing w:before="120"/>
        <w:ind w:left="284" w:hanging="284"/>
        <w:rPr>
          <w:rFonts w:cs="Arial"/>
          <w:szCs w:val="24"/>
        </w:rPr>
      </w:pPr>
      <w:r w:rsidRPr="00A80272">
        <w:rPr>
          <w:rFonts w:cs="Arial"/>
          <w:szCs w:val="24"/>
        </w:rPr>
        <w:lastRenderedPageBreak/>
        <w:t>Per la “</w:t>
      </w:r>
      <w:r w:rsidRPr="00A80272">
        <w:rPr>
          <w:rFonts w:cs="Arial"/>
          <w:b/>
          <w:bCs/>
          <w:szCs w:val="24"/>
        </w:rPr>
        <w:t>Produzione di energia termica da fonti rinnovabili</w:t>
      </w:r>
      <w:r w:rsidRPr="00A80272">
        <w:rPr>
          <w:rFonts w:cs="Arial"/>
          <w:szCs w:val="24"/>
        </w:rPr>
        <w:t>” si riscontrano le seguenti modifiche:</w:t>
      </w:r>
    </w:p>
    <w:p w:rsidR="00EE4132" w:rsidRPr="00A80272" w:rsidRDefault="00EE4132" w:rsidP="00EE4132">
      <w:pPr>
        <w:pStyle w:val="Paragrafoelenco"/>
        <w:numPr>
          <w:ilvl w:val="0"/>
          <w:numId w:val="8"/>
        </w:numPr>
        <w:spacing w:before="40"/>
        <w:ind w:left="568" w:hanging="284"/>
        <w:rPr>
          <w:rFonts w:cs="Arial"/>
          <w:szCs w:val="24"/>
        </w:rPr>
      </w:pPr>
      <w:r w:rsidRPr="00A80272">
        <w:rPr>
          <w:rFonts w:cs="Arial"/>
          <w:szCs w:val="24"/>
        </w:rPr>
        <w:t xml:space="preserve">Energia solare termica -&gt; da 3 Mio CHF a 2 Mio CHF </w:t>
      </w:r>
    </w:p>
    <w:p w:rsidR="00EE4132" w:rsidRPr="00A80272" w:rsidRDefault="00EE4132" w:rsidP="00EE4132">
      <w:pPr>
        <w:pStyle w:val="Paragrafoelenco"/>
        <w:numPr>
          <w:ilvl w:val="0"/>
          <w:numId w:val="8"/>
        </w:numPr>
        <w:spacing w:before="40"/>
        <w:ind w:left="568" w:hanging="284"/>
        <w:rPr>
          <w:rFonts w:cs="Arial"/>
          <w:szCs w:val="24"/>
        </w:rPr>
      </w:pPr>
      <w:r w:rsidRPr="00A80272">
        <w:rPr>
          <w:rFonts w:cs="Arial"/>
          <w:szCs w:val="24"/>
        </w:rPr>
        <w:t xml:space="preserve">Pompe di calore di grande potenza -&gt; </w:t>
      </w:r>
      <w:r w:rsidRPr="002134D3">
        <w:rPr>
          <w:rFonts w:cs="Arial"/>
          <w:i/>
          <w:szCs w:val="24"/>
        </w:rPr>
        <w:t>nuovo</w:t>
      </w:r>
      <w:r w:rsidRPr="00A80272">
        <w:rPr>
          <w:rFonts w:cs="Arial"/>
          <w:szCs w:val="24"/>
        </w:rPr>
        <w:t xml:space="preserve"> a 0.5 Mio CHF</w:t>
      </w:r>
    </w:p>
    <w:p w:rsidR="00EE4132" w:rsidRPr="00A80272" w:rsidRDefault="00EE4132" w:rsidP="00EE4132">
      <w:pPr>
        <w:pStyle w:val="Paragrafoelenco"/>
        <w:numPr>
          <w:ilvl w:val="0"/>
          <w:numId w:val="8"/>
        </w:numPr>
        <w:spacing w:before="40"/>
        <w:ind w:left="568" w:hanging="284"/>
        <w:rPr>
          <w:rFonts w:cs="Arial"/>
          <w:szCs w:val="24"/>
        </w:rPr>
      </w:pPr>
      <w:r w:rsidRPr="00A80272">
        <w:rPr>
          <w:rFonts w:cs="Arial"/>
          <w:szCs w:val="24"/>
        </w:rPr>
        <w:t>Conversione da riscaldamento elettrico o alimentato con olio combustibile -&gt; da 0.5 Mio CHF a 2 Mio CHF (in questo caso sono state tenute in considerazione le raccomandazioni contenute nel rapporto della Commissione speciale energia</w:t>
      </w:r>
      <w:r>
        <w:rPr>
          <w:rFonts w:cs="Arial"/>
          <w:szCs w:val="24"/>
        </w:rPr>
        <w:t xml:space="preserve"> al messaggio n. 7091</w:t>
      </w:r>
      <w:r w:rsidRPr="00A80272">
        <w:rPr>
          <w:rFonts w:cs="Arial"/>
          <w:szCs w:val="24"/>
        </w:rPr>
        <w:t>)</w:t>
      </w:r>
    </w:p>
    <w:p w:rsidR="00EE4132" w:rsidRPr="00A80272" w:rsidRDefault="00EE4132" w:rsidP="00EE4132">
      <w:pPr>
        <w:pStyle w:val="Paragrafoelenco"/>
        <w:numPr>
          <w:ilvl w:val="0"/>
          <w:numId w:val="8"/>
        </w:numPr>
        <w:spacing w:before="40"/>
        <w:ind w:left="568" w:hanging="284"/>
        <w:rPr>
          <w:rFonts w:cs="Arial"/>
          <w:szCs w:val="24"/>
        </w:rPr>
      </w:pPr>
      <w:r>
        <w:rPr>
          <w:rFonts w:cs="Arial"/>
          <w:szCs w:val="24"/>
        </w:rPr>
        <w:t>A</w:t>
      </w:r>
      <w:r w:rsidRPr="00A80272">
        <w:rPr>
          <w:rFonts w:cs="Arial"/>
          <w:szCs w:val="24"/>
        </w:rPr>
        <w:t>l capitolo “</w:t>
      </w:r>
      <w:r w:rsidRPr="00A80272">
        <w:rPr>
          <w:rFonts w:cs="Arial"/>
          <w:b/>
          <w:bCs/>
          <w:szCs w:val="24"/>
        </w:rPr>
        <w:t xml:space="preserve">Informazione, sensibilizzazione, </w:t>
      </w:r>
      <w:r w:rsidRPr="00A80272">
        <w:rPr>
          <w:rFonts w:cs="Arial"/>
          <w:b/>
          <w:szCs w:val="24"/>
        </w:rPr>
        <w:t>formazione, postformazione e consulenza</w:t>
      </w:r>
      <w:r w:rsidRPr="00A80272">
        <w:rPr>
          <w:rFonts w:cs="Arial"/>
          <w:i/>
        </w:rPr>
        <w:t>”</w:t>
      </w:r>
      <w:r w:rsidRPr="00A80272">
        <w:rPr>
          <w:rFonts w:cs="Arial"/>
          <w:szCs w:val="24"/>
        </w:rPr>
        <w:t xml:space="preserve"> sono stati diminuiti i contributi per i provvedimenti indiretti della politica energetica comunale (da 1 Mio CHF a 0.5 Mio CHF).</w:t>
      </w:r>
    </w:p>
    <w:p w:rsidR="00EE4132" w:rsidRDefault="00EE4132" w:rsidP="00EE4132"/>
    <w:p w:rsidR="00EE4132" w:rsidRDefault="00EE4132" w:rsidP="00EE4132"/>
    <w:p w:rsidR="00EE4132" w:rsidRPr="00075437" w:rsidRDefault="00EE4132" w:rsidP="00EE4132">
      <w:pPr>
        <w:pStyle w:val="Paragrafoelenco"/>
        <w:numPr>
          <w:ilvl w:val="0"/>
          <w:numId w:val="5"/>
        </w:numPr>
        <w:spacing w:after="60"/>
        <w:ind w:left="567" w:hanging="567"/>
        <w:contextualSpacing/>
        <w:rPr>
          <w:rFonts w:cs="Arial"/>
          <w:b/>
          <w:szCs w:val="24"/>
        </w:rPr>
      </w:pPr>
      <w:r>
        <w:rPr>
          <w:rFonts w:cs="Arial"/>
          <w:b/>
          <w:szCs w:val="24"/>
        </w:rPr>
        <w:t>IL CREDITO FEDERALE</w:t>
      </w:r>
    </w:p>
    <w:p w:rsidR="00EE4132" w:rsidRDefault="00EE4132" w:rsidP="00EE4132">
      <w:r>
        <w:t>A partire dal 1° gennaio 2017 i fondi con destinazione vincolata agli aiuti finanziari per la riduzione delle emissioni di CO</w:t>
      </w:r>
      <w:r w:rsidRPr="001B59FE">
        <w:rPr>
          <w:vertAlign w:val="subscript"/>
        </w:rPr>
        <w:t>2</w:t>
      </w:r>
      <w:r>
        <w:t xml:space="preserve"> degli edifici, provenienti dagli introiti della tassa sul CO</w:t>
      </w:r>
      <w:r w:rsidRPr="001B59FE">
        <w:rPr>
          <w:vertAlign w:val="subscript"/>
        </w:rPr>
        <w:t>2</w:t>
      </w:r>
      <w:r>
        <w:t>, verranno distribuiti ai singoli Cantoni sotto forma di contributi globali.</w:t>
      </w:r>
    </w:p>
    <w:p w:rsidR="00EE4132" w:rsidRDefault="00EE4132" w:rsidP="00EE4132"/>
    <w:p w:rsidR="00EE4132" w:rsidRDefault="00EE4132" w:rsidP="00EE4132">
      <w:r>
        <w:t>Per il risanamento dell’involucro degli edifici quindi, a livello cantonale si dovranno gestire, su quattro anni, i CHF 40 Mio provenienti dal programma della Confederazione. Al Cantone non deriveranno oneri supplementari e l’integrazione del PE nell’attuale programma cantonale di incentivi sarà neutra sia dal profilo degli investimenti che da quello della gestione corrente, ciò per il fatto che i Cantoni saranno indennizzati per le spese di esecuzione con un importo forfettario annuo pari al 5% dell’importo stabilito quale contributo globale</w:t>
      </w:r>
      <w:r w:rsidRPr="004300D9">
        <w:t>, quindi 2 Mio</w:t>
      </w:r>
      <w:r>
        <w:t xml:space="preserve"> di franchi su quattro anni</w:t>
      </w:r>
      <w:r w:rsidRPr="004300D9">
        <w:t>.</w:t>
      </w:r>
    </w:p>
    <w:p w:rsidR="00EE4132" w:rsidRDefault="00EE4132" w:rsidP="00EE4132"/>
    <w:p w:rsidR="00EE4132" w:rsidRDefault="00EE4132" w:rsidP="00EE4132"/>
    <w:p w:rsidR="00EE4132" w:rsidRPr="00075437" w:rsidRDefault="00EE4132" w:rsidP="00EE4132">
      <w:pPr>
        <w:pStyle w:val="Paragrafoelenco"/>
        <w:numPr>
          <w:ilvl w:val="0"/>
          <w:numId w:val="5"/>
        </w:numPr>
        <w:spacing w:after="60"/>
        <w:ind w:left="567" w:hanging="567"/>
        <w:contextualSpacing/>
        <w:rPr>
          <w:rFonts w:cs="Arial"/>
          <w:b/>
          <w:szCs w:val="24"/>
        </w:rPr>
      </w:pPr>
      <w:r>
        <w:rPr>
          <w:rFonts w:cs="Arial"/>
          <w:b/>
          <w:szCs w:val="24"/>
        </w:rPr>
        <w:t>CONSEGUENZE PER IL CANTONE</w:t>
      </w:r>
    </w:p>
    <w:p w:rsidR="00EE4132" w:rsidRDefault="00EE4132" w:rsidP="00EE4132">
      <w:r>
        <w:t>A livello di organico non si prevede nessuna modifica in quanto il Cantone dispone già di un’agenzia presso l’UACER per la gestione tecnica e amministrativa di questi finanziamenti. Su questo aspetto la Speciale commissione energia non nasconde le sue perplessità. In effetti, nel suo messaggio n. 7201 il Consiglio di Stato spiega che “</w:t>
      </w:r>
      <w:r w:rsidRPr="0051519A">
        <w:t xml:space="preserve">Grazie all’esistenza nel nostro Cantone di un’agenzia locale in seno all’UACER, l’integrazione dell’attuale parte A del PE nel programma promozionale cantonale </w:t>
      </w:r>
      <w:r w:rsidRPr="0051519A">
        <w:rPr>
          <w:i/>
          <w:u w:val="single"/>
        </w:rPr>
        <w:t>non rende necessario un aumento dell’organico per la gestione delle richieste</w:t>
      </w:r>
      <w:r w:rsidRPr="0051519A">
        <w:t>”</w:t>
      </w:r>
      <w:r>
        <w:t>. Su questa base è lecito chiedersi se l’organico finora preposto alla gestione del programma promozionale cantonale non fosse sovradimensionato. Inoltre, qualora non fosse necessario un potenziamento dell’organizzazione, la Speciale commissione energia chiede al Consiglio di Stato dove verrà allocato il contributo forfettario del 5% quale indennizzo per le spese di esecuzione.</w:t>
      </w:r>
    </w:p>
    <w:p w:rsidR="00EE4132" w:rsidRDefault="00EE4132" w:rsidP="00EE4132"/>
    <w:p w:rsidR="00EE4132" w:rsidRDefault="00EE4132" w:rsidP="00EE4132">
      <w:r>
        <w:t>Dal punto di vista degli incentivi, le aliquote della parte A del Programma Edifici dovranno essere adeguate a quanto previsto dall’aggiornamento del modello armonizzato dei Cantoni, passando da 30.- a 40.- CHF al metro</w:t>
      </w:r>
      <w:r w:rsidRPr="001B59FE">
        <w:rPr>
          <w:vertAlign w:val="superscript"/>
        </w:rPr>
        <w:t>2</w:t>
      </w:r>
      <w:r>
        <w:t xml:space="preserve"> per il risanamento di facciate, tetti, muri e pavimenti contro terra.</w:t>
      </w:r>
    </w:p>
    <w:p w:rsidR="00EE4132" w:rsidRDefault="00EE4132" w:rsidP="00EE4132">
      <w:r>
        <w:t>Su questa base il credito è stimato a 40 mio CHF su 4 anni, credito che tuttavia potrà essere definito solo a consuntivo, in quanto elargito secondo l’effettivo volume di incentivi erogato.</w:t>
      </w:r>
    </w:p>
    <w:p w:rsidR="00EE4132" w:rsidRDefault="00EE4132" w:rsidP="00EE4132"/>
    <w:p w:rsidR="00EE4132" w:rsidRDefault="00EE4132" w:rsidP="00EE4132"/>
    <w:p w:rsidR="00005668" w:rsidRDefault="00005668">
      <w:pPr>
        <w:rPr>
          <w:rFonts w:cs="Arial"/>
          <w:b/>
          <w:szCs w:val="24"/>
        </w:rPr>
      </w:pPr>
      <w:r>
        <w:rPr>
          <w:rFonts w:cs="Arial"/>
          <w:b/>
          <w:szCs w:val="24"/>
        </w:rPr>
        <w:br w:type="page"/>
      </w:r>
    </w:p>
    <w:p w:rsidR="00EE4132" w:rsidRPr="00075437" w:rsidRDefault="00EE4132" w:rsidP="00EE4132">
      <w:pPr>
        <w:pStyle w:val="Paragrafoelenco"/>
        <w:numPr>
          <w:ilvl w:val="0"/>
          <w:numId w:val="5"/>
        </w:numPr>
        <w:spacing w:after="60"/>
        <w:ind w:left="567" w:hanging="567"/>
        <w:contextualSpacing/>
        <w:rPr>
          <w:rFonts w:cs="Arial"/>
          <w:b/>
          <w:szCs w:val="24"/>
        </w:rPr>
      </w:pPr>
      <w:r>
        <w:rPr>
          <w:rFonts w:cs="Arial"/>
          <w:b/>
          <w:szCs w:val="24"/>
        </w:rPr>
        <w:lastRenderedPageBreak/>
        <w:t>DURATA DEL CREDITO QUADRO E STRATEGIE FUTURE</w:t>
      </w:r>
    </w:p>
    <w:p w:rsidR="00EE4132" w:rsidRDefault="00EE4132" w:rsidP="00EE4132">
      <w:r>
        <w:t>L’erogazione degli incentivi del presente credito quadro è prevista fino al 31.12.2020, data questa che potrebbe costituire un punto di svolta nell’attuazione della politica energetica federale, e conseguentemente di quella cantonale.</w:t>
      </w:r>
    </w:p>
    <w:p w:rsidR="00EE4132" w:rsidRDefault="00EE4132" w:rsidP="00EE4132">
      <w:r>
        <w:t>Con la seconda fase della Strategia energetica 2050, il Consiglio Federale ha infatti presentato un pacchetto che prevede dei programmi di incentivi attraverso tasse sull’energia e sulle emissioni di CO</w:t>
      </w:r>
      <w:r w:rsidRPr="00380E3A">
        <w:rPr>
          <w:vertAlign w:val="subscript"/>
        </w:rPr>
        <w:t>2</w:t>
      </w:r>
      <w:r>
        <w:t>, al quale il Cantone si dovrà allineare.</w:t>
      </w:r>
    </w:p>
    <w:p w:rsidR="00EE4132" w:rsidRDefault="00EE4132" w:rsidP="00EE4132"/>
    <w:p w:rsidR="00EE4132" w:rsidRDefault="00EE4132" w:rsidP="00EE4132"/>
    <w:p w:rsidR="00EE4132" w:rsidRPr="00075437" w:rsidRDefault="00EE4132" w:rsidP="00EE4132">
      <w:pPr>
        <w:pStyle w:val="Paragrafoelenco"/>
        <w:numPr>
          <w:ilvl w:val="0"/>
          <w:numId w:val="5"/>
        </w:numPr>
        <w:spacing w:after="60"/>
        <w:ind w:left="567" w:hanging="567"/>
        <w:contextualSpacing/>
        <w:rPr>
          <w:rFonts w:cs="Arial"/>
          <w:b/>
          <w:szCs w:val="24"/>
        </w:rPr>
      </w:pPr>
      <w:r>
        <w:rPr>
          <w:rFonts w:cs="Arial"/>
          <w:b/>
          <w:szCs w:val="24"/>
        </w:rPr>
        <w:t>CONCLUSIONI</w:t>
      </w:r>
    </w:p>
    <w:p w:rsidR="00EE4132" w:rsidRPr="00075437" w:rsidRDefault="00EE4132" w:rsidP="00EE4132">
      <w:r>
        <w:t>La modifica dell’ordinanza sul CO</w:t>
      </w:r>
      <w:r w:rsidRPr="00380E3A">
        <w:rPr>
          <w:vertAlign w:val="subscript"/>
        </w:rPr>
        <w:t>2</w:t>
      </w:r>
      <w:r>
        <w:t>, entrata in vigore il 1° agosto 2016, implica de facto l’integrazione del programma di incentivi federale in quello cantonale e c</w:t>
      </w:r>
      <w:r w:rsidRPr="00075437">
        <w:t xml:space="preserve">on le considerazioni espresse nel rapporto, la Commissione speciale energia invita il Gran Consiglio ad approvare il </w:t>
      </w:r>
      <w:r>
        <w:t>messaggio</w:t>
      </w:r>
      <w:r w:rsidRPr="00075437">
        <w:t xml:space="preserve"> 7</w:t>
      </w:r>
      <w:r>
        <w:t>201</w:t>
      </w:r>
      <w:r w:rsidRPr="00075437">
        <w:t xml:space="preserve"> del Consiglio di Stato.</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00EE4132">
        <w:rPr>
          <w:rFonts w:cs="Arial"/>
          <w:szCs w:val="24"/>
        </w:rPr>
        <w:t>speciale energia</w:t>
      </w:r>
      <w:r w:rsidRPr="00076E70">
        <w:rPr>
          <w:rFonts w:cs="Arial"/>
          <w:szCs w:val="24"/>
        </w:rPr>
        <w:t>:</w:t>
      </w:r>
    </w:p>
    <w:p w:rsidR="00076E70" w:rsidRPr="00076E70" w:rsidRDefault="00EE4132" w:rsidP="00076E70">
      <w:pPr>
        <w:rPr>
          <w:rFonts w:cs="Arial"/>
          <w:szCs w:val="24"/>
        </w:rPr>
      </w:pPr>
      <w:r>
        <w:rPr>
          <w:rFonts w:cs="Arial"/>
          <w:szCs w:val="24"/>
        </w:rPr>
        <w:t>Graziano Crugnola</w:t>
      </w:r>
      <w:r w:rsidR="00076E70" w:rsidRPr="00076E70">
        <w:rPr>
          <w:rFonts w:cs="Arial"/>
          <w:szCs w:val="24"/>
        </w:rPr>
        <w:t>, relatore</w:t>
      </w:r>
    </w:p>
    <w:p w:rsidR="00005668" w:rsidRDefault="00005668" w:rsidP="00005668">
      <w:r>
        <w:t xml:space="preserve">Badasci - Bang - Bignasca - </w:t>
      </w:r>
    </w:p>
    <w:p w:rsidR="001C4C5C" w:rsidRDefault="00005668" w:rsidP="00005668">
      <w:r>
        <w:t xml:space="preserve">Garzoli - Jelmini - Käppeli - Lepori - </w:t>
      </w:r>
    </w:p>
    <w:p w:rsidR="001C4C5C" w:rsidRDefault="00005668" w:rsidP="00005668">
      <w:r>
        <w:t xml:space="preserve">Maggi - Passalia - Peduzzi - </w:t>
      </w:r>
    </w:p>
    <w:p w:rsidR="00005668" w:rsidRDefault="00005668" w:rsidP="00005668">
      <w:r>
        <w:t>Robbiani - Storni - Terraneo</w:t>
      </w:r>
    </w:p>
    <w:p w:rsidR="00076E70" w:rsidRPr="00076E70" w:rsidRDefault="00076E70" w:rsidP="00076E70">
      <w:pPr>
        <w:rPr>
          <w:rFonts w:cs="Arial"/>
          <w:szCs w:val="24"/>
        </w:rPr>
      </w:pPr>
    </w:p>
    <w:sectPr w:rsidR="00076E70" w:rsidRPr="00076E70" w:rsidSect="005C22B4">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E1" w:rsidRDefault="00942FE1" w:rsidP="008E77C6">
      <w:r>
        <w:separator/>
      </w:r>
    </w:p>
  </w:endnote>
  <w:endnote w:type="continuationSeparator" w:id="0">
    <w:p w:rsidR="00942FE1" w:rsidRDefault="00942FE1"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080172" w:rsidRPr="00080172">
          <w:rPr>
            <w:noProof/>
            <w:sz w:val="20"/>
            <w:szCs w:val="20"/>
            <w:lang w:val="it-IT"/>
          </w:rPr>
          <w:t>3</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E1" w:rsidRDefault="00942FE1" w:rsidP="008E77C6">
      <w:r>
        <w:separator/>
      </w:r>
    </w:p>
  </w:footnote>
  <w:footnote w:type="continuationSeparator" w:id="0">
    <w:p w:rsidR="00942FE1" w:rsidRDefault="00942FE1"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E84"/>
    <w:multiLevelType w:val="hybridMultilevel"/>
    <w:tmpl w:val="7E108EDE"/>
    <w:lvl w:ilvl="0" w:tplc="08100003">
      <w:start w:val="1"/>
      <w:numFmt w:val="bullet"/>
      <w:lvlText w:val="o"/>
      <w:lvlJc w:val="left"/>
      <w:pPr>
        <w:ind w:left="1068" w:hanging="360"/>
      </w:pPr>
      <w:rPr>
        <w:rFonts w:ascii="Courier New" w:hAnsi="Courier New" w:cs="Courier New"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340A2397"/>
    <w:multiLevelType w:val="hybridMultilevel"/>
    <w:tmpl w:val="13667DBC"/>
    <w:lvl w:ilvl="0" w:tplc="08100001">
      <w:start w:val="1"/>
      <w:numFmt w:val="bullet"/>
      <w:lvlText w:val=""/>
      <w:lvlJc w:val="left"/>
      <w:pPr>
        <w:ind w:left="1068" w:hanging="360"/>
      </w:pPr>
      <w:rPr>
        <w:rFonts w:ascii="Symbol" w:hAnsi="Symbo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3">
    <w:nsid w:val="41E06018"/>
    <w:multiLevelType w:val="hybridMultilevel"/>
    <w:tmpl w:val="2C40EE80"/>
    <w:lvl w:ilvl="0" w:tplc="08667692">
      <w:start w:val="1"/>
      <w:numFmt w:val="decimal"/>
      <w:lvlText w:val="%1."/>
      <w:lvlJc w:val="left"/>
      <w:pPr>
        <w:ind w:left="-207" w:hanging="360"/>
      </w:pPr>
      <w:rPr>
        <w:rFonts w:hint="default"/>
      </w:rPr>
    </w:lvl>
    <w:lvl w:ilvl="1" w:tplc="08100019" w:tentative="1">
      <w:start w:val="1"/>
      <w:numFmt w:val="lowerLetter"/>
      <w:lvlText w:val="%2."/>
      <w:lvlJc w:val="left"/>
      <w:pPr>
        <w:ind w:left="513" w:hanging="360"/>
      </w:pPr>
    </w:lvl>
    <w:lvl w:ilvl="2" w:tplc="0810001B" w:tentative="1">
      <w:start w:val="1"/>
      <w:numFmt w:val="lowerRoman"/>
      <w:lvlText w:val="%3."/>
      <w:lvlJc w:val="right"/>
      <w:pPr>
        <w:ind w:left="1233" w:hanging="180"/>
      </w:pPr>
    </w:lvl>
    <w:lvl w:ilvl="3" w:tplc="0810000F" w:tentative="1">
      <w:start w:val="1"/>
      <w:numFmt w:val="decimal"/>
      <w:lvlText w:val="%4."/>
      <w:lvlJc w:val="left"/>
      <w:pPr>
        <w:ind w:left="1953" w:hanging="360"/>
      </w:pPr>
    </w:lvl>
    <w:lvl w:ilvl="4" w:tplc="08100019" w:tentative="1">
      <w:start w:val="1"/>
      <w:numFmt w:val="lowerLetter"/>
      <w:lvlText w:val="%5."/>
      <w:lvlJc w:val="left"/>
      <w:pPr>
        <w:ind w:left="2673" w:hanging="360"/>
      </w:pPr>
    </w:lvl>
    <w:lvl w:ilvl="5" w:tplc="0810001B" w:tentative="1">
      <w:start w:val="1"/>
      <w:numFmt w:val="lowerRoman"/>
      <w:lvlText w:val="%6."/>
      <w:lvlJc w:val="right"/>
      <w:pPr>
        <w:ind w:left="3393" w:hanging="180"/>
      </w:pPr>
    </w:lvl>
    <w:lvl w:ilvl="6" w:tplc="0810000F" w:tentative="1">
      <w:start w:val="1"/>
      <w:numFmt w:val="decimal"/>
      <w:lvlText w:val="%7."/>
      <w:lvlJc w:val="left"/>
      <w:pPr>
        <w:ind w:left="4113" w:hanging="360"/>
      </w:pPr>
    </w:lvl>
    <w:lvl w:ilvl="7" w:tplc="08100019" w:tentative="1">
      <w:start w:val="1"/>
      <w:numFmt w:val="lowerLetter"/>
      <w:lvlText w:val="%8."/>
      <w:lvlJc w:val="left"/>
      <w:pPr>
        <w:ind w:left="4833" w:hanging="360"/>
      </w:pPr>
    </w:lvl>
    <w:lvl w:ilvl="8" w:tplc="0810001B" w:tentative="1">
      <w:start w:val="1"/>
      <w:numFmt w:val="lowerRoman"/>
      <w:lvlText w:val="%9."/>
      <w:lvlJc w:val="right"/>
      <w:pPr>
        <w:ind w:left="5553" w:hanging="180"/>
      </w:pPr>
    </w:lvl>
  </w:abstractNum>
  <w:abstractNum w:abstractNumId="4">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E475A23"/>
    <w:multiLevelType w:val="hybridMultilevel"/>
    <w:tmpl w:val="9A9E3D8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4"/>
  </w:num>
  <w:num w:numId="2">
    <w:abstractNumId w:val="4"/>
  </w:num>
  <w:num w:numId="3">
    <w:abstractNumId w:val="6"/>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05668"/>
    <w:rsid w:val="00076E70"/>
    <w:rsid w:val="00080172"/>
    <w:rsid w:val="001C4C5C"/>
    <w:rsid w:val="002E5E40"/>
    <w:rsid w:val="0052425A"/>
    <w:rsid w:val="00586A8D"/>
    <w:rsid w:val="005C22B4"/>
    <w:rsid w:val="006D7A3B"/>
    <w:rsid w:val="007B5462"/>
    <w:rsid w:val="008034BD"/>
    <w:rsid w:val="00876352"/>
    <w:rsid w:val="008B4137"/>
    <w:rsid w:val="008C767A"/>
    <w:rsid w:val="008E77C6"/>
    <w:rsid w:val="00942FE1"/>
    <w:rsid w:val="009770BB"/>
    <w:rsid w:val="009E008D"/>
    <w:rsid w:val="00A5465F"/>
    <w:rsid w:val="00A77678"/>
    <w:rsid w:val="00BC4C95"/>
    <w:rsid w:val="00BD5944"/>
    <w:rsid w:val="00CF6858"/>
    <w:rsid w:val="00D93B31"/>
    <w:rsid w:val="00EA4E28"/>
    <w:rsid w:val="00EE4132"/>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5C22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5C22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757C-FC65-443C-872D-71623A99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1233</Words>
  <Characters>7029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Righetti Paolo / kxgc022</cp:lastModifiedBy>
  <cp:revision>5</cp:revision>
  <cp:lastPrinted>2016-11-30T10:29:00Z</cp:lastPrinted>
  <dcterms:created xsi:type="dcterms:W3CDTF">2016-11-17T14:51:00Z</dcterms:created>
  <dcterms:modified xsi:type="dcterms:W3CDTF">2016-11-30T10:29:00Z</dcterms:modified>
</cp:coreProperties>
</file>