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E110C9" w:rsidRDefault="00E110C9" w:rsidP="00076E70">
      <w:pPr>
        <w:rPr>
          <w:b/>
          <w:sz w:val="36"/>
        </w:rPr>
      </w:pPr>
      <w:r w:rsidRPr="00E110C9">
        <w:rPr>
          <w:rFonts w:cs="Arial"/>
          <w:b/>
          <w:sz w:val="28"/>
          <w:szCs w:val="20"/>
        </w:rPr>
        <w:t>Rapporto</w:t>
      </w:r>
      <w:bookmarkStart w:id="0" w:name="_GoBack"/>
      <w:bookmarkEnd w:id="0"/>
    </w:p>
    <w:p w:rsidR="008B4137" w:rsidRDefault="008B4137">
      <w:pPr>
        <w:rPr>
          <w:rFonts w:cs="Arial"/>
          <w:szCs w:val="24"/>
        </w:rPr>
      </w:pPr>
    </w:p>
    <w:p w:rsidR="00D16AE3" w:rsidRDefault="00D16AE3">
      <w:pPr>
        <w:rPr>
          <w:rFonts w:cs="Arial"/>
          <w:szCs w:val="24"/>
        </w:rPr>
      </w:pPr>
    </w:p>
    <w:p w:rsidR="00076E70" w:rsidRDefault="00076E70">
      <w:pPr>
        <w:rPr>
          <w:rFonts w:cs="Arial"/>
          <w:szCs w:val="24"/>
        </w:rPr>
      </w:pPr>
    </w:p>
    <w:p w:rsidR="0007534B" w:rsidRDefault="0007534B" w:rsidP="0007534B">
      <w:pPr>
        <w:tabs>
          <w:tab w:val="left" w:pos="2127"/>
          <w:tab w:val="left" w:pos="4962"/>
        </w:tabs>
        <w:rPr>
          <w:rFonts w:cs="Arial"/>
          <w:b/>
        </w:rPr>
      </w:pPr>
      <w:r w:rsidRPr="00075437">
        <w:rPr>
          <w:rFonts w:cs="Arial"/>
          <w:b/>
          <w:sz w:val="32"/>
          <w:szCs w:val="32"/>
        </w:rPr>
        <w:t>7</w:t>
      </w:r>
      <w:r>
        <w:rPr>
          <w:rFonts w:cs="Arial"/>
          <w:b/>
          <w:sz w:val="32"/>
          <w:szCs w:val="32"/>
        </w:rPr>
        <w:t>207</w:t>
      </w:r>
      <w:r w:rsidR="00D16AE3">
        <w:rPr>
          <w:rFonts w:cs="Arial"/>
          <w:b/>
          <w:sz w:val="32"/>
          <w:szCs w:val="32"/>
        </w:rPr>
        <w:t xml:space="preserve"> R</w:t>
      </w:r>
      <w:r>
        <w:rPr>
          <w:rFonts w:cs="Arial"/>
          <w:b/>
        </w:rPr>
        <w:tab/>
      </w:r>
      <w:r>
        <w:rPr>
          <w:rFonts w:cs="Arial"/>
          <w:sz w:val="28"/>
          <w:szCs w:val="28"/>
        </w:rPr>
        <w:t xml:space="preserve">29 novembre </w:t>
      </w:r>
      <w:r w:rsidRPr="00075437">
        <w:rPr>
          <w:rFonts w:cs="Arial"/>
          <w:sz w:val="28"/>
          <w:szCs w:val="28"/>
        </w:rPr>
        <w:t>201</w:t>
      </w:r>
      <w:r>
        <w:rPr>
          <w:rFonts w:cs="Arial"/>
          <w:sz w:val="28"/>
          <w:szCs w:val="28"/>
        </w:rPr>
        <w:t>6</w:t>
      </w:r>
      <w:r>
        <w:rPr>
          <w:rFonts w:cs="Arial"/>
          <w:b/>
        </w:rPr>
        <w:tab/>
      </w:r>
      <w:r w:rsidRPr="00690851">
        <w:rPr>
          <w:rFonts w:cs="Arial"/>
          <w:sz w:val="26"/>
          <w:szCs w:val="26"/>
        </w:rPr>
        <w:t>TERRITORIO</w:t>
      </w:r>
      <w:r w:rsidR="00690851" w:rsidRPr="00690851">
        <w:rPr>
          <w:rFonts w:cs="Arial"/>
          <w:sz w:val="26"/>
          <w:szCs w:val="26"/>
        </w:rPr>
        <w:t xml:space="preserve"> / FINANZE E ECONOMIA</w:t>
      </w:r>
    </w:p>
    <w:p w:rsidR="0007534B" w:rsidRPr="00075437" w:rsidRDefault="0007534B" w:rsidP="0007534B">
      <w:pPr>
        <w:rPr>
          <w:rFonts w:cs="Arial"/>
        </w:rPr>
      </w:pPr>
    </w:p>
    <w:p w:rsidR="0007534B" w:rsidRDefault="0007534B" w:rsidP="0007534B">
      <w:pPr>
        <w:rPr>
          <w:rFonts w:cs="Arial"/>
        </w:rPr>
      </w:pPr>
    </w:p>
    <w:p w:rsidR="0007534B" w:rsidRPr="00075437" w:rsidRDefault="0007534B" w:rsidP="0007534B">
      <w:pPr>
        <w:rPr>
          <w:rFonts w:cs="Arial"/>
        </w:rPr>
      </w:pPr>
    </w:p>
    <w:p w:rsidR="0007534B" w:rsidRPr="00075437" w:rsidRDefault="003A2777" w:rsidP="0007534B">
      <w:pPr>
        <w:rPr>
          <w:rFonts w:cs="Arial"/>
          <w:b/>
          <w:sz w:val="28"/>
          <w:szCs w:val="28"/>
        </w:rPr>
      </w:pPr>
      <w:r>
        <w:rPr>
          <w:rFonts w:cs="Arial"/>
          <w:b/>
          <w:sz w:val="28"/>
          <w:szCs w:val="28"/>
        </w:rPr>
        <w:t>d</w:t>
      </w:r>
      <w:r w:rsidR="0007534B">
        <w:rPr>
          <w:rFonts w:cs="Arial"/>
          <w:b/>
          <w:sz w:val="28"/>
          <w:szCs w:val="28"/>
        </w:rPr>
        <w:t>ella C</w:t>
      </w:r>
      <w:r w:rsidR="0007534B" w:rsidRPr="00075437">
        <w:rPr>
          <w:rFonts w:cs="Arial"/>
          <w:b/>
          <w:sz w:val="28"/>
          <w:szCs w:val="28"/>
        </w:rPr>
        <w:t>ommissione speciale energia</w:t>
      </w:r>
    </w:p>
    <w:p w:rsidR="0007534B" w:rsidRPr="00075437" w:rsidRDefault="0007534B" w:rsidP="0007534B">
      <w:pPr>
        <w:rPr>
          <w:rFonts w:cs="Arial"/>
          <w:b/>
          <w:color w:val="262626"/>
          <w:sz w:val="28"/>
          <w:szCs w:val="28"/>
          <w:lang w:val="it-IT"/>
        </w:rPr>
      </w:pPr>
      <w:r>
        <w:rPr>
          <w:rFonts w:cs="Arial"/>
          <w:b/>
          <w:sz w:val="28"/>
          <w:szCs w:val="28"/>
        </w:rPr>
        <w:t>s</w:t>
      </w:r>
      <w:r w:rsidRPr="00075437">
        <w:rPr>
          <w:rFonts w:cs="Arial"/>
          <w:b/>
          <w:sz w:val="28"/>
          <w:szCs w:val="28"/>
        </w:rPr>
        <w:t xml:space="preserve">ul messaggio </w:t>
      </w:r>
      <w:r>
        <w:rPr>
          <w:rFonts w:cs="Arial"/>
          <w:b/>
          <w:sz w:val="28"/>
          <w:szCs w:val="28"/>
        </w:rPr>
        <w:t>12</w:t>
      </w:r>
      <w:r w:rsidRPr="00075437">
        <w:rPr>
          <w:rFonts w:cs="Arial"/>
          <w:b/>
          <w:sz w:val="28"/>
          <w:szCs w:val="28"/>
        </w:rPr>
        <w:t xml:space="preserve"> </w:t>
      </w:r>
      <w:r>
        <w:rPr>
          <w:rFonts w:cs="Arial"/>
          <w:b/>
          <w:sz w:val="28"/>
          <w:szCs w:val="28"/>
        </w:rPr>
        <w:t xml:space="preserve">luglio </w:t>
      </w:r>
      <w:r w:rsidRPr="00075437">
        <w:rPr>
          <w:rFonts w:cs="Arial"/>
          <w:b/>
          <w:sz w:val="28"/>
          <w:szCs w:val="28"/>
        </w:rPr>
        <w:t>201</w:t>
      </w:r>
      <w:r>
        <w:rPr>
          <w:rFonts w:cs="Arial"/>
          <w:b/>
          <w:sz w:val="28"/>
          <w:szCs w:val="28"/>
        </w:rPr>
        <w:t>6</w:t>
      </w:r>
      <w:r w:rsidRPr="00075437">
        <w:rPr>
          <w:rFonts w:cs="Arial"/>
          <w:b/>
          <w:sz w:val="28"/>
          <w:szCs w:val="28"/>
        </w:rPr>
        <w:t xml:space="preserve"> concernente </w:t>
      </w:r>
      <w:r>
        <w:rPr>
          <w:rFonts w:cs="Arial"/>
          <w:b/>
          <w:sz w:val="28"/>
          <w:szCs w:val="28"/>
        </w:rPr>
        <w:t>la modifica della legge cantonale sull’energia e aggiornamento dell’entità del prelievo sulla produzione di energia elettrica da destinare al finanziamento del fondo cantonale per favorire la realizzazione di nuovi impianti di energia rinnovabile ai sensi della legge federale sull’energia (</w:t>
      </w:r>
      <w:proofErr w:type="spellStart"/>
      <w:r>
        <w:rPr>
          <w:rFonts w:cs="Arial"/>
          <w:b/>
          <w:sz w:val="28"/>
          <w:szCs w:val="28"/>
        </w:rPr>
        <w:t>LEne</w:t>
      </w:r>
      <w:proofErr w:type="spellEnd"/>
      <w:r>
        <w:rPr>
          <w:rFonts w:cs="Arial"/>
          <w:b/>
          <w:sz w:val="28"/>
          <w:szCs w:val="28"/>
        </w:rPr>
        <w:t>)</w:t>
      </w:r>
    </w:p>
    <w:p w:rsidR="0007534B" w:rsidRDefault="0007534B" w:rsidP="0007534B">
      <w:pPr>
        <w:rPr>
          <w:rFonts w:cs="Arial"/>
          <w:szCs w:val="24"/>
        </w:rPr>
      </w:pPr>
    </w:p>
    <w:p w:rsidR="0007534B" w:rsidRPr="00075437" w:rsidRDefault="0007534B" w:rsidP="0007534B">
      <w:pPr>
        <w:rPr>
          <w:rFonts w:cs="Arial"/>
          <w:szCs w:val="24"/>
        </w:rPr>
      </w:pPr>
    </w:p>
    <w:p w:rsidR="0007534B" w:rsidRDefault="0007534B" w:rsidP="0007534B">
      <w:pPr>
        <w:spacing w:after="60"/>
        <w:rPr>
          <w:rFonts w:cs="Arial"/>
          <w:szCs w:val="24"/>
        </w:rPr>
      </w:pPr>
    </w:p>
    <w:p w:rsidR="0007534B" w:rsidRPr="00075437" w:rsidRDefault="0007534B" w:rsidP="00B06A20">
      <w:pPr>
        <w:pStyle w:val="Titolo1"/>
      </w:pPr>
      <w:r>
        <w:t>INTRODUZIONE</w:t>
      </w:r>
    </w:p>
    <w:p w:rsidR="0007534B" w:rsidRDefault="0007534B" w:rsidP="003A2777">
      <w:r>
        <w:t>Lo scopo del FER (Fondo Energie Rinnovabili) è quello di incentivare la realizzazione di impianti pubblici e privati di produzione di energia elettrica che sfruttano fonti energetiche rinnovabili.</w:t>
      </w:r>
    </w:p>
    <w:p w:rsidR="003A2777" w:rsidRDefault="003A2777" w:rsidP="003A2777"/>
    <w:p w:rsidR="0007534B" w:rsidRDefault="0007534B" w:rsidP="003A2777">
      <w:r>
        <w:t>Al fine di poter rispondere alle numerose richieste pervenute, il fondo deve poter disporre di mezzi finanziari a sufficienza. Purtroppo, per motivi diversi, ciò non è il caso e il Consiglio di Stato propone ora delle modifiche di legge per far fronte a questa situazione.</w:t>
      </w:r>
    </w:p>
    <w:p w:rsidR="003A2777" w:rsidRDefault="003A2777" w:rsidP="003A2777"/>
    <w:p w:rsidR="0007534B" w:rsidRDefault="0007534B" w:rsidP="003A2777">
      <w:r>
        <w:t>Nel suo messaggio, il Consiglio di Stato risponde inoltre alla mozione “Sole del Ticino 3 – Promuovere lo stoccaggio dell’energia solare” e all’iniziativa parlamentare generica “Sole del Ticino 4 – Promuovere lo stoccaggio dell’energia solare“, fortemente legate al tema del FER elaborate da F. Maggi.</w:t>
      </w:r>
    </w:p>
    <w:p w:rsidR="0007534B" w:rsidRDefault="0007534B" w:rsidP="003A2777"/>
    <w:p w:rsidR="003A2777" w:rsidRDefault="003A2777" w:rsidP="003A2777"/>
    <w:p w:rsidR="0007534B" w:rsidRDefault="0007534B" w:rsidP="003A2777"/>
    <w:p w:rsidR="0007534B" w:rsidRPr="00075437" w:rsidRDefault="0007534B" w:rsidP="00B06A20">
      <w:pPr>
        <w:pStyle w:val="Titolo1"/>
      </w:pPr>
      <w:r>
        <w:t>MODIFICA DELLA LEGGE CANTONALE SULL’ENERGIA</w:t>
      </w:r>
    </w:p>
    <w:p w:rsidR="0007534B" w:rsidRPr="00894CA4" w:rsidRDefault="00B06A20" w:rsidP="003A2777">
      <w:pPr>
        <w:pStyle w:val="Titolo2"/>
      </w:pPr>
      <w:r>
        <w:t>2.1</w:t>
      </w:r>
      <w:r>
        <w:tab/>
      </w:r>
      <w:r w:rsidR="0007534B" w:rsidRPr="00894CA4">
        <w:t>Situazione attuale e incentivi</w:t>
      </w:r>
    </w:p>
    <w:p w:rsidR="0007534B" w:rsidRPr="00371F7F" w:rsidRDefault="0007534B" w:rsidP="003A2777">
      <w:r>
        <w:t>Le richieste per l’ottenimento dell’incentivo sono risultate decisamente superiori alle aspettative. Ciò è sicuramente positivo, ma si pone il problema del finanziamento del fondo.</w:t>
      </w:r>
    </w:p>
    <w:p w:rsidR="0007534B" w:rsidRPr="00371F7F" w:rsidRDefault="0007534B" w:rsidP="003A2777"/>
    <w:p w:rsidR="0007534B" w:rsidRDefault="0007534B" w:rsidP="003A2777">
      <w:r w:rsidRPr="00371F7F">
        <w:t xml:space="preserve">È utile ricordare che </w:t>
      </w:r>
      <w:r>
        <w:t>il</w:t>
      </w:r>
      <w:r w:rsidRPr="00371F7F">
        <w:t xml:space="preserve"> prelievo sulla produzione di AET è attualmente pari a 0.6 </w:t>
      </w:r>
      <w:proofErr w:type="spellStart"/>
      <w:r w:rsidRPr="00371F7F">
        <w:t>cts</w:t>
      </w:r>
      <w:proofErr w:type="spellEnd"/>
      <w:r w:rsidRPr="00371F7F">
        <w:t xml:space="preserve">/kWh, corrispondente alla soglia minima prevista. Il prelievo sul consumo si attesta attualmente a 0,2 </w:t>
      </w:r>
      <w:proofErr w:type="spellStart"/>
      <w:r w:rsidRPr="00371F7F">
        <w:t>cts</w:t>
      </w:r>
      <w:proofErr w:type="spellEnd"/>
      <w:r w:rsidRPr="00371F7F">
        <w:t xml:space="preserve">/kWh in una forchetta di possibili valori che va da 0,2 </w:t>
      </w:r>
      <w:proofErr w:type="spellStart"/>
      <w:r w:rsidRPr="00371F7F">
        <w:t>cts</w:t>
      </w:r>
      <w:proofErr w:type="spellEnd"/>
      <w:r w:rsidRPr="00371F7F">
        <w:t xml:space="preserve">/kWh a 0,5 </w:t>
      </w:r>
      <w:proofErr w:type="spellStart"/>
      <w:r w:rsidRPr="00371F7F">
        <w:t>cts</w:t>
      </w:r>
      <w:proofErr w:type="spellEnd"/>
      <w:r w:rsidRPr="00371F7F">
        <w:t xml:space="preserve">/kWh, mentre per quanto riguarda il supplemento del prelievo al consumo da destinare al finanziamento delle attività dei Comuni in ambito energetico, in una forchetta di possibili importi che va da 0,9 </w:t>
      </w:r>
      <w:proofErr w:type="spellStart"/>
      <w:r w:rsidRPr="00371F7F">
        <w:t>cts</w:t>
      </w:r>
      <w:proofErr w:type="spellEnd"/>
      <w:r w:rsidRPr="00371F7F">
        <w:t xml:space="preserve">/kWh a 1,1 </w:t>
      </w:r>
      <w:proofErr w:type="spellStart"/>
      <w:r w:rsidRPr="00371F7F">
        <w:t>cts</w:t>
      </w:r>
      <w:proofErr w:type="spellEnd"/>
      <w:r w:rsidRPr="00371F7F">
        <w:t xml:space="preserve">/kWh, ci si attesta su 1 </w:t>
      </w:r>
      <w:proofErr w:type="spellStart"/>
      <w:r w:rsidRPr="00371F7F">
        <w:t>cts</w:t>
      </w:r>
      <w:proofErr w:type="spellEnd"/>
      <w:r w:rsidRPr="00371F7F">
        <w:t xml:space="preserve">/kWh. </w:t>
      </w:r>
    </w:p>
    <w:p w:rsidR="0007534B" w:rsidRDefault="0007534B" w:rsidP="003A2777"/>
    <w:p w:rsidR="0007534B" w:rsidRDefault="0007534B" w:rsidP="003A2777"/>
    <w:p w:rsidR="003A2777" w:rsidRDefault="003A2777">
      <w:pPr>
        <w:rPr>
          <w:rFonts w:cs="Arial"/>
          <w:szCs w:val="24"/>
        </w:rPr>
      </w:pPr>
      <w:r>
        <w:rPr>
          <w:rFonts w:cs="Arial"/>
          <w:szCs w:val="24"/>
        </w:rPr>
        <w:br w:type="page"/>
      </w:r>
    </w:p>
    <w:p w:rsidR="0007534B" w:rsidRDefault="0007534B" w:rsidP="0007534B">
      <w:pPr>
        <w:spacing w:after="60"/>
        <w:rPr>
          <w:rFonts w:cs="Arial"/>
          <w:szCs w:val="24"/>
        </w:rPr>
      </w:pPr>
      <w:r>
        <w:rPr>
          <w:rFonts w:cs="Arial"/>
          <w:szCs w:val="24"/>
        </w:rPr>
        <w:lastRenderedPageBreak/>
        <w:t>La figura seguente riassume la panoramica dei possibili finanziamenti tramite il fondo FER.</w:t>
      </w:r>
    </w:p>
    <w:p w:rsidR="0007534B" w:rsidRDefault="0007534B" w:rsidP="0007534B">
      <w:pPr>
        <w:spacing w:after="60"/>
        <w:rPr>
          <w:rFonts w:cs="Arial"/>
          <w:szCs w:val="24"/>
        </w:rPr>
      </w:pPr>
    </w:p>
    <w:p w:rsidR="0007534B" w:rsidRDefault="0007534B" w:rsidP="0007534B">
      <w:pPr>
        <w:spacing w:after="60"/>
        <w:rPr>
          <w:rFonts w:cs="Arial"/>
          <w:szCs w:val="24"/>
        </w:rPr>
      </w:pPr>
      <w:r>
        <w:rPr>
          <w:noProof/>
          <w:lang w:eastAsia="it-CH"/>
        </w:rPr>
        <w:drawing>
          <wp:inline distT="0" distB="0" distL="0" distR="0" wp14:anchorId="5064B2BC" wp14:editId="4229BADA">
            <wp:extent cx="6120130" cy="48780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878070"/>
                    </a:xfrm>
                    <a:prstGeom prst="rect">
                      <a:avLst/>
                    </a:prstGeom>
                  </pic:spPr>
                </pic:pic>
              </a:graphicData>
            </a:graphic>
          </wp:inline>
        </w:drawing>
      </w:r>
    </w:p>
    <w:p w:rsidR="0007534B" w:rsidRDefault="0007534B" w:rsidP="0007534B">
      <w:pPr>
        <w:spacing w:after="60"/>
        <w:rPr>
          <w:rFonts w:cs="Arial"/>
          <w:szCs w:val="24"/>
        </w:rPr>
      </w:pPr>
    </w:p>
    <w:p w:rsidR="0007534B" w:rsidRPr="00F02619" w:rsidRDefault="0007534B" w:rsidP="003A2777">
      <w:pPr>
        <w:pStyle w:val="Paragrafoelenco"/>
        <w:numPr>
          <w:ilvl w:val="0"/>
          <w:numId w:val="7"/>
        </w:numPr>
        <w:spacing w:before="60"/>
        <w:ind w:left="284" w:hanging="284"/>
        <w:rPr>
          <w:rStyle w:val="st1"/>
          <w:rFonts w:cs="Arial"/>
          <w:szCs w:val="24"/>
        </w:rPr>
      </w:pPr>
      <w:r w:rsidRPr="00F02619">
        <w:rPr>
          <w:rFonts w:cs="Arial"/>
          <w:szCs w:val="24"/>
        </w:rPr>
        <w:t>Il Contributo unico (</w:t>
      </w:r>
      <w:r w:rsidRPr="00F02619">
        <w:rPr>
          <w:rFonts w:cs="Arial"/>
          <w:b/>
          <w:szCs w:val="24"/>
        </w:rPr>
        <w:t>CU</w:t>
      </w:r>
      <w:r w:rsidRPr="00F02619">
        <w:rPr>
          <w:rFonts w:cs="Arial"/>
          <w:szCs w:val="24"/>
        </w:rPr>
        <w:t xml:space="preserve">) e la </w:t>
      </w:r>
      <w:r w:rsidRPr="00F02619">
        <w:rPr>
          <w:rStyle w:val="st1"/>
          <w:rFonts w:cs="Arial"/>
          <w:szCs w:val="24"/>
        </w:rPr>
        <w:t>remunerazione per l'immissione di energia elettrica a copertura dei costi (</w:t>
      </w:r>
      <w:r w:rsidRPr="00F02619">
        <w:rPr>
          <w:rStyle w:val="Enfasicorsivo"/>
          <w:rFonts w:cs="Arial"/>
          <w:szCs w:val="24"/>
        </w:rPr>
        <w:t>RIC</w:t>
      </w:r>
      <w:r>
        <w:rPr>
          <w:rStyle w:val="st1"/>
          <w:rFonts w:cs="Arial"/>
          <w:szCs w:val="24"/>
        </w:rPr>
        <w:t xml:space="preserve">-TI) </w:t>
      </w:r>
      <w:r w:rsidRPr="00F02619">
        <w:rPr>
          <w:rStyle w:val="st1"/>
          <w:rFonts w:cs="Arial"/>
          <w:szCs w:val="24"/>
        </w:rPr>
        <w:t>sono concessi per gli impianti allacciati alla rete a partire dal 1</w:t>
      </w:r>
      <w:r>
        <w:rPr>
          <w:rStyle w:val="st1"/>
          <w:rFonts w:cs="Arial"/>
          <w:szCs w:val="24"/>
        </w:rPr>
        <w:t>°</w:t>
      </w:r>
      <w:r w:rsidRPr="00F02619">
        <w:rPr>
          <w:rStyle w:val="st1"/>
          <w:rFonts w:cs="Arial"/>
          <w:szCs w:val="24"/>
        </w:rPr>
        <w:t xml:space="preserve"> aprile 2014.</w:t>
      </w:r>
    </w:p>
    <w:p w:rsidR="0007534B" w:rsidRPr="00F02619" w:rsidRDefault="0007534B" w:rsidP="003A2777">
      <w:pPr>
        <w:pStyle w:val="Paragrafoelenco"/>
        <w:numPr>
          <w:ilvl w:val="0"/>
          <w:numId w:val="7"/>
        </w:numPr>
        <w:spacing w:before="60"/>
        <w:ind w:left="284" w:hanging="284"/>
        <w:rPr>
          <w:rStyle w:val="st1"/>
          <w:rFonts w:cs="Arial"/>
          <w:szCs w:val="24"/>
        </w:rPr>
      </w:pPr>
      <w:r w:rsidRPr="00F02619">
        <w:rPr>
          <w:rStyle w:val="st1"/>
          <w:rFonts w:cs="Arial"/>
          <w:szCs w:val="24"/>
        </w:rPr>
        <w:t>La domanda preliminare deve essere inoltrata prima dell’inizio dei lavori</w:t>
      </w:r>
      <w:r>
        <w:rPr>
          <w:rStyle w:val="st1"/>
          <w:rFonts w:cs="Arial"/>
          <w:szCs w:val="24"/>
        </w:rPr>
        <w:t>.</w:t>
      </w:r>
    </w:p>
    <w:p w:rsidR="0007534B" w:rsidRPr="00F02619" w:rsidRDefault="0007534B" w:rsidP="003A2777">
      <w:pPr>
        <w:pStyle w:val="Paragrafoelenco"/>
        <w:numPr>
          <w:ilvl w:val="0"/>
          <w:numId w:val="7"/>
        </w:numPr>
        <w:spacing w:before="60"/>
        <w:ind w:left="284" w:hanging="284"/>
        <w:rPr>
          <w:rStyle w:val="st1"/>
          <w:rFonts w:cs="Arial"/>
          <w:szCs w:val="24"/>
        </w:rPr>
      </w:pPr>
      <w:r w:rsidRPr="00F02619">
        <w:rPr>
          <w:rStyle w:val="st1"/>
          <w:rFonts w:cs="Arial"/>
          <w:szCs w:val="24"/>
        </w:rPr>
        <w:t>In fase preliminare, è possibile richiedere sia la RIC-TI che la RIC federale, ma al più tardi alla notifica di messa in esercizio deve essere effettuata una scelta. Fanno eccezione gli impianti in lista d’attesa che possono restare in entrambe le liste d’attesa fino al momento in cui vengono accettati da un sistema (RIC o FER).</w:t>
      </w:r>
    </w:p>
    <w:p w:rsidR="0007534B" w:rsidRPr="00F02619" w:rsidRDefault="0007534B" w:rsidP="003A2777">
      <w:pPr>
        <w:pStyle w:val="Paragrafoelenco"/>
        <w:numPr>
          <w:ilvl w:val="0"/>
          <w:numId w:val="7"/>
        </w:numPr>
        <w:spacing w:before="60"/>
        <w:ind w:left="284" w:hanging="284"/>
        <w:rPr>
          <w:rStyle w:val="st1"/>
          <w:rFonts w:cs="Arial"/>
          <w:szCs w:val="24"/>
        </w:rPr>
      </w:pPr>
      <w:r w:rsidRPr="00F02619">
        <w:rPr>
          <w:rStyle w:val="st1"/>
          <w:rFonts w:cs="Arial"/>
          <w:szCs w:val="24"/>
        </w:rPr>
        <w:t xml:space="preserve">Impianti che beneficiano della RIC </w:t>
      </w:r>
      <w:r>
        <w:rPr>
          <w:rStyle w:val="st1"/>
          <w:rFonts w:cs="Arial"/>
          <w:szCs w:val="24"/>
        </w:rPr>
        <w:t>f</w:t>
      </w:r>
      <w:r w:rsidRPr="00F02619">
        <w:rPr>
          <w:rStyle w:val="st1"/>
          <w:rFonts w:cs="Arial"/>
          <w:szCs w:val="24"/>
        </w:rPr>
        <w:t xml:space="preserve">ederale non possono ottenere gli incentivi </w:t>
      </w:r>
      <w:r>
        <w:rPr>
          <w:rStyle w:val="st1"/>
          <w:rFonts w:cs="Arial"/>
          <w:szCs w:val="24"/>
        </w:rPr>
        <w:t>c</w:t>
      </w:r>
      <w:r w:rsidRPr="00F02619">
        <w:rPr>
          <w:rStyle w:val="st1"/>
          <w:rFonts w:cs="Arial"/>
          <w:szCs w:val="24"/>
        </w:rPr>
        <w:t xml:space="preserve">antonali né possono farvi capo rinunciando a quella </w:t>
      </w:r>
      <w:r>
        <w:rPr>
          <w:rStyle w:val="st1"/>
          <w:rFonts w:cs="Arial"/>
          <w:szCs w:val="24"/>
        </w:rPr>
        <w:t>f</w:t>
      </w:r>
      <w:r w:rsidRPr="00F02619">
        <w:rPr>
          <w:rStyle w:val="st1"/>
          <w:rFonts w:cs="Arial"/>
          <w:szCs w:val="24"/>
        </w:rPr>
        <w:t>ederale.</w:t>
      </w:r>
    </w:p>
    <w:p w:rsidR="0007534B" w:rsidRPr="00F02619" w:rsidRDefault="0007534B" w:rsidP="003A2777">
      <w:pPr>
        <w:pStyle w:val="Paragrafoelenco"/>
        <w:numPr>
          <w:ilvl w:val="0"/>
          <w:numId w:val="7"/>
        </w:numPr>
        <w:spacing w:before="60"/>
        <w:ind w:left="284" w:hanging="284"/>
        <w:rPr>
          <w:rFonts w:cs="Arial"/>
          <w:szCs w:val="24"/>
        </w:rPr>
      </w:pPr>
      <w:r w:rsidRPr="00F02619">
        <w:rPr>
          <w:rStyle w:val="st1"/>
          <w:rFonts w:cs="Arial"/>
          <w:szCs w:val="24"/>
        </w:rPr>
        <w:t xml:space="preserve">Impianti che permettono di ottenere la certificazione </w:t>
      </w:r>
      <w:proofErr w:type="spellStart"/>
      <w:r w:rsidRPr="00F02619">
        <w:rPr>
          <w:rStyle w:val="st1"/>
          <w:rFonts w:cs="Arial"/>
          <w:szCs w:val="24"/>
        </w:rPr>
        <w:t>Minergie</w:t>
      </w:r>
      <w:proofErr w:type="spellEnd"/>
      <w:r w:rsidRPr="00F02619">
        <w:rPr>
          <w:rStyle w:val="st1"/>
          <w:rFonts w:cs="Arial"/>
          <w:szCs w:val="24"/>
        </w:rPr>
        <w:t xml:space="preserve"> A dell’edificio sul quale sono realizzati non possono accedere alla RIC-TI o al contributo unico.</w:t>
      </w:r>
    </w:p>
    <w:p w:rsidR="0007534B" w:rsidRPr="00F02619" w:rsidRDefault="0007534B" w:rsidP="00B06A20"/>
    <w:p w:rsidR="0007534B" w:rsidRDefault="0007534B" w:rsidP="00B06A20">
      <w:r>
        <w:t xml:space="preserve">A fine 2015 si contavano in lista di attesa 302 impianti con una potenza installata superiore a 10 </w:t>
      </w:r>
      <w:proofErr w:type="spellStart"/>
      <w:r>
        <w:t>kWp</w:t>
      </w:r>
      <w:proofErr w:type="spellEnd"/>
      <w:r>
        <w:t>.</w:t>
      </w:r>
    </w:p>
    <w:p w:rsidR="00B06A20" w:rsidRPr="00B06A20" w:rsidRDefault="00B06A20" w:rsidP="00B06A20">
      <w:pPr>
        <w:rPr>
          <w:sz w:val="12"/>
          <w:szCs w:val="12"/>
        </w:rPr>
      </w:pPr>
    </w:p>
    <w:p w:rsidR="0007534B" w:rsidRPr="00371F7F" w:rsidRDefault="0007534B" w:rsidP="00B06A20">
      <w:r>
        <w:t>A livello finanziario il credito supplementare necessario per poter sovvenzionare tutti gli impianti fotovoltaici in lista di attesa è stimato a 26 mio CHF, più circa 4.5 mio per le altre tecnologie.</w:t>
      </w:r>
    </w:p>
    <w:p w:rsidR="0007534B" w:rsidRPr="00894CA4" w:rsidRDefault="00B06A20" w:rsidP="003A2777">
      <w:pPr>
        <w:pStyle w:val="Titolo2"/>
      </w:pPr>
      <w:r>
        <w:lastRenderedPageBreak/>
        <w:t>2.2</w:t>
      </w:r>
      <w:r>
        <w:tab/>
      </w:r>
      <w:r w:rsidR="0007534B">
        <w:t>Proposte del Consiglio di Stato</w:t>
      </w:r>
    </w:p>
    <w:p w:rsidR="0007534B" w:rsidRPr="00571720" w:rsidRDefault="0007534B" w:rsidP="00B06A20">
      <w:r w:rsidRPr="00571720">
        <w:t>Per far fronte alla mancanza di fondi nel FER, e cercare così di ridurre la lunga lista di attesa di privati che attendono il versamento dell’incentivo, il Consiglio di Stato propone una modifica dell</w:t>
      </w:r>
      <w:r>
        <w:t>a</w:t>
      </w:r>
      <w:r w:rsidRPr="00571720">
        <w:t xml:space="preserve"> Legge cantonale sull’energia e un Decreto legislativo allo scopo di garantire il finanziamento fino al 31.12.2020. </w:t>
      </w:r>
      <w:r>
        <w:t>Questa d</w:t>
      </w:r>
      <w:r w:rsidRPr="00571720">
        <w:t>ata, come già spiegato nella trattazione del messaggio 7201 concernente l’Integrazione del programma federale di incentivi per il risanamento degli edifici (Programma Edifici - PE) nel programma cantonale di incentivi, potrebbe costituire un punto di svolta nell’attuazione della politica energetica federale, e conseguentemente di quella cantonale.</w:t>
      </w:r>
    </w:p>
    <w:p w:rsidR="00B06A20" w:rsidRPr="00B06A20" w:rsidRDefault="00B06A20" w:rsidP="00B06A20">
      <w:pPr>
        <w:rPr>
          <w:sz w:val="12"/>
          <w:szCs w:val="12"/>
        </w:rPr>
      </w:pPr>
    </w:p>
    <w:p w:rsidR="0007534B" w:rsidRDefault="0007534B" w:rsidP="00B06A20">
      <w:r>
        <w:t>Le proposte del Consiglio di Stato possono essere così riassunte:</w:t>
      </w:r>
    </w:p>
    <w:p w:rsidR="0007534B" w:rsidRDefault="0007534B" w:rsidP="00B06A20"/>
    <w:p w:rsidR="0007534B" w:rsidRPr="00AA0E63" w:rsidRDefault="0007534B" w:rsidP="003A2777">
      <w:pPr>
        <w:pStyle w:val="Titolo3"/>
      </w:pPr>
      <w:r>
        <w:t xml:space="preserve">Modifica della legge cantonale sull’energia - </w:t>
      </w:r>
      <w:r w:rsidRPr="00AA0E63">
        <w:t>Prelievo sulla produzione</w:t>
      </w:r>
    </w:p>
    <w:p w:rsidR="0007534B" w:rsidRDefault="0007534B" w:rsidP="00B06A20">
      <w:r>
        <w:t xml:space="preserve">Il prelievo sulla </w:t>
      </w:r>
      <w:r w:rsidRPr="00AA0E63">
        <w:t xml:space="preserve">produzione viene ridotto dagli attuali 0.6 </w:t>
      </w:r>
      <w:proofErr w:type="spellStart"/>
      <w:r w:rsidRPr="00AA0E63">
        <w:t>cts</w:t>
      </w:r>
      <w:proofErr w:type="spellEnd"/>
      <w:r w:rsidRPr="00AA0E63">
        <w:t xml:space="preserve">/kWh a 0.4 </w:t>
      </w:r>
      <w:proofErr w:type="spellStart"/>
      <w:r w:rsidRPr="00AA0E63">
        <w:t>cts</w:t>
      </w:r>
      <w:proofErr w:type="spellEnd"/>
      <w:r w:rsidRPr="00AA0E63">
        <w:t>/kWh. Inoltre, il prelievo diventa possibile solo se il risultato ordinario (risultato operativo./.risultat</w:t>
      </w:r>
      <w:r>
        <w:t>o</w:t>
      </w:r>
      <w:r w:rsidRPr="00AA0E63">
        <w:t xml:space="preserve"> finanziario) </w:t>
      </w:r>
      <w:r>
        <w:t xml:space="preserve">di AET </w:t>
      </w:r>
      <w:r w:rsidRPr="00AA0E63">
        <w:t>dell’anno precedente dovesse risultare positivo</w:t>
      </w:r>
      <w:r>
        <w:t>.</w:t>
      </w:r>
    </w:p>
    <w:p w:rsidR="0007534B" w:rsidRDefault="0007534B" w:rsidP="00B06A20"/>
    <w:p w:rsidR="0007534B" w:rsidRPr="00AA0E63" w:rsidRDefault="0007534B" w:rsidP="003A2777">
      <w:pPr>
        <w:pStyle w:val="Titolo3"/>
      </w:pPr>
      <w:r>
        <w:t xml:space="preserve">Modifica della legge cantonale sull’energia - </w:t>
      </w:r>
      <w:r w:rsidRPr="00AA0E63">
        <w:t>Modalità di concessione del contributo unico</w:t>
      </w:r>
    </w:p>
    <w:p w:rsidR="0007534B" w:rsidRPr="00AA0E63" w:rsidRDefault="0007534B" w:rsidP="00B06A20">
      <w:r>
        <w:t xml:space="preserve">Idealmente si dovrebbe poter </w:t>
      </w:r>
      <w:r w:rsidRPr="00AA0E63">
        <w:t xml:space="preserve">incentivare anche gli impianti fotovoltaici con potenza tra i 10 </w:t>
      </w:r>
      <w:proofErr w:type="spellStart"/>
      <w:r w:rsidRPr="00AA0E63">
        <w:t>kWp</w:t>
      </w:r>
      <w:proofErr w:type="spellEnd"/>
      <w:r w:rsidRPr="00AA0E63">
        <w:t xml:space="preserve"> e i 30 </w:t>
      </w:r>
      <w:proofErr w:type="spellStart"/>
      <w:r w:rsidRPr="00AA0E63">
        <w:t>kWp</w:t>
      </w:r>
      <w:proofErr w:type="spellEnd"/>
      <w:r w:rsidRPr="00AA0E63">
        <w:t xml:space="preserve"> mediante contributo unico</w:t>
      </w:r>
      <w:r>
        <w:t>. Questa proposta non è attualmente possibile a causa della situazione finanziaria del fondo. La modifica di legge propone tuttavia di delegare al Consiglio di Stato il compito di stabilire il limite per l’ottenimento del contributo unico nel regolamento d’applicazione.</w:t>
      </w:r>
    </w:p>
    <w:p w:rsidR="0007534B" w:rsidRPr="00AA0E63" w:rsidRDefault="0007534B" w:rsidP="00B06A20"/>
    <w:p w:rsidR="0007534B" w:rsidRPr="00AA0E63" w:rsidRDefault="0007534B" w:rsidP="003A2777">
      <w:pPr>
        <w:pStyle w:val="Titolo3"/>
      </w:pPr>
      <w:r>
        <w:t xml:space="preserve">Decreto legislativo </w:t>
      </w:r>
      <w:r w:rsidR="00DC2BF1">
        <w:t>-</w:t>
      </w:r>
      <w:r>
        <w:t xml:space="preserve"> Durata dei prelievi</w:t>
      </w:r>
    </w:p>
    <w:p w:rsidR="0007534B" w:rsidRPr="00AA0E63" w:rsidRDefault="0007534B" w:rsidP="00B06A20">
      <w:r>
        <w:t>S</w:t>
      </w:r>
      <w:r w:rsidRPr="00AA0E63">
        <w:t>ia il prelievo sulla produzione sia il prelievo sul consumo saranno in vigore per 4 anni a decorrere dal 1</w:t>
      </w:r>
      <w:r>
        <w:t>°</w:t>
      </w:r>
      <w:r w:rsidRPr="00AA0E63">
        <w:t xml:space="preserve"> gennaio 2017 </w:t>
      </w:r>
      <w:r>
        <w:t>con</w:t>
      </w:r>
      <w:r w:rsidRPr="00AA0E63">
        <w:t xml:space="preserve"> termine al 31.12.202</w:t>
      </w:r>
      <w:r>
        <w:t>0.</w:t>
      </w:r>
    </w:p>
    <w:p w:rsidR="0007534B" w:rsidRDefault="0007534B" w:rsidP="00B06A20"/>
    <w:p w:rsidR="00B06A20" w:rsidRDefault="00B06A20" w:rsidP="00B06A20"/>
    <w:p w:rsidR="0007534B" w:rsidRPr="00894CA4" w:rsidRDefault="00B06A20" w:rsidP="003A2777">
      <w:pPr>
        <w:pStyle w:val="Titolo2"/>
      </w:pPr>
      <w:r>
        <w:t>2.3</w:t>
      </w:r>
      <w:r>
        <w:tab/>
      </w:r>
      <w:r w:rsidR="0007534B">
        <w:t>Co</w:t>
      </w:r>
      <w:r w:rsidR="00DC2BF1">
        <w:t>nsiderazioni della Commissione speciale e</w:t>
      </w:r>
      <w:r w:rsidR="0007534B">
        <w:t>nergia</w:t>
      </w:r>
    </w:p>
    <w:p w:rsidR="0007534B" w:rsidRDefault="0007534B" w:rsidP="003A2777">
      <w:r>
        <w:t>Il fondo FER è un tassello fondamentale per il raggiungimento degli obiettivi posti nel PEC. Malgrado la lunga lista di attesa, il numero di nuove installazioni con pannelli fotovoltaici non tende a diminuire, anzi!</w:t>
      </w:r>
    </w:p>
    <w:p w:rsidR="003A2777" w:rsidRPr="003A2777" w:rsidRDefault="003A2777" w:rsidP="003A2777">
      <w:pPr>
        <w:rPr>
          <w:sz w:val="12"/>
          <w:szCs w:val="12"/>
        </w:rPr>
      </w:pPr>
    </w:p>
    <w:p w:rsidR="0007534B" w:rsidRDefault="0007534B" w:rsidP="003A2777">
      <w:r>
        <w:t>Ciò non di meno è corretto che chi investe in queste tecnologie si aspetta che gli incentivi vengano versati in tempi relativamente brevi.</w:t>
      </w:r>
    </w:p>
    <w:p w:rsidR="003A2777" w:rsidRPr="003A2777" w:rsidRDefault="003A2777" w:rsidP="003A2777">
      <w:pPr>
        <w:rPr>
          <w:sz w:val="12"/>
          <w:szCs w:val="12"/>
        </w:rPr>
      </w:pPr>
    </w:p>
    <w:p w:rsidR="0007534B" w:rsidRPr="00747859" w:rsidRDefault="0007534B" w:rsidP="003A2777">
      <w:r>
        <w:t>Il fondo FER va quindi assolutamente risanato, senza tuttavia aggravare la situazione finanziaria della nostra Azienda elettrica cantonale</w:t>
      </w:r>
      <w:r w:rsidRPr="003A2777">
        <w:t xml:space="preserve">. </w:t>
      </w:r>
      <w:r w:rsidRPr="00747859">
        <w:t>La proposta della clausola di prelievo solo in caso di risultato utile da parte di AET appare quindi sensata.</w:t>
      </w:r>
    </w:p>
    <w:p w:rsidR="003A2777" w:rsidRPr="00747859" w:rsidRDefault="003A2777" w:rsidP="003A2777">
      <w:pPr>
        <w:rPr>
          <w:sz w:val="12"/>
          <w:szCs w:val="12"/>
        </w:rPr>
      </w:pPr>
    </w:p>
    <w:p w:rsidR="0007534B" w:rsidRDefault="0007534B" w:rsidP="003A2777">
      <w:r w:rsidRPr="00747859">
        <w:t xml:space="preserve">La Commissione è invece contraria a ridurre il prelievo sulla produzione: la cifra di 0.6 </w:t>
      </w:r>
      <w:proofErr w:type="spellStart"/>
      <w:r w:rsidRPr="00747859">
        <w:t>cts</w:t>
      </w:r>
      <w:proofErr w:type="spellEnd"/>
      <w:r w:rsidRPr="00747859">
        <w:t xml:space="preserve"> era indicata nel controprogetto all’iniziativa </w:t>
      </w:r>
      <w:r w:rsidRPr="00747859">
        <w:rPr>
          <w:i/>
        </w:rPr>
        <w:t>Per un’AET senza carbone!</w:t>
      </w:r>
      <w:r w:rsidRPr="00747859">
        <w:t>, accettato dal popolo il 5 giugno 2011, quale limite inferiore del prelievo.</w:t>
      </w:r>
    </w:p>
    <w:p w:rsidR="003A2777" w:rsidRPr="003A2777" w:rsidRDefault="003A2777" w:rsidP="003A2777">
      <w:pPr>
        <w:rPr>
          <w:sz w:val="12"/>
          <w:szCs w:val="12"/>
        </w:rPr>
      </w:pPr>
    </w:p>
    <w:p w:rsidR="0007534B" w:rsidRDefault="0007534B" w:rsidP="003A2777">
      <w:r>
        <w:t xml:space="preserve">Il prolungamento del prelievo sulla produzione e sul consumo al 31.12.2020 e la possibilità di passare all’incentivo mediante contributo unico </w:t>
      </w:r>
      <w:r w:rsidRPr="0069613A">
        <w:t xml:space="preserve">per gli impianti fotovoltaici con potenza tra i 10 </w:t>
      </w:r>
      <w:proofErr w:type="spellStart"/>
      <w:r w:rsidRPr="0069613A">
        <w:t>kWp</w:t>
      </w:r>
      <w:proofErr w:type="spellEnd"/>
      <w:r w:rsidRPr="0069613A">
        <w:t xml:space="preserve"> e i 30 </w:t>
      </w:r>
      <w:proofErr w:type="spellStart"/>
      <w:r w:rsidRPr="0069613A">
        <w:t>kWp</w:t>
      </w:r>
      <w:proofErr w:type="spellEnd"/>
      <w:r w:rsidRPr="0069613A">
        <w:t xml:space="preserve"> </w:t>
      </w:r>
      <w:r>
        <w:t xml:space="preserve">sono anche due proposte da </w:t>
      </w:r>
      <w:r w:rsidRPr="0069613A">
        <w:t>approvar</w:t>
      </w:r>
      <w:r>
        <w:t>e, tenuto conto delle motivazioni del Consiglio di Stato.</w:t>
      </w:r>
    </w:p>
    <w:p w:rsidR="0007534B" w:rsidRDefault="0007534B" w:rsidP="0007534B">
      <w:pPr>
        <w:spacing w:after="60"/>
        <w:rPr>
          <w:rFonts w:cs="Arial"/>
          <w:szCs w:val="24"/>
        </w:rPr>
      </w:pPr>
    </w:p>
    <w:p w:rsidR="0007534B" w:rsidRDefault="0007534B" w:rsidP="003A2777">
      <w:pPr>
        <w:spacing w:after="120"/>
        <w:rPr>
          <w:rFonts w:cs="Arial"/>
          <w:szCs w:val="24"/>
        </w:rPr>
      </w:pPr>
      <w:r>
        <w:rPr>
          <w:rFonts w:cs="Arial"/>
          <w:szCs w:val="24"/>
        </w:rPr>
        <w:lastRenderedPageBreak/>
        <w:t>Con queste due proposte tuttavia, tenendo conto del numero di impianti che verranno realizzati nei prossimi anni, non appare possibile “rimpolpare” il fondo in modo tale da poter rispondere tempestivamente alle richieste.</w:t>
      </w:r>
    </w:p>
    <w:p w:rsidR="0007534B" w:rsidRDefault="0007534B" w:rsidP="003A2777">
      <w:pPr>
        <w:spacing w:after="120"/>
        <w:rPr>
          <w:rFonts w:cs="Arial"/>
          <w:szCs w:val="24"/>
        </w:rPr>
      </w:pPr>
      <w:r>
        <w:rPr>
          <w:rFonts w:cs="Arial"/>
          <w:szCs w:val="24"/>
        </w:rPr>
        <w:t xml:space="preserve">È quindi utile prevedere ulteriori misure e, considerate le possibilità di finanziamento del fondo, appare indispensabile anche ritoccare il prelievo sul consumo, attualmente fissato a 0.2 </w:t>
      </w:r>
      <w:proofErr w:type="spellStart"/>
      <w:r>
        <w:rPr>
          <w:rFonts w:cs="Arial"/>
          <w:szCs w:val="24"/>
        </w:rPr>
        <w:t>cts</w:t>
      </w:r>
      <w:proofErr w:type="spellEnd"/>
      <w:r>
        <w:rPr>
          <w:rFonts w:cs="Arial"/>
          <w:szCs w:val="24"/>
        </w:rPr>
        <w:t>/kWh.</w:t>
      </w:r>
    </w:p>
    <w:p w:rsidR="0007534B" w:rsidRPr="00886407" w:rsidRDefault="0007534B" w:rsidP="003A2777">
      <w:pPr>
        <w:spacing w:after="120"/>
        <w:rPr>
          <w:rFonts w:cs="Arial"/>
          <w:szCs w:val="24"/>
        </w:rPr>
      </w:pPr>
      <w:r>
        <w:rPr>
          <w:rFonts w:cs="Arial"/>
          <w:szCs w:val="24"/>
        </w:rPr>
        <w:t xml:space="preserve">Interrogato su questo tema, il Consiglio di Stato ha confermato che con il prelievo attualmente in vigore gli introiti sono stati di circa CHF 3.8 </w:t>
      </w:r>
      <w:r w:rsidRPr="00886407">
        <w:rPr>
          <w:rFonts w:cs="Arial"/>
          <w:szCs w:val="24"/>
        </w:rPr>
        <w:t>mio/anno.</w:t>
      </w:r>
      <w:r>
        <w:rPr>
          <w:rFonts w:cs="Arial"/>
          <w:szCs w:val="24"/>
        </w:rPr>
        <w:t xml:space="preserve"> </w:t>
      </w:r>
      <w:r w:rsidRPr="00886407">
        <w:rPr>
          <w:rFonts w:cs="Arial"/>
          <w:szCs w:val="24"/>
        </w:rPr>
        <w:t xml:space="preserve">Ritenuto che ogni aumento del prelievo di 0.1 </w:t>
      </w:r>
      <w:proofErr w:type="spellStart"/>
      <w:r w:rsidRPr="00886407">
        <w:rPr>
          <w:rFonts w:cs="Arial"/>
          <w:szCs w:val="24"/>
        </w:rPr>
        <w:t>cts</w:t>
      </w:r>
      <w:proofErr w:type="spellEnd"/>
      <w:r w:rsidRPr="00886407">
        <w:rPr>
          <w:rFonts w:cs="Arial"/>
          <w:szCs w:val="24"/>
        </w:rPr>
        <w:t>/kWh genera c</w:t>
      </w:r>
      <w:r>
        <w:rPr>
          <w:rFonts w:cs="Arial"/>
          <w:szCs w:val="24"/>
        </w:rPr>
        <w:t xml:space="preserve">irca CHF </w:t>
      </w:r>
      <w:r w:rsidRPr="00886407">
        <w:rPr>
          <w:rFonts w:cs="Arial"/>
          <w:szCs w:val="24"/>
        </w:rPr>
        <w:t>1.9 mio/anno, un prelievo di</w:t>
      </w:r>
      <w:r>
        <w:rPr>
          <w:rFonts w:cs="Arial"/>
          <w:szCs w:val="24"/>
        </w:rPr>
        <w:t xml:space="preserve"> </w:t>
      </w:r>
      <w:r w:rsidRPr="00886407">
        <w:rPr>
          <w:rFonts w:cs="Arial"/>
          <w:szCs w:val="24"/>
        </w:rPr>
        <w:t xml:space="preserve">0.3 </w:t>
      </w:r>
      <w:proofErr w:type="spellStart"/>
      <w:r w:rsidRPr="00886407">
        <w:rPr>
          <w:rFonts w:cs="Arial"/>
          <w:szCs w:val="24"/>
        </w:rPr>
        <w:t>cts</w:t>
      </w:r>
      <w:proofErr w:type="spellEnd"/>
      <w:r w:rsidRPr="00886407">
        <w:rPr>
          <w:rFonts w:cs="Arial"/>
          <w:szCs w:val="24"/>
        </w:rPr>
        <w:t xml:space="preserve">/kWh apporterebbe complessivamente </w:t>
      </w:r>
      <w:r>
        <w:rPr>
          <w:rFonts w:cs="Arial"/>
          <w:szCs w:val="24"/>
        </w:rPr>
        <w:t xml:space="preserve">CHF </w:t>
      </w:r>
      <w:r w:rsidRPr="00886407">
        <w:rPr>
          <w:rFonts w:cs="Arial"/>
          <w:szCs w:val="24"/>
        </w:rPr>
        <w:t xml:space="preserve">5.7 mio/anno al FER, con un prelievo di 0.4 </w:t>
      </w:r>
      <w:proofErr w:type="spellStart"/>
      <w:r w:rsidRPr="00886407">
        <w:rPr>
          <w:rFonts w:cs="Arial"/>
          <w:szCs w:val="24"/>
        </w:rPr>
        <w:t>cts</w:t>
      </w:r>
      <w:proofErr w:type="spellEnd"/>
      <w:r w:rsidRPr="00886407">
        <w:rPr>
          <w:rFonts w:cs="Arial"/>
          <w:szCs w:val="24"/>
        </w:rPr>
        <w:t>/kWh il</w:t>
      </w:r>
      <w:r>
        <w:rPr>
          <w:rFonts w:cs="Arial"/>
          <w:szCs w:val="24"/>
        </w:rPr>
        <w:t xml:space="preserve"> </w:t>
      </w:r>
      <w:r w:rsidRPr="00886407">
        <w:rPr>
          <w:rFonts w:cs="Arial"/>
          <w:szCs w:val="24"/>
        </w:rPr>
        <w:t xml:space="preserve">contributo sarebbe di </w:t>
      </w:r>
      <w:r>
        <w:rPr>
          <w:rFonts w:cs="Arial"/>
          <w:szCs w:val="24"/>
        </w:rPr>
        <w:t xml:space="preserve">CHF </w:t>
      </w:r>
      <w:r w:rsidRPr="00886407">
        <w:rPr>
          <w:rFonts w:cs="Arial"/>
          <w:szCs w:val="24"/>
        </w:rPr>
        <w:t xml:space="preserve">7.6 mio/anno e infine con 0.5 </w:t>
      </w:r>
      <w:proofErr w:type="spellStart"/>
      <w:r w:rsidRPr="00886407">
        <w:rPr>
          <w:rFonts w:cs="Arial"/>
          <w:szCs w:val="24"/>
        </w:rPr>
        <w:t>cts</w:t>
      </w:r>
      <w:proofErr w:type="spellEnd"/>
      <w:r w:rsidRPr="00886407">
        <w:rPr>
          <w:rFonts w:cs="Arial"/>
          <w:szCs w:val="24"/>
        </w:rPr>
        <w:t xml:space="preserve">/kWh salirebbe a </w:t>
      </w:r>
      <w:r>
        <w:rPr>
          <w:rFonts w:cs="Arial"/>
          <w:szCs w:val="24"/>
        </w:rPr>
        <w:t xml:space="preserve">CHF </w:t>
      </w:r>
      <w:r w:rsidRPr="00886407">
        <w:rPr>
          <w:rFonts w:cs="Arial"/>
          <w:szCs w:val="24"/>
        </w:rPr>
        <w:t>9.5 mio/anno.</w:t>
      </w:r>
    </w:p>
    <w:p w:rsidR="0007534B" w:rsidRPr="00886407" w:rsidRDefault="0007534B" w:rsidP="003A2777">
      <w:pPr>
        <w:spacing w:after="120"/>
        <w:rPr>
          <w:rFonts w:cs="Arial"/>
          <w:szCs w:val="24"/>
        </w:rPr>
      </w:pPr>
      <w:r>
        <w:rPr>
          <w:rFonts w:cs="Arial"/>
          <w:szCs w:val="24"/>
        </w:rPr>
        <w:t>I</w:t>
      </w:r>
      <w:r w:rsidRPr="00886407">
        <w:rPr>
          <w:rFonts w:cs="Arial"/>
          <w:szCs w:val="24"/>
        </w:rPr>
        <w:t xml:space="preserve">l prelievo sulla produzione della centrale di </w:t>
      </w:r>
      <w:proofErr w:type="spellStart"/>
      <w:r>
        <w:rPr>
          <w:rFonts w:cs="Arial"/>
          <w:szCs w:val="24"/>
        </w:rPr>
        <w:t>Lü</w:t>
      </w:r>
      <w:r w:rsidRPr="00886407">
        <w:rPr>
          <w:rFonts w:cs="Arial"/>
          <w:szCs w:val="24"/>
        </w:rPr>
        <w:t>nen</w:t>
      </w:r>
      <w:proofErr w:type="spellEnd"/>
      <w:r w:rsidRPr="00886407">
        <w:rPr>
          <w:rFonts w:cs="Arial"/>
          <w:szCs w:val="24"/>
        </w:rPr>
        <w:t xml:space="preserve"> ha contribuito per </w:t>
      </w:r>
      <w:r>
        <w:rPr>
          <w:rFonts w:cs="Arial"/>
          <w:szCs w:val="24"/>
        </w:rPr>
        <w:t xml:space="preserve">CHF </w:t>
      </w:r>
      <w:r w:rsidRPr="00886407">
        <w:rPr>
          <w:rFonts w:cs="Arial"/>
          <w:szCs w:val="24"/>
        </w:rPr>
        <w:t>4.4 mio il primo anno,</w:t>
      </w:r>
      <w:r>
        <w:rPr>
          <w:rFonts w:cs="Arial"/>
          <w:szCs w:val="24"/>
        </w:rPr>
        <w:t xml:space="preserve"> </w:t>
      </w:r>
      <w:r w:rsidRPr="00886407">
        <w:rPr>
          <w:rFonts w:cs="Arial"/>
          <w:szCs w:val="24"/>
        </w:rPr>
        <w:t xml:space="preserve">nel secondo per </w:t>
      </w:r>
      <w:r>
        <w:rPr>
          <w:rFonts w:cs="Arial"/>
          <w:szCs w:val="24"/>
        </w:rPr>
        <w:t xml:space="preserve">CHF </w:t>
      </w:r>
      <w:r w:rsidRPr="00886407">
        <w:rPr>
          <w:rFonts w:cs="Arial"/>
          <w:szCs w:val="24"/>
        </w:rPr>
        <w:t xml:space="preserve">1.9 mio (a causa di una chiusura di 4 mesi) e </w:t>
      </w:r>
      <w:r>
        <w:rPr>
          <w:rFonts w:cs="Arial"/>
          <w:szCs w:val="24"/>
        </w:rPr>
        <w:t xml:space="preserve">nel 2016 </w:t>
      </w:r>
      <w:r w:rsidRPr="00886407">
        <w:rPr>
          <w:rFonts w:cs="Arial"/>
          <w:szCs w:val="24"/>
        </w:rPr>
        <w:t>l'apporto al fondo dovrebbe</w:t>
      </w:r>
      <w:r>
        <w:rPr>
          <w:rFonts w:cs="Arial"/>
          <w:szCs w:val="24"/>
        </w:rPr>
        <w:t xml:space="preserve"> </w:t>
      </w:r>
      <w:r w:rsidRPr="00886407">
        <w:rPr>
          <w:rFonts w:cs="Arial"/>
          <w:szCs w:val="24"/>
        </w:rPr>
        <w:t xml:space="preserve">attestarsi attorno ai </w:t>
      </w:r>
      <w:r>
        <w:rPr>
          <w:rFonts w:cs="Arial"/>
          <w:szCs w:val="24"/>
        </w:rPr>
        <w:t xml:space="preserve">CHF </w:t>
      </w:r>
      <w:r w:rsidRPr="00886407">
        <w:rPr>
          <w:rFonts w:cs="Arial"/>
          <w:szCs w:val="24"/>
        </w:rPr>
        <w:t>2,5 mio.</w:t>
      </w:r>
    </w:p>
    <w:p w:rsidR="0007534B" w:rsidRPr="00EC59E6" w:rsidRDefault="0007534B" w:rsidP="003A2777">
      <w:pPr>
        <w:spacing w:after="120"/>
        <w:rPr>
          <w:rFonts w:cs="Arial"/>
          <w:szCs w:val="24"/>
        </w:rPr>
      </w:pPr>
      <w:r>
        <w:rPr>
          <w:rFonts w:cs="Arial"/>
          <w:szCs w:val="24"/>
        </w:rPr>
        <w:t>Secondo le stime del Consiglio di Stato, p</w:t>
      </w:r>
      <w:r w:rsidRPr="00886407">
        <w:rPr>
          <w:rFonts w:cs="Arial"/>
          <w:szCs w:val="24"/>
        </w:rPr>
        <w:t>er compensare un'eventuale mancato prelievo sulla produzione, il prelievo sul consumo dovrebbe</w:t>
      </w:r>
      <w:r>
        <w:rPr>
          <w:rFonts w:cs="Arial"/>
          <w:szCs w:val="24"/>
        </w:rPr>
        <w:t xml:space="preserve"> </w:t>
      </w:r>
      <w:r w:rsidRPr="00886407">
        <w:rPr>
          <w:rFonts w:cs="Arial"/>
          <w:szCs w:val="24"/>
        </w:rPr>
        <w:t xml:space="preserve">essere aumentato almeno a 0.35 </w:t>
      </w:r>
      <w:proofErr w:type="spellStart"/>
      <w:r w:rsidRPr="00886407">
        <w:rPr>
          <w:rFonts w:cs="Arial"/>
          <w:szCs w:val="24"/>
        </w:rPr>
        <w:t>cts</w:t>
      </w:r>
      <w:proofErr w:type="spellEnd"/>
      <w:r w:rsidRPr="00886407">
        <w:rPr>
          <w:rFonts w:cs="Arial"/>
          <w:szCs w:val="24"/>
        </w:rPr>
        <w:t xml:space="preserve">/kWh, </w:t>
      </w:r>
      <w:r w:rsidRPr="00EC59E6">
        <w:rPr>
          <w:rFonts w:cs="Arial"/>
          <w:szCs w:val="24"/>
        </w:rPr>
        <w:t xml:space="preserve">in modo da far confluire nel FER </w:t>
      </w:r>
      <w:proofErr w:type="spellStart"/>
      <w:r w:rsidRPr="00EC59E6">
        <w:rPr>
          <w:rFonts w:cs="Arial"/>
          <w:szCs w:val="24"/>
        </w:rPr>
        <w:t>ca</w:t>
      </w:r>
      <w:proofErr w:type="spellEnd"/>
      <w:r w:rsidRPr="00EC59E6">
        <w:rPr>
          <w:rFonts w:cs="Arial"/>
          <w:szCs w:val="24"/>
        </w:rPr>
        <w:t xml:space="preserve">. 3 mio/anno, cioè circa la media dell'apporto attuale della produzione di </w:t>
      </w:r>
      <w:proofErr w:type="spellStart"/>
      <w:r w:rsidRPr="00EC59E6">
        <w:rPr>
          <w:rFonts w:cs="Arial"/>
          <w:szCs w:val="24"/>
        </w:rPr>
        <w:t>Lünen</w:t>
      </w:r>
      <w:proofErr w:type="spellEnd"/>
      <w:r w:rsidRPr="00EC59E6">
        <w:rPr>
          <w:rFonts w:cs="Arial"/>
          <w:szCs w:val="24"/>
        </w:rPr>
        <w:t xml:space="preserve"> al FER.</w:t>
      </w:r>
    </w:p>
    <w:p w:rsidR="0007534B" w:rsidRDefault="0007534B" w:rsidP="0007534B">
      <w:pPr>
        <w:spacing w:after="60"/>
        <w:rPr>
          <w:rFonts w:cs="Arial"/>
          <w:szCs w:val="24"/>
        </w:rPr>
      </w:pPr>
      <w:r w:rsidRPr="00EC59E6">
        <w:rPr>
          <w:rFonts w:cs="Arial"/>
          <w:szCs w:val="24"/>
        </w:rPr>
        <w:t xml:space="preserve">Tenuto conto della situazione finanziaria di AET, che probabilmente non registrerà utili nei prossimi anni, la Commissione Energia chiede al Consiglio di Stato come intende sopperire al mancato introito dalla centrale del </w:t>
      </w:r>
      <w:proofErr w:type="spellStart"/>
      <w:r w:rsidRPr="00EC59E6">
        <w:rPr>
          <w:rFonts w:cs="Arial"/>
          <w:szCs w:val="24"/>
        </w:rPr>
        <w:t>Lünen</w:t>
      </w:r>
      <w:proofErr w:type="spellEnd"/>
      <w:r w:rsidRPr="00EC59E6">
        <w:rPr>
          <w:rFonts w:cs="Arial"/>
          <w:szCs w:val="24"/>
        </w:rPr>
        <w:t xml:space="preserve">, se non, oltre alle misure sopra descritte, </w:t>
      </w:r>
      <w:r w:rsidRPr="00747859">
        <w:rPr>
          <w:rFonts w:cs="Arial"/>
          <w:szCs w:val="24"/>
        </w:rPr>
        <w:t>adeguando il prelievo sul consumo. Misura questa tuttavia che non viene sostenuta dalla maggioranza della Commissione Energia, che non ritiene opportuno gravare ulteriormente le finanze dei cittadini.</w:t>
      </w:r>
    </w:p>
    <w:p w:rsidR="0007534B" w:rsidRDefault="0007534B" w:rsidP="003A2777"/>
    <w:p w:rsidR="0007534B" w:rsidRDefault="0007534B" w:rsidP="003A2777"/>
    <w:p w:rsidR="0007534B" w:rsidRPr="00075437" w:rsidRDefault="0007534B" w:rsidP="00B06A20">
      <w:pPr>
        <w:pStyle w:val="Titolo1"/>
      </w:pPr>
      <w:r>
        <w:t xml:space="preserve">MOZIONE “SOLE DEL TICINO 3” E INIZIATIVA </w:t>
      </w:r>
      <w:r w:rsidR="00747859">
        <w:t xml:space="preserve">PARLAMENTARE </w:t>
      </w:r>
      <w:r>
        <w:t>GENERICA “SOLE DEL TICINO 4”</w:t>
      </w:r>
    </w:p>
    <w:p w:rsidR="0007534B" w:rsidRPr="00894CA4" w:rsidRDefault="00747859" w:rsidP="003A2777">
      <w:pPr>
        <w:pStyle w:val="Titolo2"/>
      </w:pPr>
      <w:r>
        <w:t>3.1</w:t>
      </w:r>
      <w:r>
        <w:tab/>
      </w:r>
      <w:r w:rsidR="0007534B">
        <w:t xml:space="preserve">Proposte </w:t>
      </w:r>
    </w:p>
    <w:p w:rsidR="0007534B" w:rsidRDefault="0007534B" w:rsidP="00747859">
      <w:r>
        <w:t>Le due proposte sono volte a prevedere un incentivo anche per i sistemi di stoccaggio dell’energia prodotta da impianti fotovoltaici.</w:t>
      </w:r>
    </w:p>
    <w:p w:rsidR="00747859" w:rsidRPr="00747859" w:rsidRDefault="00747859" w:rsidP="00747859">
      <w:pPr>
        <w:rPr>
          <w:sz w:val="12"/>
          <w:szCs w:val="12"/>
        </w:rPr>
      </w:pPr>
    </w:p>
    <w:p w:rsidR="0007534B" w:rsidRDefault="0007534B" w:rsidP="00747859">
      <w:r>
        <w:t>In sostanza, da un lato si chiede di introdurre, nell’ambito del fondo FER, gli incentivi anche per le batterie e dall’altro che anche i Comuni abbiamo la possibilità di farlo grazie a una modifica dell’art. 8c lettera g) della Legge cantonale sull’energia.</w:t>
      </w:r>
    </w:p>
    <w:p w:rsidR="0007534B" w:rsidRDefault="0007534B" w:rsidP="00747859"/>
    <w:p w:rsidR="00747859" w:rsidRDefault="00747859" w:rsidP="00747859"/>
    <w:p w:rsidR="0007534B" w:rsidRDefault="00747859" w:rsidP="003A2777">
      <w:pPr>
        <w:pStyle w:val="Titolo2"/>
      </w:pPr>
      <w:r>
        <w:t>3.2</w:t>
      </w:r>
      <w:r>
        <w:tab/>
      </w:r>
      <w:r w:rsidR="0007534B">
        <w:t>Considerazioni del Consiglio di Stato</w:t>
      </w:r>
    </w:p>
    <w:p w:rsidR="0007534B" w:rsidRDefault="0007534B" w:rsidP="00747859">
      <w:r w:rsidRPr="00185F2A">
        <w:t>Considerata la situazion</w:t>
      </w:r>
      <w:r>
        <w:t xml:space="preserve">e finanziaria del fondo FER non è opportuno </w:t>
      </w:r>
      <w:r w:rsidRPr="00185F2A">
        <w:t>garantire anche uno specifico finanziamento per i sistemi di stoccaggio. La proposta della mozione andrebbe a diminuire il numero di impianti che si potrebbero incentivare</w:t>
      </w:r>
      <w:r>
        <w:t xml:space="preserve"> ritardando di riflesso </w:t>
      </w:r>
      <w:r w:rsidRPr="00185F2A">
        <w:t>il raggiungimento degli obiettivi a lungo termine della politica energetica cantonale e federale</w:t>
      </w:r>
      <w:r>
        <w:t>.</w:t>
      </w:r>
    </w:p>
    <w:p w:rsidR="0007534B" w:rsidRDefault="0007534B" w:rsidP="00747859"/>
    <w:p w:rsidR="0007534B" w:rsidRPr="00185F2A" w:rsidRDefault="0007534B" w:rsidP="00747859">
      <w:r w:rsidRPr="00185F2A">
        <w:t xml:space="preserve">Per ciò che attiene l’iniziativa parlamentare, il Consiglio di Stato ricorda che i </w:t>
      </w:r>
      <w:r>
        <w:t>C</w:t>
      </w:r>
      <w:r w:rsidRPr="00185F2A">
        <w:t xml:space="preserve">omuni beneficiano di un introito globale annuo per l’attuazione della propria politica energetica a livello locale e non </w:t>
      </w:r>
      <w:r>
        <w:t xml:space="preserve">di </w:t>
      </w:r>
      <w:r w:rsidRPr="00185F2A">
        <w:t xml:space="preserve">un incentivo specifico per singole attività puntuali. Ciò nonostante, pur non essendo strettamente necessario completare l’art. 8c </w:t>
      </w:r>
      <w:proofErr w:type="spellStart"/>
      <w:r w:rsidRPr="00185F2A">
        <w:t>lett</w:t>
      </w:r>
      <w:proofErr w:type="spellEnd"/>
      <w:r w:rsidRPr="00185F2A">
        <w:t xml:space="preserve"> g della </w:t>
      </w:r>
      <w:r>
        <w:t>L</w:t>
      </w:r>
      <w:r w:rsidRPr="00185F2A">
        <w:t xml:space="preserve">egge cantonale </w:t>
      </w:r>
      <w:r w:rsidRPr="00185F2A">
        <w:lastRenderedPageBreak/>
        <w:t>sull’energia,</w:t>
      </w:r>
      <w:r>
        <w:t xml:space="preserve"> per motivi </w:t>
      </w:r>
      <w:r w:rsidRPr="00185F2A">
        <w:t>di</w:t>
      </w:r>
      <w:r>
        <w:t xml:space="preserve"> trasparenza </w:t>
      </w:r>
      <w:r w:rsidRPr="00185F2A">
        <w:t xml:space="preserve">il Consiglio di Stato ritiene opportuno attuare la modifica dell’articolo </w:t>
      </w:r>
      <w:r>
        <w:t>menzi</w:t>
      </w:r>
      <w:r w:rsidRPr="00185F2A">
        <w:t>onato come richiesto dell’iniziativa parlamentare elaborata “Sole del Ticino 4”.</w:t>
      </w:r>
    </w:p>
    <w:p w:rsidR="0007534B" w:rsidRDefault="0007534B" w:rsidP="00747859">
      <w:pPr>
        <w:rPr>
          <w:rFonts w:cs="Arial"/>
          <w:szCs w:val="24"/>
        </w:rPr>
      </w:pPr>
    </w:p>
    <w:p w:rsidR="00747859" w:rsidRDefault="00747859" w:rsidP="00747859">
      <w:pPr>
        <w:rPr>
          <w:rFonts w:cs="Arial"/>
          <w:szCs w:val="24"/>
        </w:rPr>
      </w:pPr>
    </w:p>
    <w:p w:rsidR="0007534B" w:rsidRPr="00894CA4" w:rsidRDefault="00747859" w:rsidP="003A2777">
      <w:pPr>
        <w:pStyle w:val="Titolo2"/>
      </w:pPr>
      <w:r>
        <w:t>3.3</w:t>
      </w:r>
      <w:r>
        <w:tab/>
      </w:r>
      <w:r w:rsidR="0007534B">
        <w:t xml:space="preserve">Considerazioni della Commissione </w:t>
      </w:r>
      <w:r w:rsidR="00DC2BF1">
        <w:t>speciale e</w:t>
      </w:r>
      <w:r w:rsidR="0007534B">
        <w:t>nergia</w:t>
      </w:r>
    </w:p>
    <w:p w:rsidR="0007534B" w:rsidRPr="00747859" w:rsidRDefault="0007534B" w:rsidP="003A2777">
      <w:pPr>
        <w:rPr>
          <w:rFonts w:cs="Arial"/>
          <w:szCs w:val="24"/>
        </w:rPr>
      </w:pPr>
      <w:r w:rsidRPr="00747859">
        <w:rPr>
          <w:rFonts w:cs="Arial"/>
          <w:szCs w:val="24"/>
        </w:rPr>
        <w:t>Il tema dell’accumulo di energia “in casa” è sicuramente importante e va approfondito di pari passo con l’evoluzione tecnico-commerciale degli impianti fotovoltaici.</w:t>
      </w:r>
    </w:p>
    <w:p w:rsidR="0007534B" w:rsidRDefault="0007534B" w:rsidP="0007534B">
      <w:pPr>
        <w:rPr>
          <w:rFonts w:cs="Arial"/>
          <w:szCs w:val="24"/>
        </w:rPr>
      </w:pPr>
    </w:p>
    <w:p w:rsidR="0007534B" w:rsidRDefault="0007534B" w:rsidP="0007534B">
      <w:pPr>
        <w:rPr>
          <w:rFonts w:cs="Arial"/>
          <w:szCs w:val="24"/>
        </w:rPr>
      </w:pPr>
      <w:r>
        <w:rPr>
          <w:rFonts w:cs="Arial"/>
          <w:szCs w:val="24"/>
        </w:rPr>
        <w:t>I costi dei moduli fotovoltaici e delle batterie al litio scendono</w:t>
      </w:r>
      <w:r w:rsidRPr="002B7305">
        <w:rPr>
          <w:rFonts w:cs="Arial"/>
          <w:szCs w:val="24"/>
        </w:rPr>
        <w:t xml:space="preserve"> </w:t>
      </w:r>
      <w:r>
        <w:rPr>
          <w:rFonts w:cs="Arial"/>
          <w:szCs w:val="24"/>
        </w:rPr>
        <w:t>continuamente, e la tendenza al ribasso pare costante, come mostrato nel grafico seguente, presentato alla “</w:t>
      </w:r>
      <w:proofErr w:type="spellStart"/>
      <w:r>
        <w:rPr>
          <w:rFonts w:cs="Arial"/>
          <w:szCs w:val="24"/>
        </w:rPr>
        <w:t>Tage</w:t>
      </w:r>
      <w:proofErr w:type="spellEnd"/>
      <w:r>
        <w:rPr>
          <w:rFonts w:cs="Arial"/>
          <w:szCs w:val="24"/>
        </w:rPr>
        <w:t xml:space="preserve"> </w:t>
      </w:r>
      <w:proofErr w:type="spellStart"/>
      <w:r>
        <w:rPr>
          <w:rFonts w:cs="Arial"/>
          <w:szCs w:val="24"/>
        </w:rPr>
        <w:t>der</w:t>
      </w:r>
      <w:proofErr w:type="spellEnd"/>
      <w:r>
        <w:rPr>
          <w:rFonts w:cs="Arial"/>
          <w:szCs w:val="24"/>
        </w:rPr>
        <w:t xml:space="preserve"> </w:t>
      </w:r>
      <w:proofErr w:type="spellStart"/>
      <w:r>
        <w:rPr>
          <w:rFonts w:cs="Arial"/>
          <w:szCs w:val="24"/>
        </w:rPr>
        <w:t>Technik</w:t>
      </w:r>
      <w:proofErr w:type="spellEnd"/>
      <w:r>
        <w:rPr>
          <w:rFonts w:cs="Arial"/>
          <w:szCs w:val="24"/>
        </w:rPr>
        <w:t xml:space="preserve"> 2015 – </w:t>
      </w:r>
      <w:proofErr w:type="spellStart"/>
      <w:r>
        <w:rPr>
          <w:rFonts w:cs="Arial"/>
          <w:szCs w:val="24"/>
        </w:rPr>
        <w:t>Energiesysteme</w:t>
      </w:r>
      <w:proofErr w:type="spellEnd"/>
      <w:r>
        <w:rPr>
          <w:rFonts w:cs="Arial"/>
          <w:szCs w:val="24"/>
        </w:rPr>
        <w:t xml:space="preserve"> </w:t>
      </w:r>
      <w:proofErr w:type="spellStart"/>
      <w:r>
        <w:rPr>
          <w:rFonts w:cs="Arial"/>
          <w:szCs w:val="24"/>
        </w:rPr>
        <w:t>der</w:t>
      </w:r>
      <w:proofErr w:type="spellEnd"/>
      <w:r>
        <w:rPr>
          <w:rFonts w:cs="Arial"/>
          <w:szCs w:val="24"/>
        </w:rPr>
        <w:t xml:space="preserve"> </w:t>
      </w:r>
      <w:proofErr w:type="spellStart"/>
      <w:r>
        <w:rPr>
          <w:rFonts w:cs="Arial"/>
          <w:szCs w:val="24"/>
        </w:rPr>
        <w:t>Zukunft</w:t>
      </w:r>
      <w:proofErr w:type="spellEnd"/>
      <w:r>
        <w:rPr>
          <w:rFonts w:cs="Arial"/>
          <w:szCs w:val="24"/>
        </w:rPr>
        <w:t xml:space="preserve"> – </w:t>
      </w:r>
      <w:proofErr w:type="spellStart"/>
      <w:r>
        <w:rPr>
          <w:rFonts w:cs="Arial"/>
          <w:szCs w:val="24"/>
        </w:rPr>
        <w:t>viel</w:t>
      </w:r>
      <w:proofErr w:type="spellEnd"/>
      <w:r>
        <w:rPr>
          <w:rFonts w:cs="Arial"/>
          <w:szCs w:val="24"/>
        </w:rPr>
        <w:t xml:space="preserve"> </w:t>
      </w:r>
      <w:proofErr w:type="spellStart"/>
      <w:r>
        <w:rPr>
          <w:rFonts w:cs="Arial"/>
          <w:szCs w:val="24"/>
        </w:rPr>
        <w:t>mehr</w:t>
      </w:r>
      <w:proofErr w:type="spellEnd"/>
      <w:r>
        <w:rPr>
          <w:rFonts w:cs="Arial"/>
          <w:szCs w:val="24"/>
        </w:rPr>
        <w:t xml:space="preserve"> </w:t>
      </w:r>
      <w:proofErr w:type="spellStart"/>
      <w:r>
        <w:rPr>
          <w:rFonts w:cs="Arial"/>
          <w:szCs w:val="24"/>
        </w:rPr>
        <w:t>als</w:t>
      </w:r>
      <w:proofErr w:type="spellEnd"/>
      <w:r>
        <w:rPr>
          <w:rFonts w:cs="Arial"/>
          <w:szCs w:val="24"/>
        </w:rPr>
        <w:t xml:space="preserve"> </w:t>
      </w:r>
      <w:proofErr w:type="spellStart"/>
      <w:r>
        <w:rPr>
          <w:rFonts w:cs="Arial"/>
          <w:szCs w:val="24"/>
        </w:rPr>
        <w:t>Strom</w:t>
      </w:r>
      <w:proofErr w:type="spellEnd"/>
      <w:r>
        <w:rPr>
          <w:rFonts w:cs="Arial"/>
          <w:szCs w:val="24"/>
        </w:rPr>
        <w:t>” del 27 ottobre 2015.</w:t>
      </w:r>
    </w:p>
    <w:p w:rsidR="0007534B" w:rsidRPr="00747859" w:rsidRDefault="0007534B" w:rsidP="0007534B">
      <w:pPr>
        <w:rPr>
          <w:rFonts w:cs="Arial"/>
          <w:sz w:val="20"/>
          <w:szCs w:val="20"/>
        </w:rPr>
      </w:pPr>
    </w:p>
    <w:p w:rsidR="0007534B" w:rsidRPr="00747859" w:rsidRDefault="0007534B" w:rsidP="0007534B">
      <w:pPr>
        <w:rPr>
          <w:rFonts w:cs="Arial"/>
          <w:sz w:val="20"/>
          <w:szCs w:val="20"/>
        </w:rPr>
      </w:pPr>
    </w:p>
    <w:p w:rsidR="0007534B" w:rsidRDefault="0007534B" w:rsidP="0007534B">
      <w:pPr>
        <w:rPr>
          <w:rFonts w:cs="Arial"/>
          <w:szCs w:val="24"/>
        </w:rPr>
      </w:pPr>
      <w:r w:rsidRPr="00B81D47">
        <w:rPr>
          <w:rFonts w:cs="Arial"/>
          <w:noProof/>
          <w:szCs w:val="24"/>
          <w:lang w:eastAsia="it-CH"/>
        </w:rPr>
        <w:drawing>
          <wp:inline distT="0" distB="0" distL="0" distR="0" wp14:anchorId="13626B17" wp14:editId="41B318D6">
            <wp:extent cx="6120130" cy="3575766"/>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575766"/>
                    </a:xfrm>
                    <a:prstGeom prst="rect">
                      <a:avLst/>
                    </a:prstGeom>
                    <a:noFill/>
                    <a:ln>
                      <a:noFill/>
                    </a:ln>
                  </pic:spPr>
                </pic:pic>
              </a:graphicData>
            </a:graphic>
          </wp:inline>
        </w:drawing>
      </w:r>
    </w:p>
    <w:p w:rsidR="0007534B" w:rsidRPr="00747859" w:rsidRDefault="0007534B" w:rsidP="0007534B">
      <w:pPr>
        <w:rPr>
          <w:rFonts w:cs="Arial"/>
          <w:sz w:val="20"/>
          <w:szCs w:val="20"/>
        </w:rPr>
      </w:pPr>
    </w:p>
    <w:p w:rsidR="0007534B" w:rsidRPr="00747859" w:rsidRDefault="0007534B" w:rsidP="0007534B">
      <w:pPr>
        <w:rPr>
          <w:rFonts w:cs="Arial"/>
          <w:sz w:val="20"/>
          <w:szCs w:val="20"/>
        </w:rPr>
      </w:pPr>
    </w:p>
    <w:p w:rsidR="0007534B" w:rsidRDefault="0007534B" w:rsidP="0007534B">
      <w:pPr>
        <w:rPr>
          <w:rFonts w:cs="Arial"/>
          <w:szCs w:val="24"/>
        </w:rPr>
      </w:pPr>
      <w:r>
        <w:rPr>
          <w:rFonts w:cs="Arial"/>
          <w:szCs w:val="24"/>
        </w:rPr>
        <w:t>L’interesse in Ticino per l’energia solare è indubbiamente in forte crescita; lo dimostra l’importante numero di impianti fotovoltaici installati, non da ultimo anche grazie al programma di incentivi assicurato da Confederazione e Cantone.</w:t>
      </w:r>
    </w:p>
    <w:p w:rsidR="0007534B" w:rsidRDefault="0007534B" w:rsidP="0007534B">
      <w:pPr>
        <w:rPr>
          <w:rFonts w:cs="Arial"/>
          <w:szCs w:val="24"/>
        </w:rPr>
      </w:pPr>
      <w:r>
        <w:rPr>
          <w:rFonts w:cs="Arial"/>
          <w:szCs w:val="24"/>
        </w:rPr>
        <w:t>In un prossimo futuro la realizzazione di impianti fotovoltaici abbinata a un sistema di stoccaggio locale potrà essere garantita a costi piuttosto vantaggiosi. Vi è quindi da aspettarsi un notevole aumento “naturale” anche di questo tipo di impianti.</w:t>
      </w:r>
    </w:p>
    <w:p w:rsidR="0007534B" w:rsidRPr="008E3996" w:rsidRDefault="0007534B" w:rsidP="0007534B">
      <w:pPr>
        <w:rPr>
          <w:rFonts w:cs="Arial"/>
          <w:szCs w:val="24"/>
        </w:rPr>
      </w:pPr>
      <w:r>
        <w:rPr>
          <w:rFonts w:cs="Arial"/>
          <w:szCs w:val="24"/>
        </w:rPr>
        <w:t xml:space="preserve">Se da un lato le batterie possono costituire un fattore importante per la stabilità della rete e lo sviluppo di </w:t>
      </w:r>
      <w:proofErr w:type="spellStart"/>
      <w:r>
        <w:rPr>
          <w:rFonts w:cs="Arial"/>
          <w:szCs w:val="24"/>
        </w:rPr>
        <w:t>smart</w:t>
      </w:r>
      <w:proofErr w:type="spellEnd"/>
      <w:r>
        <w:rPr>
          <w:rFonts w:cs="Arial"/>
          <w:szCs w:val="24"/>
        </w:rPr>
        <w:t xml:space="preserve"> </w:t>
      </w:r>
      <w:proofErr w:type="spellStart"/>
      <w:r>
        <w:rPr>
          <w:rFonts w:cs="Arial"/>
          <w:szCs w:val="24"/>
        </w:rPr>
        <w:t>grid</w:t>
      </w:r>
      <w:proofErr w:type="spellEnd"/>
      <w:r>
        <w:rPr>
          <w:rFonts w:cs="Arial"/>
          <w:szCs w:val="24"/>
        </w:rPr>
        <w:t xml:space="preserve">, dall’altro va considerato che i costi della rete di distribuzione sono coperti dall’utilizzo di kWh, fatturati ai consumatori, quindi, considerando le già attuali forti difficoltà di mercato, questo trend </w:t>
      </w:r>
      <w:r w:rsidRPr="00747859">
        <w:t>non farà che complicare la situazione nella quale si trovano le aziende distributrici.</w:t>
      </w:r>
      <w:r>
        <w:rPr>
          <w:rFonts w:cs="Arial"/>
          <w:szCs w:val="24"/>
        </w:rPr>
        <w:t xml:space="preserve"> Nei prossimi anni quindi il Consiglio di Stato e le aziende elettriche ticinesi dovranno tener conto anche di questo </w:t>
      </w:r>
      <w:r w:rsidRPr="008E3996">
        <w:rPr>
          <w:rFonts w:cs="Arial"/>
          <w:szCs w:val="24"/>
        </w:rPr>
        <w:t>aspetto nell’ambito degli approfondimenti volti a garantire stabilità al mercato ticinese e ai suoi attori. In particolare, si dovrà verificare se non è il caso di offrire anche prestazioni quali la fornitura e la consulenza in ambito di impianti fotovoltaici con batterie per lo stoccaggio locale di energia, come peraltro già fatto ad esempio dalle EWZ (</w:t>
      </w:r>
      <w:proofErr w:type="spellStart"/>
      <w:r w:rsidRPr="008E3996">
        <w:rPr>
          <w:rFonts w:cs="Arial"/>
          <w:szCs w:val="24"/>
        </w:rPr>
        <w:t>Elektrizitätswerk</w:t>
      </w:r>
      <w:proofErr w:type="spellEnd"/>
      <w:r w:rsidRPr="008E3996">
        <w:rPr>
          <w:rFonts w:cs="Arial"/>
          <w:szCs w:val="24"/>
        </w:rPr>
        <w:t xml:space="preserve"> </w:t>
      </w:r>
      <w:proofErr w:type="spellStart"/>
      <w:r w:rsidRPr="008E3996">
        <w:rPr>
          <w:rFonts w:cs="Arial"/>
          <w:szCs w:val="24"/>
        </w:rPr>
        <w:t>der</w:t>
      </w:r>
      <w:proofErr w:type="spellEnd"/>
      <w:r w:rsidRPr="008E3996">
        <w:rPr>
          <w:rFonts w:cs="Arial"/>
          <w:szCs w:val="24"/>
        </w:rPr>
        <w:t xml:space="preserve"> </w:t>
      </w:r>
      <w:proofErr w:type="spellStart"/>
      <w:r w:rsidRPr="008E3996">
        <w:rPr>
          <w:rFonts w:cs="Arial"/>
          <w:szCs w:val="24"/>
        </w:rPr>
        <w:t>Stadt</w:t>
      </w:r>
      <w:proofErr w:type="spellEnd"/>
      <w:r w:rsidRPr="008E3996">
        <w:rPr>
          <w:rFonts w:cs="Arial"/>
          <w:szCs w:val="24"/>
        </w:rPr>
        <w:t xml:space="preserve"> </w:t>
      </w:r>
      <w:proofErr w:type="spellStart"/>
      <w:r w:rsidRPr="008E3996">
        <w:rPr>
          <w:rFonts w:cs="Arial"/>
          <w:szCs w:val="24"/>
        </w:rPr>
        <w:t>Zürich</w:t>
      </w:r>
      <w:proofErr w:type="spellEnd"/>
      <w:r w:rsidRPr="008E3996">
        <w:rPr>
          <w:rFonts w:cs="Arial"/>
          <w:szCs w:val="24"/>
        </w:rPr>
        <w:t>).</w:t>
      </w:r>
    </w:p>
    <w:p w:rsidR="0007534B" w:rsidRPr="00747859" w:rsidRDefault="0007534B" w:rsidP="0007534B">
      <w:pPr>
        <w:rPr>
          <w:rFonts w:cs="Arial"/>
          <w:sz w:val="12"/>
          <w:szCs w:val="12"/>
        </w:rPr>
      </w:pPr>
    </w:p>
    <w:p w:rsidR="0007534B" w:rsidRPr="008E3996" w:rsidRDefault="0007534B" w:rsidP="0007534B">
      <w:pPr>
        <w:rPr>
          <w:rFonts w:cs="Arial"/>
          <w:szCs w:val="24"/>
        </w:rPr>
      </w:pPr>
      <w:r w:rsidRPr="008E3996">
        <w:rPr>
          <w:rFonts w:cs="Arial"/>
          <w:szCs w:val="24"/>
        </w:rPr>
        <w:lastRenderedPageBreak/>
        <w:t xml:space="preserve">L’unico </w:t>
      </w:r>
      <w:r>
        <w:rPr>
          <w:rFonts w:cs="Arial"/>
          <w:szCs w:val="24"/>
        </w:rPr>
        <w:t>C</w:t>
      </w:r>
      <w:r w:rsidRPr="008E3996">
        <w:rPr>
          <w:rFonts w:cs="Arial"/>
          <w:szCs w:val="24"/>
        </w:rPr>
        <w:t xml:space="preserve">antone in Svizzera che ha applicato questo tipo di incentivo (il Canton </w:t>
      </w:r>
      <w:proofErr w:type="spellStart"/>
      <w:r w:rsidRPr="008E3996">
        <w:rPr>
          <w:rFonts w:cs="Arial"/>
          <w:szCs w:val="24"/>
        </w:rPr>
        <w:t>Turgovia</w:t>
      </w:r>
      <w:proofErr w:type="spellEnd"/>
      <w:r w:rsidRPr="008E3996">
        <w:rPr>
          <w:rFonts w:cs="Arial"/>
          <w:szCs w:val="24"/>
        </w:rPr>
        <w:t xml:space="preserve">),  peraltro direttamente e non per il tramite dei </w:t>
      </w:r>
      <w:r>
        <w:rPr>
          <w:rFonts w:cs="Arial"/>
          <w:szCs w:val="24"/>
        </w:rPr>
        <w:t>C</w:t>
      </w:r>
      <w:r w:rsidRPr="008E3996">
        <w:rPr>
          <w:rFonts w:cs="Arial"/>
          <w:szCs w:val="24"/>
        </w:rPr>
        <w:t>omuni, ha di pari passo interrotta l’erogazione di incentivi per impianti fotovoltaici sotto i 30 kW. Come si può evincere dal documento “</w:t>
      </w:r>
      <w:proofErr w:type="spellStart"/>
      <w:r w:rsidRPr="008E3996">
        <w:rPr>
          <w:rFonts w:cs="Arial"/>
          <w:szCs w:val="24"/>
        </w:rPr>
        <w:t>Förderprogramm</w:t>
      </w:r>
      <w:proofErr w:type="spellEnd"/>
      <w:r w:rsidRPr="008E3996">
        <w:rPr>
          <w:rFonts w:cs="Arial"/>
          <w:szCs w:val="24"/>
        </w:rPr>
        <w:t xml:space="preserve"> Energie 2015”, gli unici impianti fotovoltaici che godono di incentivi sono quelli in comune (</w:t>
      </w:r>
      <w:proofErr w:type="spellStart"/>
      <w:r w:rsidRPr="008E3996">
        <w:rPr>
          <w:rFonts w:cs="Arial"/>
          <w:szCs w:val="24"/>
        </w:rPr>
        <w:t>Gemeinschafts-Solarstromanlagen</w:t>
      </w:r>
      <w:proofErr w:type="spellEnd"/>
      <w:r w:rsidRPr="008E3996">
        <w:rPr>
          <w:rFonts w:cs="Arial"/>
          <w:szCs w:val="24"/>
        </w:rPr>
        <w:t xml:space="preserve">), realizzati per servire più abbonati e con una potenza superiore ai 30 kW. Per le batterie, attualmente l’incentivo viene versato per qualsiasi tipo di batteria, ma solo dopo un anno dalla realizzazione dell’impianto e dietro consegna di un rapporto di misura dello stesso. L’obiettivo del Canton </w:t>
      </w:r>
      <w:proofErr w:type="spellStart"/>
      <w:r w:rsidRPr="008E3996">
        <w:rPr>
          <w:rFonts w:cs="Arial"/>
          <w:szCs w:val="24"/>
        </w:rPr>
        <w:t>Turgovia</w:t>
      </w:r>
      <w:proofErr w:type="spellEnd"/>
      <w:r w:rsidRPr="008E3996">
        <w:rPr>
          <w:rFonts w:cs="Arial"/>
          <w:szCs w:val="24"/>
        </w:rPr>
        <w:t xml:space="preserve"> è quello di raccogliere dati e statistiche concernenti le diverse tipologie di batterie installate, così da poter in futuro definire dei criteri e parametri precisi per le batterie che potranno venir incentivate.</w:t>
      </w:r>
    </w:p>
    <w:p w:rsidR="0007534B" w:rsidRPr="00E60C6C" w:rsidRDefault="0007534B" w:rsidP="0007534B">
      <w:pPr>
        <w:rPr>
          <w:rFonts w:cs="Arial"/>
          <w:szCs w:val="24"/>
        </w:rPr>
      </w:pPr>
    </w:p>
    <w:p w:rsidR="0007534B" w:rsidRPr="008E3996" w:rsidRDefault="0007534B" w:rsidP="0007534B">
      <w:pPr>
        <w:rPr>
          <w:rFonts w:cs="Arial"/>
          <w:szCs w:val="24"/>
        </w:rPr>
      </w:pPr>
      <w:r w:rsidRPr="008E3996">
        <w:rPr>
          <w:rFonts w:eastAsia="Times New Roman" w:cs="Arial"/>
          <w:bCs/>
          <w:szCs w:val="24"/>
          <w:lang w:eastAsia="it-CH"/>
        </w:rPr>
        <w:t xml:space="preserve">Va inoltre segnalato che il Consiglio federale, in data 11 novembre 2015, ha deciso di abbassare i tassi della rimunerazione a copertura dei costi per l’immissione in rete di energia elettrica (RIC) per gli impianti fotovoltaici fra il 7 e il 14 per cento. </w:t>
      </w:r>
      <w:r w:rsidRPr="008E3996">
        <w:rPr>
          <w:rFonts w:eastAsia="Times New Roman" w:cs="Arial"/>
          <w:szCs w:val="24"/>
          <w:lang w:eastAsia="it-CH"/>
        </w:rPr>
        <w:t>Il DATEC verifica periodicamente il calcolo del prezzo di costo (costi di produzione) e dei tassi RIC e lo adegua, se necessario, alle nuove condizioni. Tiene conto, a questo riguardo, di diversi aspetti quali l'evoluzione delle tecnologie, la loro economicità a lungo termine e la situazione sul mercato dei capitali.</w:t>
      </w:r>
    </w:p>
    <w:p w:rsidR="0007534B" w:rsidRPr="001D458C" w:rsidRDefault="0007534B" w:rsidP="0007534B">
      <w:pPr>
        <w:rPr>
          <w:rFonts w:cs="Arial"/>
          <w:szCs w:val="24"/>
        </w:rPr>
      </w:pPr>
    </w:p>
    <w:p w:rsidR="0007534B" w:rsidRPr="00FA31C6" w:rsidRDefault="0007534B" w:rsidP="0007534B">
      <w:pPr>
        <w:rPr>
          <w:rFonts w:cs="Arial"/>
          <w:szCs w:val="24"/>
        </w:rPr>
      </w:pPr>
      <w:r w:rsidRPr="00FA31C6">
        <w:rPr>
          <w:rFonts w:cs="Arial"/>
          <w:szCs w:val="24"/>
        </w:rPr>
        <w:t>Nel suo rapporto “</w:t>
      </w:r>
      <w:proofErr w:type="spellStart"/>
      <w:r w:rsidRPr="00FA31C6">
        <w:rPr>
          <w:rFonts w:cs="Arial"/>
          <w:szCs w:val="24"/>
        </w:rPr>
        <w:t>Energiestrategie</w:t>
      </w:r>
      <w:proofErr w:type="spellEnd"/>
      <w:r w:rsidRPr="00FA31C6">
        <w:rPr>
          <w:rFonts w:cs="Arial"/>
          <w:szCs w:val="24"/>
        </w:rPr>
        <w:t xml:space="preserve"> 2050” l’Ufficio Federale dell’Energia ritiene indispensabile una trasformazione delle reti di distribuzione fino alla realizzazione di “</w:t>
      </w:r>
      <w:proofErr w:type="spellStart"/>
      <w:r>
        <w:rPr>
          <w:rFonts w:cs="Arial"/>
          <w:szCs w:val="24"/>
        </w:rPr>
        <w:t>s</w:t>
      </w:r>
      <w:r w:rsidRPr="00FA31C6">
        <w:rPr>
          <w:rFonts w:cs="Arial"/>
          <w:szCs w:val="24"/>
        </w:rPr>
        <w:t>mart</w:t>
      </w:r>
      <w:proofErr w:type="spellEnd"/>
      <w:r w:rsidRPr="00FA31C6">
        <w:rPr>
          <w:rFonts w:cs="Arial"/>
          <w:szCs w:val="24"/>
        </w:rPr>
        <w:t xml:space="preserve"> </w:t>
      </w:r>
      <w:proofErr w:type="spellStart"/>
      <w:r w:rsidRPr="00FA31C6">
        <w:rPr>
          <w:rFonts w:cs="Arial"/>
          <w:szCs w:val="24"/>
        </w:rPr>
        <w:t>grid</w:t>
      </w:r>
      <w:proofErr w:type="spellEnd"/>
      <w:r w:rsidRPr="00FA31C6">
        <w:rPr>
          <w:rFonts w:cs="Arial"/>
          <w:szCs w:val="24"/>
        </w:rPr>
        <w:t>”</w:t>
      </w:r>
      <w:r>
        <w:rPr>
          <w:rFonts w:cs="Arial"/>
          <w:szCs w:val="24"/>
        </w:rPr>
        <w:t>.</w:t>
      </w:r>
      <w:r w:rsidRPr="00FA31C6">
        <w:rPr>
          <w:rFonts w:cs="Arial"/>
          <w:szCs w:val="24"/>
        </w:rPr>
        <w:t xml:space="preserve"> Queste “reti intelligenti” permettono l’interazione diretta tra consumatori, rete e produzione di energia elettrica e racchiudono un enorme potenziale volto a ottimizzare il sistema, a consumare meno e di conseguenza a ridurre i costi. La rete di distribuzione in media e bassa tensione dovrà essere potenziata per l’allacciamento di impianti di produzione di energia elettrica da fonti rinnovabili; secondo l’articolo 5 capoverso 2 della Legge sull’approvvigionamento elettrico (LAEI), nel loro comprensorio i gestori di rete sono tenuti ad allacciare alla rete elettrica tutte le imprese generatrici di energia elettrica. I gestori di rete sono altresì obbligati a ritirare in una forma appropriata per la rete e a rimunerare l’energia elettrica prodotta ai sensi degli articoli 7, 7a e 7b della </w:t>
      </w:r>
      <w:r>
        <w:rPr>
          <w:rFonts w:cs="Arial"/>
          <w:szCs w:val="24"/>
        </w:rPr>
        <w:t>L</w:t>
      </w:r>
      <w:r w:rsidRPr="00FA31C6">
        <w:rPr>
          <w:rFonts w:cs="Arial"/>
          <w:szCs w:val="24"/>
        </w:rPr>
        <w:t xml:space="preserve">egge sull’energia del 26 giugno 1998. </w:t>
      </w:r>
    </w:p>
    <w:p w:rsidR="0007534B" w:rsidRDefault="0007534B" w:rsidP="0007534B">
      <w:pPr>
        <w:rPr>
          <w:rFonts w:cs="Arial"/>
          <w:szCs w:val="24"/>
        </w:rPr>
      </w:pPr>
    </w:p>
    <w:p w:rsidR="0007534B" w:rsidRPr="00FA31C6" w:rsidRDefault="0007534B" w:rsidP="0007534B">
      <w:pPr>
        <w:rPr>
          <w:rFonts w:cs="Arial"/>
          <w:szCs w:val="24"/>
        </w:rPr>
      </w:pPr>
      <w:r w:rsidRPr="00FA31C6">
        <w:rPr>
          <w:rFonts w:cs="Arial"/>
          <w:szCs w:val="24"/>
        </w:rPr>
        <w:t xml:space="preserve">Di riflesso, lo sviluppo di reti intelligenti è divenuto un obiettivo strategico del Piano energetico cantonale. In effetti, nel piano d’azione 2013, al capitolo 7.2 “Provvedimenti prioritari”, al tema “Distribuzione di energia” è descritta l’attività seguente “Studi e approfondimenti su nuova impostazione “Smart </w:t>
      </w:r>
      <w:proofErr w:type="spellStart"/>
      <w:r w:rsidRPr="00FA31C6">
        <w:rPr>
          <w:rFonts w:cs="Arial"/>
          <w:szCs w:val="24"/>
        </w:rPr>
        <w:t>grid</w:t>
      </w:r>
      <w:proofErr w:type="spellEnd"/>
      <w:r w:rsidRPr="00FA31C6">
        <w:rPr>
          <w:rFonts w:cs="Arial"/>
          <w:szCs w:val="24"/>
        </w:rPr>
        <w:t xml:space="preserve">” del sistema di distribuzione dell’energia elettrica. Questa attività è di competenza di AET e </w:t>
      </w:r>
      <w:r>
        <w:rPr>
          <w:rFonts w:cs="Arial"/>
          <w:szCs w:val="24"/>
        </w:rPr>
        <w:t>a</w:t>
      </w:r>
      <w:r w:rsidRPr="00FA31C6">
        <w:rPr>
          <w:rFonts w:cs="Arial"/>
          <w:szCs w:val="24"/>
        </w:rPr>
        <w:t>ziende distributrici.</w:t>
      </w:r>
    </w:p>
    <w:p w:rsidR="0007534B" w:rsidRPr="00FA31C6" w:rsidRDefault="0007534B" w:rsidP="0007534B">
      <w:pPr>
        <w:spacing w:after="120"/>
        <w:rPr>
          <w:rFonts w:cs="Arial"/>
          <w:szCs w:val="24"/>
        </w:rPr>
      </w:pPr>
      <w:r w:rsidRPr="00FA31C6">
        <w:rPr>
          <w:rFonts w:cs="Arial"/>
          <w:szCs w:val="24"/>
        </w:rPr>
        <w:t>Per dovere di completezza trascriviamo qui di seguito la descrizione prevista per questa attività nel piano d’azione:</w:t>
      </w:r>
    </w:p>
    <w:p w:rsidR="0007534B" w:rsidRPr="003A2777" w:rsidRDefault="0007534B" w:rsidP="0007534B">
      <w:pPr>
        <w:autoSpaceDE w:val="0"/>
        <w:autoSpaceDN w:val="0"/>
        <w:adjustRightInd w:val="0"/>
        <w:rPr>
          <w:rFonts w:cs="Arial"/>
          <w:i/>
          <w:sz w:val="23"/>
          <w:szCs w:val="23"/>
        </w:rPr>
      </w:pPr>
      <w:r w:rsidRPr="003A2777">
        <w:rPr>
          <w:rFonts w:cs="Arial"/>
          <w:i/>
          <w:sz w:val="23"/>
          <w:szCs w:val="23"/>
        </w:rPr>
        <w:t xml:space="preserve">“In parallelo allo sviluppo di modalità di produzione distribuita dell’energia elettrica (fonti di energia rinnovabile e </w:t>
      </w:r>
      <w:proofErr w:type="spellStart"/>
      <w:r w:rsidRPr="003A2777">
        <w:rPr>
          <w:rFonts w:cs="Arial"/>
          <w:i/>
          <w:sz w:val="23"/>
          <w:szCs w:val="23"/>
        </w:rPr>
        <w:t>microcogenerazione</w:t>
      </w:r>
      <w:proofErr w:type="spellEnd"/>
      <w:r w:rsidRPr="003A2777">
        <w:rPr>
          <w:rFonts w:cs="Arial"/>
          <w:i/>
          <w:sz w:val="23"/>
          <w:szCs w:val="23"/>
        </w:rPr>
        <w:t xml:space="preserve">), negli ultimi anni si sta sviluppando una nuova concezione del sistema di distribuzione dell’energia elettrica, basata sul concetto di “rete elettrica intelligente - </w:t>
      </w:r>
      <w:proofErr w:type="spellStart"/>
      <w:r w:rsidRPr="003A2777">
        <w:rPr>
          <w:rFonts w:cs="Arial"/>
          <w:i/>
          <w:iCs/>
          <w:sz w:val="23"/>
          <w:szCs w:val="23"/>
        </w:rPr>
        <w:t>smart</w:t>
      </w:r>
      <w:proofErr w:type="spellEnd"/>
      <w:r w:rsidRPr="003A2777">
        <w:rPr>
          <w:rFonts w:cs="Arial"/>
          <w:i/>
          <w:iCs/>
          <w:sz w:val="23"/>
          <w:szCs w:val="23"/>
        </w:rPr>
        <w:t xml:space="preserve"> </w:t>
      </w:r>
      <w:proofErr w:type="spellStart"/>
      <w:r w:rsidRPr="003A2777">
        <w:rPr>
          <w:rFonts w:cs="Arial"/>
          <w:i/>
          <w:iCs/>
          <w:sz w:val="23"/>
          <w:szCs w:val="23"/>
        </w:rPr>
        <w:t>grid</w:t>
      </w:r>
      <w:proofErr w:type="spellEnd"/>
      <w:r w:rsidRPr="003A2777">
        <w:rPr>
          <w:rFonts w:cs="Arial"/>
          <w:i/>
          <w:sz w:val="23"/>
          <w:szCs w:val="23"/>
        </w:rPr>
        <w:t>”. La visione “</w:t>
      </w:r>
      <w:proofErr w:type="spellStart"/>
      <w:r w:rsidRPr="003A2777">
        <w:rPr>
          <w:rFonts w:cs="Arial"/>
          <w:i/>
          <w:sz w:val="23"/>
          <w:szCs w:val="23"/>
        </w:rPr>
        <w:t>smart</w:t>
      </w:r>
      <w:proofErr w:type="spellEnd"/>
      <w:r w:rsidRPr="003A2777">
        <w:rPr>
          <w:rFonts w:cs="Arial"/>
          <w:i/>
          <w:sz w:val="23"/>
          <w:szCs w:val="23"/>
        </w:rPr>
        <w:t xml:space="preserve"> </w:t>
      </w:r>
      <w:proofErr w:type="spellStart"/>
      <w:r w:rsidRPr="003A2777">
        <w:rPr>
          <w:rFonts w:cs="Arial"/>
          <w:i/>
          <w:sz w:val="23"/>
          <w:szCs w:val="23"/>
        </w:rPr>
        <w:t>grid</w:t>
      </w:r>
      <w:proofErr w:type="spellEnd"/>
      <w:r w:rsidRPr="003A2777">
        <w:rPr>
          <w:rFonts w:cs="Arial"/>
          <w:i/>
          <w:sz w:val="23"/>
          <w:szCs w:val="23"/>
        </w:rPr>
        <w:t xml:space="preserve">” si basa su un meccanismo di produzione distribuita, in cui il flusso di energia elettrica sulle reti può essere bi-direzionale e consente la comunicazione tra gli utenti: da uno schema di produzione e distribuzione mono-direzionale uno-a-molti si passa a uno schema bi-direzionale molti-a-molti. Per gestire la pluralità di operatori che immettono energia in rete e per tenere traccia dei flussi di energia che la percorrono, la rete intelligente si basa su meccanismi di </w:t>
      </w:r>
      <w:r w:rsidRPr="003A2777">
        <w:rPr>
          <w:rFonts w:cs="Arial"/>
          <w:i/>
          <w:iCs/>
          <w:sz w:val="23"/>
          <w:szCs w:val="23"/>
        </w:rPr>
        <w:t xml:space="preserve">Information and </w:t>
      </w:r>
      <w:proofErr w:type="spellStart"/>
      <w:r w:rsidRPr="003A2777">
        <w:rPr>
          <w:rFonts w:cs="Arial"/>
          <w:i/>
          <w:iCs/>
          <w:sz w:val="23"/>
          <w:szCs w:val="23"/>
        </w:rPr>
        <w:t>Communication</w:t>
      </w:r>
      <w:proofErr w:type="spellEnd"/>
      <w:r w:rsidRPr="003A2777">
        <w:rPr>
          <w:rFonts w:cs="Arial"/>
          <w:i/>
          <w:iCs/>
          <w:sz w:val="23"/>
          <w:szCs w:val="23"/>
        </w:rPr>
        <w:t xml:space="preserve"> Technology </w:t>
      </w:r>
      <w:r w:rsidRPr="003A2777">
        <w:rPr>
          <w:rFonts w:cs="Arial"/>
          <w:i/>
          <w:sz w:val="23"/>
          <w:szCs w:val="23"/>
        </w:rPr>
        <w:t>(ICT), che registrano in tempo reale la quantità di energia immessa e la quantità di energia consumata.</w:t>
      </w:r>
    </w:p>
    <w:p w:rsidR="0007534B" w:rsidRPr="003A2777" w:rsidRDefault="0007534B" w:rsidP="0007534B">
      <w:pPr>
        <w:autoSpaceDE w:val="0"/>
        <w:autoSpaceDN w:val="0"/>
        <w:adjustRightInd w:val="0"/>
        <w:rPr>
          <w:rFonts w:cs="Arial"/>
          <w:sz w:val="23"/>
          <w:szCs w:val="23"/>
        </w:rPr>
      </w:pPr>
      <w:r w:rsidRPr="003A2777">
        <w:rPr>
          <w:rFonts w:cs="Arial"/>
          <w:i/>
          <w:sz w:val="23"/>
          <w:szCs w:val="23"/>
        </w:rPr>
        <w:lastRenderedPageBreak/>
        <w:t>La nuova visione prevede inoltre che le abitazioni siano equipaggiate con contatori digitali dei consumi di energia (“</w:t>
      </w:r>
      <w:proofErr w:type="spellStart"/>
      <w:r w:rsidRPr="003A2777">
        <w:rPr>
          <w:rFonts w:cs="Arial"/>
          <w:i/>
          <w:iCs/>
          <w:sz w:val="23"/>
          <w:szCs w:val="23"/>
        </w:rPr>
        <w:t>smart</w:t>
      </w:r>
      <w:proofErr w:type="spellEnd"/>
      <w:r w:rsidRPr="003A2777">
        <w:rPr>
          <w:rFonts w:cs="Arial"/>
          <w:i/>
          <w:iCs/>
          <w:sz w:val="23"/>
          <w:szCs w:val="23"/>
        </w:rPr>
        <w:t xml:space="preserve"> </w:t>
      </w:r>
      <w:proofErr w:type="spellStart"/>
      <w:r w:rsidRPr="003A2777">
        <w:rPr>
          <w:rFonts w:cs="Arial"/>
          <w:i/>
          <w:iCs/>
          <w:sz w:val="23"/>
          <w:szCs w:val="23"/>
        </w:rPr>
        <w:t>meters</w:t>
      </w:r>
      <w:proofErr w:type="spellEnd"/>
      <w:r w:rsidRPr="003A2777">
        <w:rPr>
          <w:rFonts w:cs="Arial"/>
          <w:i/>
          <w:iCs/>
          <w:sz w:val="23"/>
          <w:szCs w:val="23"/>
        </w:rPr>
        <w:t>”</w:t>
      </w:r>
      <w:r w:rsidRPr="003A2777">
        <w:rPr>
          <w:rFonts w:cs="Arial"/>
          <w:i/>
          <w:sz w:val="23"/>
          <w:szCs w:val="23"/>
        </w:rPr>
        <w:t>), che consentono ai gestori di rete di rilevare in tempo reale i profili istantanei di consumo: in questo senso quindi la rete diventa uno strumento per il passaggio di informazioni in senso bi-direzionale. Incrociando in maniera automatica i dati di produzione e di consumo, le tecnologie ICT possono quindi suggerire al consumatore finale, in tempo reale, i comportamenti più razionali in termini di consumo di energia. La possibilità di orientare il consumo in funzione della disponibilità di energia avrebbe l’importante effetto di abbassare i picchi di carico durante la giornata e più in generale di modificare la curva di carico media, tendendo ad appiattirla. Ciò potrebbe in ultima analisi mettere in discussione i concetti stessi di energia di banda e di energia di punta, con importanti effetti anche sul valore economico-finanziario dell’energia prodotta, modificando le modalità di utilizzazione dei sistemi di accumulo per stoccare la produzione di energia in esubero. In questo quadro, è necessario consolidare anche in Ticino una serie di studi e approfondimenti per comprendere opportunità e ostacoli associati alla trasformazione dell’attuale sistema di distribuzione dell’energia elettrica nel nuovo concetto “</w:t>
      </w:r>
      <w:proofErr w:type="spellStart"/>
      <w:r w:rsidRPr="003A2777">
        <w:rPr>
          <w:rFonts w:cs="Arial"/>
          <w:i/>
          <w:sz w:val="23"/>
          <w:szCs w:val="23"/>
        </w:rPr>
        <w:t>smart</w:t>
      </w:r>
      <w:proofErr w:type="spellEnd"/>
      <w:r w:rsidRPr="003A2777">
        <w:rPr>
          <w:rFonts w:cs="Arial"/>
          <w:i/>
          <w:sz w:val="23"/>
          <w:szCs w:val="23"/>
        </w:rPr>
        <w:t xml:space="preserve"> </w:t>
      </w:r>
      <w:proofErr w:type="spellStart"/>
      <w:r w:rsidRPr="003A2777">
        <w:rPr>
          <w:rFonts w:cs="Arial"/>
          <w:i/>
          <w:sz w:val="23"/>
          <w:szCs w:val="23"/>
        </w:rPr>
        <w:t>grid</w:t>
      </w:r>
      <w:proofErr w:type="spellEnd"/>
      <w:r w:rsidRPr="003A2777">
        <w:rPr>
          <w:rFonts w:cs="Arial"/>
          <w:i/>
          <w:sz w:val="23"/>
          <w:szCs w:val="23"/>
        </w:rPr>
        <w:t>”. Una prima esperienza di questo tipo è ora in corso presso SUPSI, con il finanziamento di AET e AIM, nell’ambito del progetto Swiss2Grid - S2G.”</w:t>
      </w:r>
    </w:p>
    <w:p w:rsidR="0007534B" w:rsidRPr="00FA31C6" w:rsidRDefault="0007534B" w:rsidP="0007534B">
      <w:pPr>
        <w:autoSpaceDE w:val="0"/>
        <w:autoSpaceDN w:val="0"/>
        <w:adjustRightInd w:val="0"/>
        <w:rPr>
          <w:rFonts w:cs="Arial"/>
          <w:szCs w:val="24"/>
        </w:rPr>
      </w:pPr>
    </w:p>
    <w:p w:rsidR="0007534B" w:rsidRDefault="0007534B" w:rsidP="0007534B">
      <w:pPr>
        <w:autoSpaceDE w:val="0"/>
        <w:autoSpaceDN w:val="0"/>
        <w:adjustRightInd w:val="0"/>
        <w:rPr>
          <w:rFonts w:cs="Arial"/>
          <w:szCs w:val="24"/>
        </w:rPr>
      </w:pPr>
      <w:r w:rsidRPr="00FA31C6">
        <w:rPr>
          <w:rFonts w:cs="Arial"/>
          <w:szCs w:val="24"/>
        </w:rPr>
        <w:t xml:space="preserve">La realizzazione di reti </w:t>
      </w:r>
      <w:proofErr w:type="spellStart"/>
      <w:r w:rsidRPr="00FA31C6">
        <w:rPr>
          <w:rFonts w:cs="Arial"/>
          <w:szCs w:val="24"/>
        </w:rPr>
        <w:t>smart</w:t>
      </w:r>
      <w:proofErr w:type="spellEnd"/>
      <w:r w:rsidRPr="00FA31C6">
        <w:rPr>
          <w:rFonts w:cs="Arial"/>
          <w:szCs w:val="24"/>
        </w:rPr>
        <w:t xml:space="preserve"> </w:t>
      </w:r>
      <w:proofErr w:type="spellStart"/>
      <w:r w:rsidRPr="00FA31C6">
        <w:rPr>
          <w:rFonts w:cs="Arial"/>
          <w:szCs w:val="24"/>
        </w:rPr>
        <w:t>grid</w:t>
      </w:r>
      <w:proofErr w:type="spellEnd"/>
      <w:r w:rsidRPr="00FA31C6">
        <w:rPr>
          <w:rFonts w:cs="Arial"/>
          <w:szCs w:val="24"/>
        </w:rPr>
        <w:t xml:space="preserve"> e l’acquisizione di know-how in questo ambito è in primis di responsabilità delle aziende produttrici e distributrici.</w:t>
      </w:r>
    </w:p>
    <w:p w:rsidR="0007534B" w:rsidRDefault="0007534B" w:rsidP="0007534B">
      <w:pPr>
        <w:autoSpaceDE w:val="0"/>
        <w:autoSpaceDN w:val="0"/>
        <w:adjustRightInd w:val="0"/>
        <w:rPr>
          <w:rFonts w:cs="Arial"/>
          <w:szCs w:val="24"/>
        </w:rPr>
      </w:pPr>
    </w:p>
    <w:p w:rsidR="0007534B" w:rsidRDefault="0007534B" w:rsidP="0007534B">
      <w:pPr>
        <w:rPr>
          <w:rFonts w:cs="Arial"/>
          <w:szCs w:val="24"/>
        </w:rPr>
      </w:pPr>
      <w:r w:rsidRPr="00FA31C6">
        <w:rPr>
          <w:rFonts w:cs="Arial"/>
          <w:szCs w:val="24"/>
        </w:rPr>
        <w:t xml:space="preserve">L’erogazione di incentivi così come proposta dalla mozione non garantisce uno sviluppo strutturato delle reti </w:t>
      </w:r>
      <w:proofErr w:type="spellStart"/>
      <w:r w:rsidRPr="00FA31C6">
        <w:rPr>
          <w:rFonts w:cs="Arial"/>
          <w:szCs w:val="24"/>
        </w:rPr>
        <w:t>smart</w:t>
      </w:r>
      <w:proofErr w:type="spellEnd"/>
      <w:r w:rsidRPr="00FA31C6">
        <w:rPr>
          <w:rFonts w:cs="Arial"/>
          <w:szCs w:val="24"/>
        </w:rPr>
        <w:t xml:space="preserve"> </w:t>
      </w:r>
      <w:proofErr w:type="spellStart"/>
      <w:r w:rsidRPr="00FA31C6">
        <w:rPr>
          <w:rFonts w:cs="Arial"/>
          <w:szCs w:val="24"/>
        </w:rPr>
        <w:t>grid</w:t>
      </w:r>
      <w:proofErr w:type="spellEnd"/>
      <w:r w:rsidRPr="00FA31C6">
        <w:rPr>
          <w:rFonts w:cs="Arial"/>
          <w:szCs w:val="24"/>
        </w:rPr>
        <w:t xml:space="preserve"> e “forza” le aziende produttrici e distributrici a un approfondimento sul tema sulla base di sollecitazioni da priv</w:t>
      </w:r>
      <w:r w:rsidRPr="00493905">
        <w:rPr>
          <w:rFonts w:cs="Arial"/>
          <w:szCs w:val="24"/>
        </w:rPr>
        <w:t xml:space="preserve">ati e </w:t>
      </w:r>
      <w:r>
        <w:rPr>
          <w:rFonts w:cs="Arial"/>
          <w:szCs w:val="24"/>
        </w:rPr>
        <w:t>C</w:t>
      </w:r>
      <w:r w:rsidRPr="00493905">
        <w:rPr>
          <w:rFonts w:cs="Arial"/>
          <w:szCs w:val="24"/>
        </w:rPr>
        <w:t>omuni.</w:t>
      </w:r>
    </w:p>
    <w:p w:rsidR="0007534B" w:rsidRDefault="0007534B" w:rsidP="0007534B">
      <w:pPr>
        <w:rPr>
          <w:rFonts w:cs="Arial"/>
          <w:szCs w:val="24"/>
        </w:rPr>
      </w:pPr>
      <w:r w:rsidRPr="00E318C3">
        <w:rPr>
          <w:rFonts w:cs="Arial"/>
          <w:szCs w:val="24"/>
        </w:rPr>
        <w:t>Per contro</w:t>
      </w:r>
      <w:r>
        <w:rPr>
          <w:rFonts w:cs="Arial"/>
          <w:szCs w:val="24"/>
        </w:rPr>
        <w:t xml:space="preserve"> l’</w:t>
      </w:r>
      <w:r w:rsidRPr="00E318C3">
        <w:rPr>
          <w:rFonts w:cs="Arial"/>
          <w:szCs w:val="24"/>
        </w:rPr>
        <w:t xml:space="preserve">iniziativa, se accettata, lascia la possibilità ai Comuni di decidere se e in quale misura incentivare l’acquisto di accumulatori, e non prevede l’incentivo sistematico all’acquisto di batterie per tutti gli impianti. Questa possibilità non dovrebbe quindi creare </w:t>
      </w:r>
      <w:r w:rsidRPr="00493905">
        <w:rPr>
          <w:rFonts w:cs="Arial"/>
          <w:szCs w:val="24"/>
        </w:rPr>
        <w:t>problemi particolari in questo senso.</w:t>
      </w:r>
    </w:p>
    <w:p w:rsidR="0007534B" w:rsidRDefault="0007534B" w:rsidP="0007534B">
      <w:pPr>
        <w:rPr>
          <w:rFonts w:cs="Arial"/>
          <w:szCs w:val="24"/>
        </w:rPr>
      </w:pPr>
    </w:p>
    <w:p w:rsidR="0007534B" w:rsidRDefault="0007534B" w:rsidP="0007534B">
      <w:pPr>
        <w:rPr>
          <w:rFonts w:cs="Arial"/>
          <w:szCs w:val="24"/>
        </w:rPr>
      </w:pPr>
    </w:p>
    <w:p w:rsidR="0007534B" w:rsidRPr="00785AD6" w:rsidRDefault="0007534B" w:rsidP="003A2777">
      <w:pPr>
        <w:pStyle w:val="Titolo2"/>
      </w:pPr>
      <w:r w:rsidRPr="00785AD6">
        <w:t>Riassumendo</w:t>
      </w:r>
    </w:p>
    <w:p w:rsidR="0007534B" w:rsidRPr="002B7305" w:rsidRDefault="0007534B" w:rsidP="003A2777">
      <w:pPr>
        <w:pStyle w:val="Paragrafoelenco"/>
        <w:numPr>
          <w:ilvl w:val="0"/>
          <w:numId w:val="8"/>
        </w:numPr>
        <w:spacing w:before="120"/>
        <w:ind w:left="284" w:hanging="284"/>
        <w:rPr>
          <w:rFonts w:cs="Arial"/>
          <w:szCs w:val="24"/>
        </w:rPr>
      </w:pPr>
      <w:r w:rsidRPr="00DC354F">
        <w:rPr>
          <w:rFonts w:cs="Arial"/>
          <w:szCs w:val="24"/>
        </w:rPr>
        <w:t xml:space="preserve">Il principale argomento per non incentivare attivamente </w:t>
      </w:r>
      <w:r>
        <w:rPr>
          <w:rFonts w:cs="Arial"/>
          <w:szCs w:val="24"/>
        </w:rPr>
        <w:t>e in modo massiccio l’installazione di batterie è l’andamento stesso de</w:t>
      </w:r>
      <w:r w:rsidRPr="00DC354F">
        <w:rPr>
          <w:rFonts w:cs="Arial"/>
          <w:szCs w:val="24"/>
        </w:rPr>
        <w:t>l mercato delle batterie</w:t>
      </w:r>
      <w:r>
        <w:rPr>
          <w:rFonts w:cs="Arial"/>
          <w:szCs w:val="24"/>
        </w:rPr>
        <w:t xml:space="preserve">. </w:t>
      </w:r>
      <w:r w:rsidRPr="00DC354F">
        <w:rPr>
          <w:rFonts w:cs="Arial"/>
          <w:szCs w:val="24"/>
        </w:rPr>
        <w:t xml:space="preserve">Se TESLA sta costruendo una </w:t>
      </w:r>
      <w:r w:rsidRPr="002B7305">
        <w:rPr>
          <w:rFonts w:cs="Arial"/>
          <w:szCs w:val="24"/>
        </w:rPr>
        <w:t xml:space="preserve">fabbrica delle dimensioni indicate e se la tendenza del prezzo è veramente quella ipotizzata nell’iniziativa e nel grafico precedentemente mostrato, già fra 2 o 3 anni risulterà interessante installare senza sussidi delle batterie a livello domestico per ottimizzare gli autoconsumi. Nel frattempo le aziende avranno il tempo di organizzarsi tramite dei progetti pilota e sicuramente fra </w:t>
      </w:r>
      <w:r>
        <w:rPr>
          <w:rFonts w:cs="Arial"/>
          <w:szCs w:val="24"/>
        </w:rPr>
        <w:t xml:space="preserve">pochi </w:t>
      </w:r>
      <w:r w:rsidRPr="002B7305">
        <w:rPr>
          <w:rFonts w:cs="Arial"/>
          <w:szCs w:val="24"/>
        </w:rPr>
        <w:t>anni si potrà contare su un mercato di sistemi di gestione remota più consolidato e affidabile. A detta di esperti del settore, l’attuale tasso di crescita delle installazioni fotovoltaiche non sembra porre seri problemi alla gestione della rete e pertanto non si giustifica l’urgenza di dirottare degli incentivi verso le batterie.</w:t>
      </w:r>
    </w:p>
    <w:p w:rsidR="0007534B" w:rsidRDefault="0007534B" w:rsidP="003A2777">
      <w:pPr>
        <w:pStyle w:val="Paragrafoelenco"/>
        <w:numPr>
          <w:ilvl w:val="0"/>
          <w:numId w:val="5"/>
        </w:numPr>
        <w:tabs>
          <w:tab w:val="left" w:pos="567"/>
        </w:tabs>
        <w:spacing w:before="120"/>
        <w:ind w:left="284" w:hanging="284"/>
        <w:rPr>
          <w:rFonts w:cs="Arial"/>
          <w:szCs w:val="24"/>
        </w:rPr>
      </w:pPr>
      <w:r>
        <w:rPr>
          <w:rFonts w:cs="Arial"/>
          <w:szCs w:val="24"/>
        </w:rPr>
        <w:t>Incentivando anche l’acquisto di batterie, in aggiunta agli incentivi per gli impianti fotovoltaici già previsti, si raggiungerebbe nel contesto degli incentivi federali (RIC) e cantonali (FER) un finanziamento dall’ente pubblico di quasi il 50%. È un incentivo che risulterebbe discriminatorio verso altri vettori energetici altrettanto o addirittura più puliti e sostenibili.</w:t>
      </w:r>
    </w:p>
    <w:p w:rsidR="0007534B" w:rsidRDefault="0007534B" w:rsidP="003A2777">
      <w:pPr>
        <w:pStyle w:val="Paragrafoelenco"/>
        <w:numPr>
          <w:ilvl w:val="0"/>
          <w:numId w:val="5"/>
        </w:numPr>
        <w:tabs>
          <w:tab w:val="left" w:pos="567"/>
        </w:tabs>
        <w:spacing w:before="120"/>
        <w:ind w:left="284" w:hanging="284"/>
        <w:rPr>
          <w:rFonts w:cs="Arial"/>
          <w:szCs w:val="24"/>
        </w:rPr>
      </w:pPr>
      <w:r>
        <w:rPr>
          <w:rFonts w:cs="Arial"/>
          <w:szCs w:val="24"/>
        </w:rPr>
        <w:t>Le modalità di erogazione, combinate a quelle già esistenti per la realizzazione di impianti fotovoltaici, andrebbero definite nel Regolamento del Fondo per le energie rinnovabili (</w:t>
      </w:r>
      <w:r w:rsidRPr="00E318C3">
        <w:rPr>
          <w:rFonts w:cs="Arial"/>
          <w:szCs w:val="24"/>
        </w:rPr>
        <w:t>FER). Considerando le attuali difficoltà di finanziamento del fondo per le energie rinnovabili, un’ulteriore richiesta di finanziamento tramite questo fondo implicherebbe gioco forza ulteriori oneri a carico dei consumatori.</w:t>
      </w:r>
    </w:p>
    <w:p w:rsidR="0007534B" w:rsidRPr="00E318C3" w:rsidRDefault="0007534B" w:rsidP="003A2777">
      <w:pPr>
        <w:pStyle w:val="Paragrafoelenco"/>
        <w:numPr>
          <w:ilvl w:val="0"/>
          <w:numId w:val="5"/>
        </w:numPr>
        <w:tabs>
          <w:tab w:val="left" w:pos="567"/>
        </w:tabs>
        <w:spacing w:before="120"/>
        <w:ind w:left="284" w:hanging="284"/>
        <w:rPr>
          <w:rFonts w:cs="Arial"/>
          <w:szCs w:val="24"/>
        </w:rPr>
      </w:pPr>
      <w:r w:rsidRPr="00E318C3">
        <w:rPr>
          <w:rFonts w:cs="Arial"/>
          <w:szCs w:val="24"/>
        </w:rPr>
        <w:lastRenderedPageBreak/>
        <w:t xml:space="preserve">Da ultimo, considerato come secondo il Piano Energetico Cantonale le reti </w:t>
      </w:r>
      <w:proofErr w:type="spellStart"/>
      <w:r w:rsidRPr="00E318C3">
        <w:rPr>
          <w:rFonts w:cs="Arial"/>
          <w:szCs w:val="24"/>
        </w:rPr>
        <w:t>smart</w:t>
      </w:r>
      <w:proofErr w:type="spellEnd"/>
      <w:r w:rsidRPr="00E318C3">
        <w:rPr>
          <w:rFonts w:cs="Arial"/>
          <w:szCs w:val="24"/>
        </w:rPr>
        <w:t xml:space="preserve"> </w:t>
      </w:r>
      <w:proofErr w:type="spellStart"/>
      <w:r w:rsidRPr="00E318C3">
        <w:rPr>
          <w:rFonts w:cs="Arial"/>
          <w:szCs w:val="24"/>
        </w:rPr>
        <w:t>grid</w:t>
      </w:r>
      <w:proofErr w:type="spellEnd"/>
      <w:r w:rsidRPr="00E318C3">
        <w:rPr>
          <w:rFonts w:cs="Arial"/>
          <w:szCs w:val="24"/>
        </w:rPr>
        <w:t xml:space="preserve"> devono essere sviluppate in primis da AET in collaborazione con le aziende distributrici, è auspicabile che siano esse ad affrontare e approfondire il tema</w:t>
      </w:r>
      <w:r>
        <w:rPr>
          <w:rFonts w:cs="Arial"/>
          <w:szCs w:val="24"/>
        </w:rPr>
        <w:t>.</w:t>
      </w:r>
    </w:p>
    <w:p w:rsidR="0007534B" w:rsidRDefault="0007534B" w:rsidP="0007534B">
      <w:pPr>
        <w:rPr>
          <w:rFonts w:cs="Arial"/>
          <w:szCs w:val="24"/>
        </w:rPr>
      </w:pPr>
    </w:p>
    <w:p w:rsidR="0007534B" w:rsidRDefault="0007534B" w:rsidP="0007534B">
      <w:pPr>
        <w:rPr>
          <w:rFonts w:cs="Arial"/>
          <w:szCs w:val="24"/>
        </w:rPr>
      </w:pPr>
      <w:r>
        <w:rPr>
          <w:rFonts w:cs="Arial"/>
          <w:szCs w:val="24"/>
        </w:rPr>
        <w:t>Fatte queste considerazioni, la Commissione speciale energia ritiene opportuno, sulla stessa linea del Consiglio di Stato, non dar seguito positivo alla mozione e approvare invece la proposta dell’iniziativa parlamentare generica.</w:t>
      </w:r>
    </w:p>
    <w:p w:rsidR="0007534B" w:rsidRDefault="0007534B" w:rsidP="0007534B">
      <w:pPr>
        <w:rPr>
          <w:rFonts w:cs="Arial"/>
          <w:szCs w:val="24"/>
        </w:rPr>
      </w:pPr>
    </w:p>
    <w:p w:rsidR="00747859" w:rsidRDefault="00747859" w:rsidP="0007534B">
      <w:pPr>
        <w:rPr>
          <w:rFonts w:cs="Arial"/>
          <w:szCs w:val="24"/>
        </w:rPr>
      </w:pPr>
    </w:p>
    <w:p w:rsidR="0007534B" w:rsidRDefault="0007534B" w:rsidP="0007534B">
      <w:pPr>
        <w:rPr>
          <w:rFonts w:cs="Arial"/>
          <w:szCs w:val="24"/>
        </w:rPr>
      </w:pPr>
    </w:p>
    <w:p w:rsidR="0007534B" w:rsidRPr="00075437" w:rsidRDefault="0007534B" w:rsidP="00B06A20">
      <w:pPr>
        <w:pStyle w:val="Titolo1"/>
      </w:pPr>
      <w:r>
        <w:t>CONCLUSIONI</w:t>
      </w:r>
    </w:p>
    <w:p w:rsidR="0007534B" w:rsidRDefault="0007534B" w:rsidP="0007534B">
      <w:pPr>
        <w:spacing w:after="60"/>
        <w:rPr>
          <w:rFonts w:cs="Arial"/>
          <w:szCs w:val="24"/>
        </w:rPr>
      </w:pPr>
      <w:r w:rsidRPr="003A2777">
        <w:rPr>
          <w:rFonts w:cs="Arial"/>
          <w:szCs w:val="24"/>
        </w:rPr>
        <w:t>Con le considerazioni espresse nel rapporto e la modifica proposta in relazione al prelievo sulla produzione, la Commissione speciale energia invita il Gran Consiglio ad approvare i disegni di legge e di decreto legislativo annessi al messaggio n. 7207 del Consiglio di Stato, a respingere la mozione “Sole del Ticino 3” e ad approvare l’iniziativa “Sole del Ticino 4”.</w:t>
      </w:r>
    </w:p>
    <w:p w:rsidR="0007534B" w:rsidRPr="00076E70" w:rsidRDefault="0007534B" w:rsidP="0007534B">
      <w:pPr>
        <w:rPr>
          <w:rFonts w:cs="Arial"/>
          <w:szCs w:val="24"/>
        </w:rPr>
      </w:pPr>
    </w:p>
    <w:p w:rsidR="0007534B" w:rsidRPr="00076E70" w:rsidRDefault="0007534B" w:rsidP="0007534B">
      <w:pPr>
        <w:autoSpaceDE w:val="0"/>
        <w:autoSpaceDN w:val="0"/>
        <w:adjustRightInd w:val="0"/>
        <w:rPr>
          <w:rFonts w:cs="Arial"/>
          <w:szCs w:val="24"/>
        </w:rPr>
      </w:pPr>
    </w:p>
    <w:p w:rsidR="0007534B" w:rsidRPr="00076E70" w:rsidRDefault="0007534B" w:rsidP="0007534B">
      <w:pPr>
        <w:rPr>
          <w:rFonts w:cs="Arial"/>
          <w:szCs w:val="24"/>
        </w:rPr>
      </w:pPr>
    </w:p>
    <w:p w:rsidR="0007534B" w:rsidRPr="00076E70" w:rsidRDefault="0007534B" w:rsidP="0007534B">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3A2777">
        <w:rPr>
          <w:rFonts w:cs="Arial"/>
          <w:szCs w:val="24"/>
        </w:rPr>
        <w:t>speciale energia</w:t>
      </w:r>
      <w:r w:rsidRPr="00076E70">
        <w:rPr>
          <w:rFonts w:cs="Arial"/>
          <w:szCs w:val="24"/>
        </w:rPr>
        <w:t>:</w:t>
      </w:r>
    </w:p>
    <w:p w:rsidR="0007534B" w:rsidRPr="00076E70" w:rsidRDefault="003A2777" w:rsidP="0007534B">
      <w:pPr>
        <w:rPr>
          <w:rFonts w:cs="Arial"/>
          <w:szCs w:val="24"/>
        </w:rPr>
      </w:pPr>
      <w:r>
        <w:rPr>
          <w:rFonts w:cs="Arial"/>
          <w:szCs w:val="24"/>
        </w:rPr>
        <w:t>Graziano Crugnola</w:t>
      </w:r>
      <w:r w:rsidR="0007534B" w:rsidRPr="00076E70">
        <w:rPr>
          <w:rFonts w:cs="Arial"/>
          <w:szCs w:val="24"/>
        </w:rPr>
        <w:t>, relatore</w:t>
      </w:r>
    </w:p>
    <w:p w:rsidR="00747859" w:rsidRDefault="00747859" w:rsidP="00747859">
      <w:r>
        <w:t xml:space="preserve">Badasci - Bang - Garzoli - Jelmini - </w:t>
      </w:r>
    </w:p>
    <w:p w:rsidR="00982DFD" w:rsidRDefault="00747859" w:rsidP="00747859">
      <w:r>
        <w:t xml:space="preserve">Käppeli - Lepori - Maggi - Robbiani - </w:t>
      </w:r>
    </w:p>
    <w:p w:rsidR="00747859" w:rsidRDefault="00747859" w:rsidP="00747859">
      <w:r>
        <w:t>Storni - Terraneo</w:t>
      </w:r>
    </w:p>
    <w:p w:rsidR="0007534B" w:rsidRPr="00076E70" w:rsidRDefault="0007534B" w:rsidP="0007534B">
      <w:pPr>
        <w:rPr>
          <w:rFonts w:cs="Arial"/>
          <w:szCs w:val="24"/>
        </w:rPr>
      </w:pPr>
    </w:p>
    <w:p w:rsidR="0007534B" w:rsidRPr="00076E70" w:rsidRDefault="0007534B" w:rsidP="0007534B">
      <w:pPr>
        <w:rPr>
          <w:rFonts w:cs="Arial"/>
          <w:szCs w:val="24"/>
        </w:rPr>
      </w:pPr>
    </w:p>
    <w:p w:rsidR="0007534B" w:rsidRPr="00075437" w:rsidRDefault="0007534B" w:rsidP="0007534B">
      <w:pPr>
        <w:rPr>
          <w:rFonts w:cs="Arial"/>
          <w:szCs w:val="24"/>
        </w:rPr>
      </w:pPr>
    </w:p>
    <w:p w:rsidR="0007534B" w:rsidRDefault="0007534B" w:rsidP="0007534B">
      <w:pPr>
        <w:rPr>
          <w:rFonts w:cs="Arial"/>
          <w:szCs w:val="24"/>
        </w:rPr>
      </w:pPr>
    </w:p>
    <w:p w:rsidR="0007534B" w:rsidRDefault="0007534B" w:rsidP="0007534B">
      <w:pPr>
        <w:tabs>
          <w:tab w:val="right" w:pos="9120"/>
        </w:tabs>
        <w:spacing w:after="120"/>
        <w:outlineLvl w:val="0"/>
        <w:rPr>
          <w:rFonts w:cs="Arial"/>
          <w:szCs w:val="24"/>
        </w:rPr>
        <w:sectPr w:rsidR="0007534B" w:rsidSect="00075437">
          <w:footerReference w:type="even" r:id="rId11"/>
          <w:footerReference w:type="default" r:id="rId12"/>
          <w:pgSz w:w="11906" w:h="16838" w:code="9"/>
          <w:pgMar w:top="1134" w:right="1134" w:bottom="1134" w:left="1134" w:header="720" w:footer="567" w:gutter="0"/>
          <w:cols w:space="708"/>
          <w:docGrid w:linePitch="360"/>
        </w:sectPr>
      </w:pPr>
    </w:p>
    <w:p w:rsidR="0007534B" w:rsidRPr="000A48B6" w:rsidRDefault="0007534B" w:rsidP="0007534B">
      <w:pPr>
        <w:tabs>
          <w:tab w:val="right" w:pos="9120"/>
        </w:tabs>
        <w:spacing w:after="120"/>
        <w:outlineLvl w:val="0"/>
        <w:rPr>
          <w:rFonts w:eastAsia="Times New Roman" w:cs="Arial"/>
          <w:noProof/>
          <w:szCs w:val="24"/>
          <w:lang w:val="it-IT" w:eastAsia="it-CH"/>
        </w:rPr>
      </w:pPr>
      <w:r w:rsidRPr="000A48B6">
        <w:rPr>
          <w:rFonts w:eastAsia="Times New Roman" w:cs="Arial"/>
          <w:noProof/>
          <w:szCs w:val="24"/>
          <w:lang w:val="it-IT" w:eastAsia="it-CH"/>
        </w:rPr>
        <w:lastRenderedPageBreak/>
        <w:t>Disegno di</w:t>
      </w:r>
    </w:p>
    <w:p w:rsidR="0007534B" w:rsidRPr="000A48B6" w:rsidRDefault="0007534B" w:rsidP="0007534B">
      <w:pPr>
        <w:tabs>
          <w:tab w:val="right" w:pos="9120"/>
        </w:tabs>
        <w:outlineLvl w:val="0"/>
        <w:rPr>
          <w:rFonts w:eastAsia="Times New Roman" w:cs="Arial"/>
          <w:noProof/>
          <w:szCs w:val="24"/>
          <w:lang w:val="it-IT" w:eastAsia="it-CH"/>
        </w:rPr>
      </w:pPr>
    </w:p>
    <w:p w:rsidR="0007534B" w:rsidRPr="000A48B6" w:rsidRDefault="0007534B" w:rsidP="0007534B">
      <w:pPr>
        <w:tabs>
          <w:tab w:val="right" w:pos="9120"/>
        </w:tabs>
        <w:outlineLvl w:val="0"/>
        <w:rPr>
          <w:rFonts w:eastAsia="Times New Roman" w:cs="Arial"/>
          <w:b/>
          <w:noProof/>
          <w:szCs w:val="24"/>
          <w:lang w:val="it-IT" w:eastAsia="it-CH"/>
        </w:rPr>
      </w:pPr>
      <w:r w:rsidRPr="000A48B6">
        <w:rPr>
          <w:rFonts w:eastAsia="Times New Roman" w:cs="Arial"/>
          <w:b/>
          <w:noProof/>
          <w:szCs w:val="24"/>
          <w:lang w:val="it-IT" w:eastAsia="it-CH"/>
        </w:rPr>
        <w:t>LEGGE</w:t>
      </w:r>
    </w:p>
    <w:p w:rsidR="0007534B" w:rsidRPr="000A48B6" w:rsidRDefault="0007534B" w:rsidP="0007534B">
      <w:pPr>
        <w:tabs>
          <w:tab w:val="right" w:pos="9120"/>
        </w:tabs>
        <w:spacing w:before="60"/>
        <w:outlineLvl w:val="0"/>
        <w:rPr>
          <w:rFonts w:eastAsia="Times New Roman" w:cs="Arial"/>
          <w:b/>
          <w:noProof/>
          <w:szCs w:val="24"/>
          <w:lang w:val="it-IT" w:eastAsia="it-CH"/>
        </w:rPr>
      </w:pPr>
      <w:r w:rsidRPr="000A48B6">
        <w:rPr>
          <w:rFonts w:eastAsia="Times New Roman" w:cs="Arial"/>
          <w:b/>
          <w:noProof/>
          <w:szCs w:val="24"/>
          <w:lang w:val="it-IT" w:eastAsia="it-CH"/>
        </w:rPr>
        <w:t>cantonale sull'energia (Len) dell'8 febbraio 1994; modifica</w:t>
      </w:r>
    </w:p>
    <w:p w:rsidR="0007534B" w:rsidRPr="000A48B6" w:rsidRDefault="0007534B" w:rsidP="0007534B">
      <w:pPr>
        <w:rPr>
          <w:rFonts w:eastAsia="Times New Roman" w:cs="Arial"/>
          <w:szCs w:val="24"/>
          <w:lang w:val="it-IT" w:eastAsia="it-IT"/>
        </w:rPr>
      </w:pPr>
    </w:p>
    <w:p w:rsidR="0007534B" w:rsidRPr="000A48B6" w:rsidRDefault="0007534B" w:rsidP="0007534B">
      <w:pPr>
        <w:rPr>
          <w:rFonts w:eastAsia="Times New Roman" w:cs="Arial"/>
          <w:szCs w:val="24"/>
          <w:lang w:val="it-IT" w:eastAsia="it-IT"/>
        </w:rPr>
      </w:pPr>
    </w:p>
    <w:p w:rsidR="0007534B" w:rsidRPr="000A48B6" w:rsidRDefault="0007534B" w:rsidP="0007534B">
      <w:pPr>
        <w:rPr>
          <w:rFonts w:eastAsia="Times New Roman" w:cs="Arial"/>
          <w:szCs w:val="20"/>
          <w:lang w:val="it-IT" w:eastAsia="it-IT"/>
        </w:rPr>
      </w:pPr>
      <w:r w:rsidRPr="000A48B6">
        <w:rPr>
          <w:rFonts w:eastAsia="Times New Roman" w:cs="Arial"/>
          <w:szCs w:val="20"/>
          <w:lang w:val="it-IT" w:eastAsia="it-IT"/>
        </w:rPr>
        <w:t>Il Gran Consiglio</w:t>
      </w:r>
    </w:p>
    <w:p w:rsidR="0007534B" w:rsidRPr="000A48B6" w:rsidRDefault="0007534B" w:rsidP="0007534B">
      <w:pPr>
        <w:rPr>
          <w:rFonts w:eastAsia="Times New Roman" w:cs="Arial"/>
          <w:szCs w:val="20"/>
          <w:lang w:val="it-IT" w:eastAsia="it-IT"/>
        </w:rPr>
      </w:pPr>
      <w:r w:rsidRPr="000A48B6">
        <w:rPr>
          <w:rFonts w:eastAsia="Times New Roman" w:cs="Arial"/>
          <w:szCs w:val="20"/>
          <w:lang w:val="it-IT" w:eastAsia="it-IT"/>
        </w:rPr>
        <w:t>della Repubblica e Cantone Ticino</w:t>
      </w:r>
    </w:p>
    <w:p w:rsidR="0007534B" w:rsidRPr="000A48B6" w:rsidRDefault="0007534B" w:rsidP="0007534B">
      <w:pPr>
        <w:rPr>
          <w:rFonts w:eastAsia="Times New Roman" w:cs="Arial"/>
          <w:szCs w:val="20"/>
          <w:lang w:val="it-IT" w:eastAsia="it-IT"/>
        </w:rPr>
      </w:pPr>
    </w:p>
    <w:p w:rsidR="0007534B" w:rsidRPr="000A48B6" w:rsidRDefault="0007534B" w:rsidP="0007534B">
      <w:pPr>
        <w:rPr>
          <w:rFonts w:eastAsia="Times New Roman" w:cs="Arial"/>
          <w:szCs w:val="20"/>
          <w:lang w:eastAsia="it-IT"/>
        </w:rPr>
      </w:pPr>
      <w:r w:rsidRPr="000A48B6">
        <w:rPr>
          <w:rFonts w:eastAsia="Times New Roman" w:cs="Times New Roman"/>
          <w:szCs w:val="20"/>
          <w:lang w:val="it-IT" w:eastAsia="it-IT"/>
        </w:rPr>
        <w:t xml:space="preserve">visto il messaggio 12 luglio 2016 n. 7207 </w:t>
      </w:r>
      <w:r w:rsidRPr="000A48B6">
        <w:rPr>
          <w:rFonts w:eastAsia="Times New Roman" w:cs="Arial"/>
          <w:szCs w:val="20"/>
          <w:lang w:eastAsia="it-IT"/>
        </w:rPr>
        <w:t>del Consiglio di Stato,</w:t>
      </w:r>
    </w:p>
    <w:p w:rsidR="0007534B" w:rsidRPr="000A48B6" w:rsidRDefault="0007534B" w:rsidP="0007534B">
      <w:pPr>
        <w:tabs>
          <w:tab w:val="left" w:pos="1077"/>
          <w:tab w:val="left" w:pos="3238"/>
        </w:tabs>
        <w:rPr>
          <w:rFonts w:eastAsia="Times New Roman" w:cs="Arial"/>
          <w:noProof/>
          <w:lang w:val="it-IT" w:eastAsia="it-CH"/>
        </w:rPr>
      </w:pPr>
    </w:p>
    <w:p w:rsidR="0007534B" w:rsidRPr="000A48B6" w:rsidRDefault="0007534B" w:rsidP="0007534B">
      <w:pPr>
        <w:tabs>
          <w:tab w:val="left" w:pos="1077"/>
          <w:tab w:val="left" w:pos="3238"/>
        </w:tabs>
        <w:rPr>
          <w:rFonts w:eastAsia="Times New Roman" w:cs="Arial"/>
          <w:noProof/>
          <w:lang w:val="it-IT" w:eastAsia="it-CH"/>
        </w:rPr>
      </w:pPr>
    </w:p>
    <w:p w:rsidR="0007534B" w:rsidRPr="000A48B6" w:rsidRDefault="0007534B" w:rsidP="0007534B">
      <w:pPr>
        <w:rPr>
          <w:rFonts w:eastAsia="Times New Roman" w:cs="Arial"/>
          <w:b/>
          <w:szCs w:val="24"/>
          <w:lang w:val="it-IT" w:eastAsia="it-IT"/>
        </w:rPr>
      </w:pPr>
      <w:r w:rsidRPr="000A48B6">
        <w:rPr>
          <w:rFonts w:eastAsia="Times New Roman" w:cs="Arial"/>
          <w:b/>
          <w:szCs w:val="24"/>
          <w:lang w:val="it-IT" w:eastAsia="it-IT"/>
        </w:rPr>
        <w:t>d e c r e t a :</w:t>
      </w:r>
    </w:p>
    <w:p w:rsidR="0007534B" w:rsidRPr="000A48B6" w:rsidRDefault="0007534B" w:rsidP="0007534B">
      <w:pPr>
        <w:rPr>
          <w:rFonts w:eastAsia="Times New Roman" w:cs="Arial"/>
          <w:szCs w:val="24"/>
          <w:lang w:val="it-IT" w:eastAsia="it-IT"/>
        </w:rPr>
      </w:pPr>
    </w:p>
    <w:p w:rsidR="0007534B" w:rsidRPr="000A48B6" w:rsidRDefault="0007534B" w:rsidP="0007534B">
      <w:pPr>
        <w:rPr>
          <w:rFonts w:eastAsia="Times New Roman" w:cs="Arial"/>
          <w:szCs w:val="24"/>
          <w:lang w:val="it-IT" w:eastAsia="it-IT"/>
        </w:rPr>
      </w:pPr>
    </w:p>
    <w:p w:rsidR="0007534B" w:rsidRPr="000A48B6" w:rsidRDefault="0007534B" w:rsidP="0007534B">
      <w:pPr>
        <w:rPr>
          <w:rFonts w:eastAsia="Times New Roman" w:cs="Arial"/>
          <w:b/>
          <w:szCs w:val="24"/>
          <w:lang w:val="it-IT" w:eastAsia="it-IT"/>
        </w:rPr>
      </w:pPr>
      <w:r w:rsidRPr="000A48B6">
        <w:rPr>
          <w:rFonts w:eastAsia="Times New Roman" w:cs="Arial"/>
          <w:b/>
          <w:szCs w:val="24"/>
          <w:lang w:val="it-IT" w:eastAsia="it-IT"/>
        </w:rPr>
        <w:t>I.</w:t>
      </w:r>
    </w:p>
    <w:p w:rsidR="0007534B" w:rsidRPr="000A48B6" w:rsidRDefault="0007534B" w:rsidP="0007534B">
      <w:pPr>
        <w:spacing w:before="120" w:line="240" w:lineRule="atLeast"/>
        <w:rPr>
          <w:rFonts w:eastAsia="Times New Roman" w:cs="Arial"/>
          <w:szCs w:val="24"/>
          <w:lang w:val="it-IT" w:eastAsia="it-IT"/>
        </w:rPr>
      </w:pPr>
      <w:r w:rsidRPr="000A48B6">
        <w:rPr>
          <w:rFonts w:eastAsia="Times New Roman" w:cs="Arial"/>
          <w:szCs w:val="24"/>
          <w:lang w:val="it-IT" w:eastAsia="it-IT"/>
        </w:rPr>
        <w:t>La legge cantonale sull’energia (</w:t>
      </w:r>
      <w:proofErr w:type="spellStart"/>
      <w:r w:rsidRPr="000A48B6">
        <w:rPr>
          <w:rFonts w:eastAsia="Times New Roman" w:cs="Arial"/>
          <w:szCs w:val="24"/>
          <w:lang w:val="it-IT" w:eastAsia="it-IT"/>
        </w:rPr>
        <w:t>Len</w:t>
      </w:r>
      <w:proofErr w:type="spellEnd"/>
      <w:r w:rsidRPr="000A48B6">
        <w:rPr>
          <w:rFonts w:eastAsia="Times New Roman" w:cs="Arial"/>
          <w:szCs w:val="24"/>
          <w:lang w:val="it-IT" w:eastAsia="it-IT"/>
        </w:rPr>
        <w:t>) dell’8 febbraio 1994 è modificata come segue:</w:t>
      </w:r>
    </w:p>
    <w:p w:rsidR="0007534B" w:rsidRPr="000A48B6" w:rsidRDefault="0007534B" w:rsidP="0007534B">
      <w:pPr>
        <w:spacing w:before="120" w:line="240" w:lineRule="atLeast"/>
        <w:rPr>
          <w:rFonts w:eastAsia="Times New Roman" w:cs="Arial"/>
          <w:szCs w:val="24"/>
          <w:lang w:val="it-IT" w:eastAsia="it-IT"/>
        </w:rPr>
      </w:pPr>
    </w:p>
    <w:p w:rsidR="0007534B" w:rsidRPr="00982DFD" w:rsidRDefault="0007534B" w:rsidP="0007534B">
      <w:pPr>
        <w:tabs>
          <w:tab w:val="left" w:pos="1701"/>
        </w:tabs>
        <w:spacing w:line="200" w:lineRule="atLeast"/>
        <w:ind w:left="1276"/>
        <w:rPr>
          <w:rFonts w:eastAsia="Times New Roman" w:cs="Arial"/>
          <w:b/>
          <w:bCs/>
          <w:sz w:val="22"/>
          <w:lang w:val="de-DE" w:eastAsia="it-IT"/>
        </w:rPr>
      </w:pPr>
      <w:r w:rsidRPr="00982DFD">
        <w:rPr>
          <w:rFonts w:eastAsia="Times New Roman" w:cs="Arial"/>
          <w:b/>
          <w:bCs/>
          <w:sz w:val="22"/>
          <w:lang w:val="de-DE" w:eastAsia="it-IT"/>
        </w:rPr>
        <w:t xml:space="preserve">Art. 8b </w:t>
      </w:r>
      <w:proofErr w:type="spellStart"/>
      <w:r w:rsidRPr="00982DFD">
        <w:rPr>
          <w:rFonts w:eastAsia="Times New Roman" w:cs="Arial"/>
          <w:b/>
          <w:bCs/>
          <w:sz w:val="22"/>
          <w:lang w:val="de-DE" w:eastAsia="it-IT"/>
        </w:rPr>
        <w:t>cpv</w:t>
      </w:r>
      <w:proofErr w:type="spellEnd"/>
      <w:r w:rsidRPr="00982DFD">
        <w:rPr>
          <w:rFonts w:eastAsia="Times New Roman" w:cs="Arial"/>
          <w:b/>
          <w:bCs/>
          <w:sz w:val="22"/>
          <w:lang w:val="de-DE" w:eastAsia="it-IT"/>
        </w:rPr>
        <w:t xml:space="preserve">. 2 </w:t>
      </w:r>
      <w:proofErr w:type="spellStart"/>
      <w:r w:rsidRPr="00982DFD">
        <w:rPr>
          <w:rFonts w:eastAsia="Times New Roman" w:cs="Arial"/>
          <w:b/>
          <w:bCs/>
          <w:sz w:val="22"/>
          <w:lang w:val="de-DE" w:eastAsia="it-IT"/>
        </w:rPr>
        <w:t>lett</w:t>
      </w:r>
      <w:proofErr w:type="spellEnd"/>
      <w:r w:rsidRPr="00982DFD">
        <w:rPr>
          <w:rFonts w:eastAsia="Times New Roman" w:cs="Arial"/>
          <w:b/>
          <w:bCs/>
          <w:sz w:val="22"/>
          <w:lang w:val="de-DE" w:eastAsia="it-IT"/>
        </w:rPr>
        <w:t>. a)</w:t>
      </w:r>
      <w:r w:rsidRPr="00982DFD">
        <w:rPr>
          <w:rFonts w:eastAsia="Times New Roman" w:cs="Arial"/>
          <w:sz w:val="22"/>
          <w:lang w:val="de-DE" w:eastAsia="it-IT"/>
        </w:rPr>
        <w:t xml:space="preserve"> </w:t>
      </w:r>
    </w:p>
    <w:p w:rsidR="0007534B" w:rsidRPr="00982DFD" w:rsidRDefault="0007534B" w:rsidP="0007534B">
      <w:pPr>
        <w:tabs>
          <w:tab w:val="left" w:pos="347"/>
          <w:tab w:val="left" w:pos="1701"/>
        </w:tabs>
        <w:spacing w:before="120"/>
        <w:ind w:left="1701" w:hanging="425"/>
        <w:rPr>
          <w:rFonts w:eastAsia="Times New Roman" w:cs="Times New Roman"/>
          <w:sz w:val="22"/>
          <w:lang w:val="it-IT" w:eastAsia="it-IT"/>
        </w:rPr>
      </w:pPr>
      <w:r w:rsidRPr="00982DFD">
        <w:rPr>
          <w:rFonts w:eastAsia="Times New Roman" w:cs="Times New Roman"/>
          <w:sz w:val="22"/>
          <w:lang w:val="it-IT" w:eastAsia="it-IT"/>
        </w:rPr>
        <w:t>a)</w:t>
      </w:r>
      <w:r w:rsidRPr="00982DFD">
        <w:rPr>
          <w:rFonts w:eastAsia="Times New Roman" w:cs="Times New Roman"/>
          <w:sz w:val="22"/>
          <w:lang w:val="it-IT" w:eastAsia="it-IT"/>
        </w:rPr>
        <w:tab/>
      </w:r>
      <w:r w:rsidRPr="00982DFD">
        <w:rPr>
          <w:rFonts w:eastAsia="Times New Roman" w:cs="Arial"/>
          <w:bCs/>
          <w:sz w:val="22"/>
          <w:lang w:val="it-IT" w:eastAsia="it-IT"/>
        </w:rPr>
        <w:t xml:space="preserve">per ogni kWh della produzione annua effettiva di energia elettrica proveniente da quote di partecipazione già acquisite da AET in centrali elettriche a carbone, il Cantone, </w:t>
      </w:r>
      <w:r w:rsidRPr="00982DFD">
        <w:rPr>
          <w:rFonts w:eastAsia="Times New Roman" w:cs="Times New Roman"/>
          <w:sz w:val="22"/>
          <w:lang w:val="it-IT" w:eastAsia="it-IT"/>
        </w:rPr>
        <w:t>se AET chiude i conti dell’anno precedente a quello corrente di prelievo con un risultato ordinario positivo,</w:t>
      </w:r>
      <w:r w:rsidRPr="00982DFD">
        <w:rPr>
          <w:rFonts w:eastAsia="Times New Roman" w:cs="Arial"/>
          <w:bCs/>
          <w:sz w:val="22"/>
          <w:lang w:val="it-IT" w:eastAsia="it-IT"/>
        </w:rPr>
        <w:t xml:space="preserve"> preleva un importo stabilito </w:t>
      </w:r>
      <w:r w:rsidRPr="00982DFD">
        <w:rPr>
          <w:rFonts w:eastAsia="Times New Roman" w:cs="Times New Roman"/>
          <w:sz w:val="22"/>
          <w:lang w:val="it-IT" w:eastAsia="it-IT"/>
        </w:rPr>
        <w:t>ogni 4 anni</w:t>
      </w:r>
      <w:r w:rsidRPr="00982DFD">
        <w:rPr>
          <w:rFonts w:eastAsia="Times New Roman" w:cs="Arial"/>
          <w:bCs/>
          <w:sz w:val="22"/>
          <w:lang w:val="it-IT" w:eastAsia="it-IT"/>
        </w:rPr>
        <w:t xml:space="preserve"> </w:t>
      </w:r>
      <w:r w:rsidRPr="00982DFD">
        <w:rPr>
          <w:rFonts w:eastAsia="Times New Roman" w:cs="Times New Roman"/>
          <w:sz w:val="22"/>
          <w:lang w:val="it-IT" w:eastAsia="it-IT"/>
        </w:rPr>
        <w:t>dal Gran Consiglio,</w:t>
      </w:r>
      <w:r w:rsidRPr="00982DFD">
        <w:rPr>
          <w:rFonts w:eastAsia="Times New Roman" w:cs="Arial"/>
          <w:bCs/>
          <w:sz w:val="22"/>
          <w:lang w:val="it-IT" w:eastAsia="it-IT"/>
        </w:rPr>
        <w:t xml:space="preserve"> non inferiore a 0.2 </w:t>
      </w:r>
      <w:proofErr w:type="spellStart"/>
      <w:r w:rsidRPr="00982DFD">
        <w:rPr>
          <w:rFonts w:eastAsia="Times New Roman" w:cs="Arial"/>
          <w:bCs/>
          <w:sz w:val="22"/>
          <w:lang w:val="it-IT" w:eastAsia="it-IT"/>
        </w:rPr>
        <w:t>cts</w:t>
      </w:r>
      <w:proofErr w:type="spellEnd"/>
      <w:r w:rsidRPr="00982DFD">
        <w:rPr>
          <w:rFonts w:eastAsia="Times New Roman" w:cs="Arial"/>
          <w:bCs/>
          <w:sz w:val="22"/>
          <w:lang w:val="it-IT" w:eastAsia="it-IT"/>
        </w:rPr>
        <w:t xml:space="preserve"> e non superiore a 0,8 </w:t>
      </w:r>
      <w:proofErr w:type="spellStart"/>
      <w:r w:rsidRPr="00982DFD">
        <w:rPr>
          <w:rFonts w:eastAsia="Times New Roman" w:cs="Arial"/>
          <w:bCs/>
          <w:sz w:val="22"/>
          <w:lang w:val="it-IT" w:eastAsia="it-IT"/>
        </w:rPr>
        <w:t>cts</w:t>
      </w:r>
      <w:proofErr w:type="spellEnd"/>
      <w:r w:rsidRPr="00982DFD">
        <w:rPr>
          <w:rFonts w:eastAsia="Times New Roman" w:cs="Arial"/>
          <w:bCs/>
          <w:sz w:val="22"/>
          <w:lang w:val="it-IT" w:eastAsia="it-IT"/>
        </w:rPr>
        <w:t xml:space="preserve"> (prelievo sulla produzione)</w:t>
      </w:r>
      <w:r w:rsidRPr="00982DFD">
        <w:rPr>
          <w:rFonts w:eastAsia="Times New Roman" w:cs="Times New Roman"/>
          <w:sz w:val="22"/>
          <w:lang w:val="it-IT" w:eastAsia="it-IT"/>
        </w:rPr>
        <w:t>;</w:t>
      </w:r>
    </w:p>
    <w:p w:rsidR="0007534B" w:rsidRPr="00982DFD" w:rsidRDefault="0007534B" w:rsidP="0007534B">
      <w:pPr>
        <w:tabs>
          <w:tab w:val="left" w:pos="1701"/>
        </w:tabs>
        <w:spacing w:line="200" w:lineRule="atLeast"/>
        <w:ind w:left="1276"/>
        <w:rPr>
          <w:rFonts w:eastAsia="Times New Roman" w:cs="Arial"/>
          <w:bCs/>
          <w:sz w:val="22"/>
          <w:lang w:val="it-IT" w:eastAsia="it-IT"/>
        </w:rPr>
      </w:pPr>
    </w:p>
    <w:p w:rsidR="0007534B" w:rsidRPr="00982DFD" w:rsidRDefault="0007534B" w:rsidP="0007534B">
      <w:pPr>
        <w:tabs>
          <w:tab w:val="left" w:pos="1701"/>
        </w:tabs>
        <w:spacing w:line="200" w:lineRule="atLeast"/>
        <w:ind w:left="1276"/>
        <w:rPr>
          <w:rFonts w:eastAsia="Times New Roman" w:cs="Arial"/>
          <w:b/>
          <w:bCs/>
          <w:sz w:val="22"/>
          <w:lang w:val="en-US" w:eastAsia="it-IT"/>
        </w:rPr>
      </w:pPr>
      <w:r w:rsidRPr="00982DFD">
        <w:rPr>
          <w:rFonts w:eastAsia="Times New Roman" w:cs="Arial"/>
          <w:b/>
          <w:bCs/>
          <w:sz w:val="22"/>
          <w:lang w:val="en-US" w:eastAsia="it-IT"/>
        </w:rPr>
        <w:t xml:space="preserve">Art. 8c </w:t>
      </w:r>
      <w:proofErr w:type="spellStart"/>
      <w:r w:rsidRPr="00982DFD">
        <w:rPr>
          <w:rFonts w:eastAsia="Times New Roman" w:cs="Arial"/>
          <w:b/>
          <w:sz w:val="22"/>
          <w:lang w:val="en-US" w:eastAsia="it-IT"/>
        </w:rPr>
        <w:t>lett</w:t>
      </w:r>
      <w:proofErr w:type="spellEnd"/>
      <w:r w:rsidRPr="00982DFD">
        <w:rPr>
          <w:rFonts w:eastAsia="Times New Roman" w:cs="Arial"/>
          <w:b/>
          <w:sz w:val="22"/>
          <w:lang w:val="en-US" w:eastAsia="it-IT"/>
        </w:rPr>
        <w:t>. b)</w:t>
      </w:r>
      <w:r w:rsidRPr="00982DFD">
        <w:rPr>
          <w:rFonts w:eastAsia="Times New Roman" w:cs="Arial"/>
          <w:sz w:val="22"/>
          <w:lang w:val="en-US" w:eastAsia="it-IT"/>
        </w:rPr>
        <w:t xml:space="preserve"> </w:t>
      </w:r>
    </w:p>
    <w:p w:rsidR="0007534B" w:rsidRPr="00982DFD" w:rsidRDefault="0007534B" w:rsidP="0007534B">
      <w:pPr>
        <w:tabs>
          <w:tab w:val="left" w:pos="347"/>
          <w:tab w:val="left" w:pos="1701"/>
        </w:tabs>
        <w:spacing w:before="120"/>
        <w:ind w:left="1701" w:hanging="425"/>
        <w:rPr>
          <w:rFonts w:eastAsia="Times New Roman" w:cs="Times New Roman"/>
          <w:sz w:val="22"/>
          <w:lang w:val="it-IT" w:eastAsia="it-IT"/>
        </w:rPr>
      </w:pPr>
      <w:r w:rsidRPr="00982DFD">
        <w:rPr>
          <w:rFonts w:eastAsia="Times New Roman" w:cs="Times New Roman"/>
          <w:sz w:val="22"/>
          <w:lang w:val="it-IT" w:eastAsia="it-IT"/>
        </w:rPr>
        <w:t>b)</w:t>
      </w:r>
      <w:r w:rsidRPr="00982DFD">
        <w:rPr>
          <w:rFonts w:eastAsia="Times New Roman" w:cs="Times New Roman"/>
          <w:sz w:val="22"/>
          <w:lang w:val="it-IT" w:eastAsia="it-IT"/>
        </w:rPr>
        <w:tab/>
        <w:t>la costruzione di impianti fotovoltaici di proprietà pubblica o privata, con una potenza massima stabilita dal Consiglio di Stato in sede di regolamento.</w:t>
      </w:r>
    </w:p>
    <w:p w:rsidR="0007534B" w:rsidRPr="00982DFD" w:rsidRDefault="0007534B" w:rsidP="0007534B">
      <w:pPr>
        <w:tabs>
          <w:tab w:val="left" w:pos="1701"/>
        </w:tabs>
        <w:spacing w:line="200" w:lineRule="atLeast"/>
        <w:ind w:left="1276"/>
        <w:rPr>
          <w:rFonts w:eastAsia="Times New Roman" w:cs="Arial"/>
          <w:bCs/>
          <w:sz w:val="22"/>
          <w:lang w:val="it-IT" w:eastAsia="it-IT"/>
        </w:rPr>
      </w:pPr>
    </w:p>
    <w:p w:rsidR="0007534B" w:rsidRPr="00982DFD" w:rsidRDefault="0007534B" w:rsidP="0007534B">
      <w:pPr>
        <w:tabs>
          <w:tab w:val="left" w:pos="1701"/>
        </w:tabs>
        <w:spacing w:line="200" w:lineRule="atLeast"/>
        <w:ind w:left="1276"/>
        <w:rPr>
          <w:rFonts w:eastAsia="Times New Roman" w:cs="Times New Roman"/>
          <w:sz w:val="22"/>
          <w:lang w:val="en-US" w:eastAsia="it-IT"/>
        </w:rPr>
      </w:pPr>
      <w:r w:rsidRPr="00982DFD">
        <w:rPr>
          <w:rFonts w:eastAsia="Times New Roman" w:cs="Arial"/>
          <w:b/>
          <w:bCs/>
          <w:sz w:val="22"/>
          <w:lang w:val="en-US" w:eastAsia="it-IT"/>
        </w:rPr>
        <w:t xml:space="preserve">Art. 8c </w:t>
      </w:r>
      <w:proofErr w:type="spellStart"/>
      <w:r w:rsidRPr="00982DFD">
        <w:rPr>
          <w:rFonts w:eastAsia="Times New Roman" w:cs="Arial"/>
          <w:b/>
          <w:sz w:val="22"/>
          <w:lang w:val="en-US" w:eastAsia="it-IT"/>
        </w:rPr>
        <w:t>lett</w:t>
      </w:r>
      <w:proofErr w:type="spellEnd"/>
      <w:r w:rsidRPr="00982DFD">
        <w:rPr>
          <w:rFonts w:eastAsia="Times New Roman" w:cs="Arial"/>
          <w:b/>
          <w:sz w:val="22"/>
          <w:lang w:val="en-US" w:eastAsia="it-IT"/>
        </w:rPr>
        <w:t>. g)</w:t>
      </w:r>
      <w:r w:rsidRPr="00982DFD">
        <w:rPr>
          <w:rFonts w:eastAsia="Times New Roman" w:cs="Arial"/>
          <w:sz w:val="22"/>
          <w:lang w:val="en-US" w:eastAsia="it-IT"/>
        </w:rPr>
        <w:t xml:space="preserve"> </w:t>
      </w:r>
    </w:p>
    <w:p w:rsidR="0007534B" w:rsidRPr="00982DFD" w:rsidRDefault="0007534B" w:rsidP="0007534B">
      <w:pPr>
        <w:tabs>
          <w:tab w:val="left" w:pos="885"/>
          <w:tab w:val="left" w:pos="1701"/>
        </w:tabs>
        <w:spacing w:before="120"/>
        <w:ind w:left="1701" w:hanging="425"/>
        <w:rPr>
          <w:rFonts w:eastAsia="Times New Roman" w:cs="Times New Roman"/>
          <w:sz w:val="22"/>
          <w:lang w:val="it-IT" w:eastAsia="it-IT"/>
        </w:rPr>
      </w:pPr>
      <w:r w:rsidRPr="00982DFD">
        <w:rPr>
          <w:rFonts w:eastAsia="Times New Roman" w:cs="Times New Roman"/>
          <w:sz w:val="22"/>
          <w:lang w:val="it-IT" w:eastAsia="it-IT"/>
        </w:rPr>
        <w:t>g)</w:t>
      </w:r>
      <w:r w:rsidRPr="00982DFD">
        <w:rPr>
          <w:rFonts w:eastAsia="Times New Roman" w:cs="Times New Roman"/>
          <w:sz w:val="22"/>
          <w:lang w:val="it-IT" w:eastAsia="it-IT"/>
        </w:rPr>
        <w:tab/>
        <w:t>se il supplemento al prelievo di cui all’art. 8b cpv. 3 è applicato, le attività dei Comuni, debitamente documentate, nell’ambito dell’efficienza e del risparmio energetico, in particolare per il risanamento del proprio parco immobiliare e di quello in comproprietà, per la costruzione di nuovi edifici ad alto standard energetico, per interventi sulle proprie infrastrutture, per la costruzione di reti di teleriscaldamento alimentate prevalentemente con energie rinnovabili, per l’implementazione di reti intelligenti (</w:t>
      </w:r>
      <w:proofErr w:type="spellStart"/>
      <w:r w:rsidRPr="00982DFD">
        <w:rPr>
          <w:rFonts w:eastAsia="Times New Roman" w:cs="Times New Roman"/>
          <w:sz w:val="22"/>
          <w:lang w:val="it-IT" w:eastAsia="it-IT"/>
        </w:rPr>
        <w:t>smartgrid</w:t>
      </w:r>
      <w:proofErr w:type="spellEnd"/>
      <w:r w:rsidRPr="00982DFD">
        <w:rPr>
          <w:rFonts w:eastAsia="Times New Roman" w:cs="Times New Roman"/>
          <w:sz w:val="22"/>
          <w:lang w:val="it-IT" w:eastAsia="it-IT"/>
        </w:rPr>
        <w:t>), ivi compreso il sussidio di batterie per l’accumulo di energia, per incentivi a favore dei privati, delle aziende e degli enti pubblici e in genere per tutti gli altri provvedimenti adottati per promuovere un’utilizzazione più parsimoniosa e razionale dell’energia elettrica.</w:t>
      </w:r>
    </w:p>
    <w:p w:rsidR="0007534B" w:rsidRPr="000A48B6" w:rsidRDefault="0007534B" w:rsidP="0007534B">
      <w:pPr>
        <w:rPr>
          <w:rFonts w:eastAsia="Times New Roman" w:cs="Times New Roman"/>
          <w:szCs w:val="20"/>
          <w:lang w:val="it-IT" w:eastAsia="it-IT"/>
        </w:rPr>
      </w:pPr>
    </w:p>
    <w:p w:rsidR="0007534B" w:rsidRPr="000A48B6" w:rsidRDefault="0007534B" w:rsidP="0007534B">
      <w:pPr>
        <w:spacing w:line="240" w:lineRule="atLeast"/>
        <w:rPr>
          <w:rFonts w:eastAsia="Times New Roman" w:cs="Times New Roman"/>
          <w:szCs w:val="24"/>
          <w:lang w:val="it-IT" w:eastAsia="it-IT"/>
        </w:rPr>
      </w:pPr>
    </w:p>
    <w:p w:rsidR="0007534B" w:rsidRPr="000A48B6" w:rsidRDefault="0007534B" w:rsidP="0007534B">
      <w:pPr>
        <w:spacing w:line="240" w:lineRule="atLeast"/>
        <w:ind w:left="240" w:hanging="240"/>
        <w:rPr>
          <w:rFonts w:eastAsia="Times New Roman" w:cs="Arial"/>
          <w:szCs w:val="24"/>
          <w:lang w:val="it-IT" w:eastAsia="it-IT"/>
        </w:rPr>
      </w:pPr>
      <w:r w:rsidRPr="000A48B6">
        <w:rPr>
          <w:rFonts w:eastAsia="Times New Roman" w:cs="Arial"/>
          <w:b/>
          <w:szCs w:val="24"/>
          <w:lang w:val="it-IT" w:eastAsia="it-IT"/>
        </w:rPr>
        <w:t>II</w:t>
      </w:r>
      <w:r w:rsidRPr="000A48B6">
        <w:rPr>
          <w:rFonts w:eastAsia="Times New Roman" w:cs="Arial"/>
          <w:szCs w:val="24"/>
          <w:lang w:val="it-IT" w:eastAsia="it-IT"/>
        </w:rPr>
        <w:t>.</w:t>
      </w:r>
    </w:p>
    <w:p w:rsidR="0007534B" w:rsidRPr="000A48B6" w:rsidRDefault="0007534B" w:rsidP="0007534B">
      <w:pPr>
        <w:spacing w:before="120" w:after="120" w:line="240" w:lineRule="atLeast"/>
        <w:rPr>
          <w:rFonts w:eastAsia="Times New Roman" w:cs="Arial"/>
          <w:szCs w:val="24"/>
          <w:lang w:val="it-IT" w:eastAsia="it-IT"/>
        </w:rPr>
      </w:pPr>
      <w:r w:rsidRPr="000A48B6">
        <w:rPr>
          <w:rFonts w:eastAsia="Times New Roman" w:cs="Arial"/>
          <w:szCs w:val="24"/>
          <w:lang w:val="it-IT" w:eastAsia="it-IT"/>
        </w:rPr>
        <w:t>Trascorsi i termini per l’esercizio del referendum, le presenti modifiche di legge sono pubblicate nel Bollettino ufficiale delle leggi.</w:t>
      </w:r>
    </w:p>
    <w:p w:rsidR="0007534B" w:rsidRPr="000A48B6" w:rsidRDefault="0007534B" w:rsidP="0007534B">
      <w:pPr>
        <w:spacing w:line="240" w:lineRule="atLeast"/>
        <w:rPr>
          <w:rFonts w:eastAsia="Times New Roman" w:cs="Times New Roman"/>
          <w:szCs w:val="20"/>
          <w:lang w:val="it-IT" w:eastAsia="it-IT"/>
        </w:rPr>
      </w:pPr>
      <w:r w:rsidRPr="000A48B6">
        <w:rPr>
          <w:rFonts w:eastAsia="Times New Roman" w:cs="Arial"/>
          <w:szCs w:val="24"/>
          <w:lang w:val="it-IT" w:eastAsia="it-IT"/>
        </w:rPr>
        <w:t>Il Consiglio di Stato ne fissa l’entrata in vigore.</w:t>
      </w:r>
      <w:r w:rsidRPr="000A48B6">
        <w:rPr>
          <w:rFonts w:eastAsia="Times New Roman" w:cs="Times New Roman"/>
          <w:szCs w:val="20"/>
          <w:lang w:val="it-IT" w:eastAsia="it-IT"/>
        </w:rPr>
        <w:br w:type="page"/>
      </w:r>
    </w:p>
    <w:p w:rsidR="0007534B" w:rsidRPr="000A48B6" w:rsidRDefault="0007534B" w:rsidP="0007534B">
      <w:pPr>
        <w:spacing w:line="240" w:lineRule="atLeast"/>
        <w:rPr>
          <w:rFonts w:eastAsia="Times New Roman" w:cs="Arial"/>
          <w:szCs w:val="20"/>
          <w:lang w:val="it-IT" w:eastAsia="it-IT"/>
        </w:rPr>
      </w:pPr>
      <w:r w:rsidRPr="000A48B6">
        <w:rPr>
          <w:rFonts w:eastAsia="Times New Roman" w:cs="Arial"/>
          <w:szCs w:val="20"/>
          <w:lang w:val="it-IT" w:eastAsia="it-IT"/>
        </w:rPr>
        <w:lastRenderedPageBreak/>
        <w:t>Disegno di</w:t>
      </w:r>
    </w:p>
    <w:p w:rsidR="0007534B" w:rsidRPr="000A48B6" w:rsidRDefault="0007534B" w:rsidP="0007534B">
      <w:pPr>
        <w:rPr>
          <w:rFonts w:eastAsia="Times New Roman" w:cs="Arial"/>
          <w:szCs w:val="20"/>
          <w:lang w:val="it-IT" w:eastAsia="it-IT"/>
        </w:rPr>
      </w:pPr>
    </w:p>
    <w:p w:rsidR="0007534B" w:rsidRPr="000A48B6" w:rsidRDefault="0007534B" w:rsidP="0007534B">
      <w:pPr>
        <w:spacing w:before="120"/>
        <w:rPr>
          <w:rFonts w:eastAsia="Times New Roman" w:cs="Arial"/>
          <w:b/>
          <w:szCs w:val="20"/>
          <w:lang w:val="it-IT" w:eastAsia="it-IT"/>
        </w:rPr>
      </w:pPr>
      <w:r w:rsidRPr="000A48B6">
        <w:rPr>
          <w:rFonts w:eastAsia="Times New Roman" w:cs="Arial"/>
          <w:b/>
          <w:szCs w:val="20"/>
          <w:lang w:val="it-IT" w:eastAsia="it-IT"/>
        </w:rPr>
        <w:t>DECRETO LEGISLATIVO</w:t>
      </w:r>
    </w:p>
    <w:p w:rsidR="0007534B" w:rsidRPr="000A48B6" w:rsidRDefault="0007534B" w:rsidP="0007534B">
      <w:pPr>
        <w:spacing w:before="120"/>
        <w:rPr>
          <w:rFonts w:eastAsia="Times New Roman" w:cs="Arial"/>
          <w:b/>
          <w:bCs/>
          <w:szCs w:val="20"/>
          <w:lang w:val="it-IT" w:eastAsia="it-IT"/>
        </w:rPr>
      </w:pPr>
      <w:r w:rsidRPr="000A48B6">
        <w:rPr>
          <w:rFonts w:eastAsia="Times New Roman" w:cs="Arial"/>
          <w:b/>
          <w:bCs/>
          <w:szCs w:val="20"/>
          <w:lang w:val="it-IT" w:eastAsia="it-IT"/>
        </w:rPr>
        <w:t xml:space="preserve">concernente il prelievo sulla produzione e il prelievo sul consumo di energia elettrica da destinare al finanziamento del fondo cantonale per favorire la realizzazione di nuovi impianti di energia rinnovabile ai sensi della legge federale </w:t>
      </w:r>
      <w:r w:rsidRPr="000A48B6">
        <w:rPr>
          <w:rFonts w:eastAsia="Times New Roman" w:cs="Arial"/>
          <w:b/>
          <w:bCs/>
          <w:szCs w:val="24"/>
          <w:lang w:val="it-IT" w:eastAsia="it-IT"/>
        </w:rPr>
        <w:t xml:space="preserve">sull’energia (Lene) </w:t>
      </w:r>
      <w:r w:rsidRPr="000A48B6">
        <w:rPr>
          <w:rFonts w:eastAsia="Times New Roman" w:cs="Arial"/>
          <w:b/>
          <w:szCs w:val="24"/>
          <w:lang w:val="it-IT" w:eastAsia="it-IT"/>
        </w:rPr>
        <w:t>del 26 giugno 1998</w:t>
      </w:r>
      <w:r w:rsidRPr="000A48B6">
        <w:rPr>
          <w:rFonts w:eastAsia="Times New Roman" w:cs="Arial"/>
          <w:szCs w:val="24"/>
          <w:lang w:val="it-IT" w:eastAsia="it-IT"/>
        </w:rPr>
        <w:t xml:space="preserve"> </w:t>
      </w:r>
    </w:p>
    <w:p w:rsidR="0007534B" w:rsidRPr="000A48B6" w:rsidRDefault="0007534B" w:rsidP="0007534B">
      <w:pPr>
        <w:rPr>
          <w:rFonts w:eastAsia="Times New Roman" w:cs="Arial"/>
          <w:szCs w:val="20"/>
          <w:lang w:val="it-IT" w:eastAsia="it-IT"/>
        </w:rPr>
      </w:pPr>
    </w:p>
    <w:p w:rsidR="0007534B" w:rsidRPr="000A48B6" w:rsidRDefault="0007534B" w:rsidP="0007534B">
      <w:pPr>
        <w:rPr>
          <w:rFonts w:eastAsia="Times New Roman" w:cs="Arial"/>
          <w:szCs w:val="20"/>
          <w:lang w:val="it-IT" w:eastAsia="it-IT"/>
        </w:rPr>
      </w:pPr>
    </w:p>
    <w:p w:rsidR="0007534B" w:rsidRPr="000A48B6" w:rsidRDefault="0007534B" w:rsidP="0007534B">
      <w:pPr>
        <w:rPr>
          <w:rFonts w:eastAsia="Times New Roman" w:cs="Arial"/>
          <w:szCs w:val="20"/>
          <w:lang w:val="it-IT" w:eastAsia="it-IT"/>
        </w:rPr>
      </w:pPr>
      <w:r w:rsidRPr="000A48B6">
        <w:rPr>
          <w:rFonts w:eastAsia="Times New Roman" w:cs="Arial"/>
          <w:szCs w:val="20"/>
          <w:lang w:val="it-IT" w:eastAsia="it-IT"/>
        </w:rPr>
        <w:t>Il Gran Consiglio</w:t>
      </w:r>
    </w:p>
    <w:p w:rsidR="0007534B" w:rsidRPr="000A48B6" w:rsidRDefault="0007534B" w:rsidP="0007534B">
      <w:pPr>
        <w:rPr>
          <w:rFonts w:eastAsia="Times New Roman" w:cs="Arial"/>
          <w:szCs w:val="20"/>
          <w:lang w:val="it-IT" w:eastAsia="it-IT"/>
        </w:rPr>
      </w:pPr>
      <w:r w:rsidRPr="000A48B6">
        <w:rPr>
          <w:rFonts w:eastAsia="Times New Roman" w:cs="Arial"/>
          <w:szCs w:val="20"/>
          <w:lang w:val="it-IT" w:eastAsia="it-IT"/>
        </w:rPr>
        <w:t>della Repubblica e Cantone Ticino</w:t>
      </w:r>
    </w:p>
    <w:p w:rsidR="0007534B" w:rsidRPr="000A48B6" w:rsidRDefault="0007534B" w:rsidP="0007534B">
      <w:pPr>
        <w:rPr>
          <w:rFonts w:eastAsia="Times New Roman" w:cs="Arial"/>
          <w:szCs w:val="20"/>
          <w:lang w:val="it-IT" w:eastAsia="it-IT"/>
        </w:rPr>
      </w:pPr>
    </w:p>
    <w:p w:rsidR="0007534B" w:rsidRPr="000A48B6" w:rsidRDefault="0007534B" w:rsidP="0007534B">
      <w:pPr>
        <w:tabs>
          <w:tab w:val="left" w:pos="284"/>
        </w:tabs>
        <w:spacing w:after="120"/>
        <w:rPr>
          <w:rFonts w:eastAsia="Times New Roman" w:cs="Arial"/>
          <w:szCs w:val="24"/>
          <w:lang w:val="it-IT" w:eastAsia="it-IT"/>
        </w:rPr>
      </w:pPr>
      <w:r w:rsidRPr="000A48B6">
        <w:rPr>
          <w:rFonts w:eastAsia="Times New Roman" w:cs="Arial"/>
          <w:szCs w:val="20"/>
          <w:lang w:val="it-IT" w:eastAsia="it-IT"/>
        </w:rPr>
        <w:t>-</w:t>
      </w:r>
      <w:r w:rsidRPr="000A48B6">
        <w:rPr>
          <w:rFonts w:eastAsia="Times New Roman" w:cs="Arial"/>
          <w:szCs w:val="20"/>
          <w:lang w:val="it-IT" w:eastAsia="it-IT"/>
        </w:rPr>
        <w:tab/>
        <w:t xml:space="preserve">visti gli artt. 8b e seguenti della legge cantonale </w:t>
      </w:r>
      <w:r w:rsidRPr="000A48B6">
        <w:rPr>
          <w:rFonts w:eastAsia="Times New Roman" w:cs="Arial"/>
          <w:szCs w:val="24"/>
          <w:lang w:val="it-IT" w:eastAsia="it-IT"/>
        </w:rPr>
        <w:t>sull’energia (</w:t>
      </w:r>
      <w:proofErr w:type="spellStart"/>
      <w:r w:rsidRPr="000A48B6">
        <w:rPr>
          <w:rFonts w:eastAsia="Times New Roman" w:cs="Arial"/>
          <w:szCs w:val="24"/>
          <w:lang w:val="it-IT" w:eastAsia="it-IT"/>
        </w:rPr>
        <w:t>Len</w:t>
      </w:r>
      <w:proofErr w:type="spellEnd"/>
      <w:r w:rsidRPr="000A48B6">
        <w:rPr>
          <w:rFonts w:eastAsia="Times New Roman" w:cs="Arial"/>
          <w:szCs w:val="24"/>
          <w:lang w:val="it-IT" w:eastAsia="it-IT"/>
        </w:rPr>
        <w:t>) dell’8 febbraio 1994;</w:t>
      </w:r>
    </w:p>
    <w:p w:rsidR="0007534B" w:rsidRDefault="0007534B" w:rsidP="0007534B">
      <w:pPr>
        <w:tabs>
          <w:tab w:val="left" w:pos="284"/>
        </w:tabs>
        <w:spacing w:after="120"/>
        <w:rPr>
          <w:rFonts w:eastAsia="Times New Roman" w:cs="Arial"/>
          <w:szCs w:val="20"/>
          <w:lang w:eastAsia="it-IT"/>
        </w:rPr>
      </w:pPr>
      <w:r w:rsidRPr="000A48B6">
        <w:rPr>
          <w:rFonts w:eastAsia="Times New Roman" w:cs="Times New Roman"/>
          <w:szCs w:val="20"/>
          <w:lang w:val="it-IT" w:eastAsia="it-IT"/>
        </w:rPr>
        <w:t>-</w:t>
      </w:r>
      <w:r w:rsidRPr="000A48B6">
        <w:rPr>
          <w:rFonts w:eastAsia="Times New Roman" w:cs="Times New Roman"/>
          <w:szCs w:val="20"/>
          <w:lang w:val="it-IT" w:eastAsia="it-IT"/>
        </w:rPr>
        <w:tab/>
        <w:t xml:space="preserve">visto il messaggio 12 luglio 2016 n. 7207 </w:t>
      </w:r>
      <w:r w:rsidRPr="000A48B6">
        <w:rPr>
          <w:rFonts w:eastAsia="Times New Roman" w:cs="Arial"/>
          <w:szCs w:val="20"/>
          <w:lang w:eastAsia="it-IT"/>
        </w:rPr>
        <w:t>del Consiglio di Stato,</w:t>
      </w:r>
    </w:p>
    <w:p w:rsidR="0007534B" w:rsidRPr="000A48B6" w:rsidRDefault="0007534B" w:rsidP="0007534B">
      <w:pPr>
        <w:tabs>
          <w:tab w:val="left" w:pos="284"/>
        </w:tabs>
        <w:ind w:left="284" w:hanging="284"/>
        <w:rPr>
          <w:rFonts w:eastAsia="Times New Roman" w:cs="Arial"/>
          <w:szCs w:val="20"/>
          <w:lang w:eastAsia="it-IT"/>
        </w:rPr>
      </w:pPr>
      <w:r w:rsidRPr="00294309">
        <w:rPr>
          <w:rFonts w:eastAsia="Times New Roman" w:cs="Arial"/>
          <w:szCs w:val="20"/>
          <w:lang w:eastAsia="it-IT"/>
        </w:rPr>
        <w:t>-</w:t>
      </w:r>
      <w:r w:rsidRPr="00294309">
        <w:rPr>
          <w:rFonts w:eastAsia="Times New Roman" w:cs="Arial"/>
          <w:szCs w:val="20"/>
          <w:lang w:eastAsia="it-IT"/>
        </w:rPr>
        <w:tab/>
        <w:t>visto il rapporto 29 novembre 2016 n. 7207 R della Commissione speciale energia,</w:t>
      </w:r>
    </w:p>
    <w:p w:rsidR="0007534B" w:rsidRPr="000A48B6" w:rsidRDefault="0007534B" w:rsidP="0007534B">
      <w:pPr>
        <w:rPr>
          <w:rFonts w:eastAsia="Times New Roman" w:cs="Arial"/>
          <w:lang w:val="it-IT" w:eastAsia="it-IT"/>
        </w:rPr>
      </w:pPr>
    </w:p>
    <w:p w:rsidR="0007534B" w:rsidRPr="000A48B6" w:rsidRDefault="0007534B" w:rsidP="0007534B">
      <w:pPr>
        <w:rPr>
          <w:rFonts w:eastAsia="Times New Roman" w:cs="Arial"/>
          <w:lang w:val="it-IT" w:eastAsia="it-IT"/>
        </w:rPr>
      </w:pPr>
    </w:p>
    <w:p w:rsidR="0007534B" w:rsidRPr="000A48B6" w:rsidRDefault="0007534B" w:rsidP="0007534B">
      <w:pPr>
        <w:rPr>
          <w:rFonts w:eastAsia="Times New Roman" w:cs="Arial"/>
          <w:b/>
          <w:szCs w:val="20"/>
          <w:lang w:val="it-IT" w:eastAsia="it-IT"/>
        </w:rPr>
      </w:pPr>
      <w:r w:rsidRPr="000A48B6">
        <w:rPr>
          <w:rFonts w:eastAsia="Times New Roman" w:cs="Arial"/>
          <w:b/>
          <w:szCs w:val="20"/>
          <w:lang w:val="it-IT" w:eastAsia="it-IT"/>
        </w:rPr>
        <w:t>d e c r e t a :</w:t>
      </w:r>
    </w:p>
    <w:p w:rsidR="0007534B" w:rsidRPr="000A48B6" w:rsidRDefault="0007534B" w:rsidP="0007534B">
      <w:pPr>
        <w:rPr>
          <w:rFonts w:eastAsia="Times New Roman" w:cs="Arial"/>
          <w:lang w:val="it-IT" w:eastAsia="it-IT"/>
        </w:rPr>
      </w:pPr>
    </w:p>
    <w:p w:rsidR="0007534B" w:rsidRPr="000A48B6" w:rsidRDefault="0007534B" w:rsidP="0007534B">
      <w:pPr>
        <w:rPr>
          <w:rFonts w:eastAsia="Times New Roman" w:cs="Arial"/>
          <w:lang w:val="it-IT" w:eastAsia="it-IT"/>
        </w:rPr>
      </w:pPr>
    </w:p>
    <w:p w:rsidR="0007534B" w:rsidRPr="000A48B6" w:rsidRDefault="0007534B" w:rsidP="0007534B">
      <w:pPr>
        <w:spacing w:after="120"/>
        <w:rPr>
          <w:rFonts w:eastAsia="Times New Roman" w:cs="Arial"/>
          <w:b/>
          <w:szCs w:val="20"/>
          <w:u w:val="single"/>
          <w:lang w:val="it-IT" w:eastAsia="it-IT"/>
        </w:rPr>
      </w:pPr>
      <w:r w:rsidRPr="000A48B6">
        <w:rPr>
          <w:rFonts w:eastAsia="Times New Roman" w:cs="Arial"/>
          <w:b/>
          <w:szCs w:val="20"/>
          <w:u w:val="single"/>
          <w:lang w:val="it-IT" w:eastAsia="it-IT"/>
        </w:rPr>
        <w:t>Articolo 1</w:t>
      </w:r>
    </w:p>
    <w:p w:rsidR="0007534B" w:rsidRPr="000A48B6" w:rsidRDefault="0007534B" w:rsidP="0007534B">
      <w:pPr>
        <w:rPr>
          <w:rFonts w:eastAsia="Times New Roman" w:cs="Times New Roman"/>
          <w:szCs w:val="20"/>
          <w:lang w:val="it-IT" w:eastAsia="it-IT"/>
        </w:rPr>
      </w:pPr>
      <w:r w:rsidRPr="000A48B6">
        <w:rPr>
          <w:rFonts w:eastAsia="Times New Roman" w:cs="Times New Roman"/>
          <w:szCs w:val="20"/>
          <w:lang w:val="it-IT" w:eastAsia="it-IT"/>
        </w:rPr>
        <w:t xml:space="preserve">Il prelievo sulla produzione annua effettiva di energia elettrica proveniente da quote di partecipazione già acquisite da AET in centrali elettriche a carbone di cui all’art. 8b cpv. 2 </w:t>
      </w:r>
      <w:proofErr w:type="spellStart"/>
      <w:r w:rsidRPr="000A48B6">
        <w:rPr>
          <w:rFonts w:eastAsia="Times New Roman" w:cs="Times New Roman"/>
          <w:szCs w:val="20"/>
          <w:lang w:val="it-IT" w:eastAsia="it-IT"/>
        </w:rPr>
        <w:t>lett</w:t>
      </w:r>
      <w:proofErr w:type="spellEnd"/>
      <w:r w:rsidRPr="000A48B6">
        <w:rPr>
          <w:rFonts w:eastAsia="Times New Roman" w:cs="Times New Roman"/>
          <w:szCs w:val="20"/>
          <w:lang w:val="it-IT" w:eastAsia="it-IT"/>
        </w:rPr>
        <w:t xml:space="preserve">. a) della legge cantonale </w:t>
      </w:r>
      <w:r w:rsidRPr="000A48B6">
        <w:rPr>
          <w:rFonts w:eastAsia="Times New Roman" w:cs="Times New Roman"/>
          <w:szCs w:val="24"/>
          <w:lang w:val="it-IT" w:eastAsia="it-IT"/>
        </w:rPr>
        <w:t>sull’energia (</w:t>
      </w:r>
      <w:proofErr w:type="spellStart"/>
      <w:r w:rsidRPr="000A48B6">
        <w:rPr>
          <w:rFonts w:eastAsia="Times New Roman" w:cs="Times New Roman"/>
          <w:szCs w:val="24"/>
          <w:lang w:val="it-IT" w:eastAsia="it-IT"/>
        </w:rPr>
        <w:t>Len</w:t>
      </w:r>
      <w:proofErr w:type="spellEnd"/>
      <w:r w:rsidRPr="000A48B6">
        <w:rPr>
          <w:rFonts w:eastAsia="Times New Roman" w:cs="Times New Roman"/>
          <w:szCs w:val="24"/>
          <w:lang w:val="it-IT" w:eastAsia="it-IT"/>
        </w:rPr>
        <w:t xml:space="preserve">) dell’8 febbraio 1994 </w:t>
      </w:r>
      <w:r w:rsidRPr="000A48B6">
        <w:rPr>
          <w:rFonts w:eastAsia="Times New Roman" w:cs="Times New Roman"/>
          <w:szCs w:val="20"/>
          <w:lang w:val="it-IT" w:eastAsia="it-IT"/>
        </w:rPr>
        <w:t xml:space="preserve">è fissato a </w:t>
      </w:r>
      <w:r w:rsidRPr="00294309">
        <w:rPr>
          <w:rFonts w:eastAsia="Times New Roman" w:cs="Times New Roman"/>
          <w:szCs w:val="20"/>
          <w:highlight w:val="yellow"/>
          <w:lang w:val="it-IT" w:eastAsia="it-IT"/>
        </w:rPr>
        <w:t xml:space="preserve">0,6 </w:t>
      </w:r>
      <w:proofErr w:type="spellStart"/>
      <w:r w:rsidRPr="00294309">
        <w:rPr>
          <w:rFonts w:eastAsia="Times New Roman" w:cs="Times New Roman"/>
          <w:szCs w:val="20"/>
          <w:highlight w:val="yellow"/>
          <w:lang w:val="it-IT" w:eastAsia="it-IT"/>
        </w:rPr>
        <w:t>cts</w:t>
      </w:r>
      <w:proofErr w:type="spellEnd"/>
      <w:r w:rsidRPr="00294309">
        <w:rPr>
          <w:rFonts w:eastAsia="Times New Roman" w:cs="Times New Roman"/>
          <w:szCs w:val="20"/>
          <w:highlight w:val="yellow"/>
          <w:lang w:val="it-IT" w:eastAsia="it-IT"/>
        </w:rPr>
        <w:t>/kWh</w:t>
      </w:r>
      <w:r w:rsidRPr="000A48B6">
        <w:rPr>
          <w:rFonts w:eastAsia="Times New Roman" w:cs="Times New Roman"/>
          <w:szCs w:val="20"/>
          <w:lang w:val="it-IT" w:eastAsia="it-IT"/>
        </w:rPr>
        <w:t xml:space="preserve"> per il periodo 1. gennaio 2017 – 31 dicembre 2020.</w:t>
      </w:r>
    </w:p>
    <w:p w:rsidR="0007534B" w:rsidRPr="000A48B6" w:rsidRDefault="0007534B" w:rsidP="0007534B">
      <w:pPr>
        <w:rPr>
          <w:rFonts w:eastAsia="Times New Roman" w:cs="Times New Roman"/>
          <w:lang w:val="it-IT" w:eastAsia="it-IT"/>
        </w:rPr>
      </w:pPr>
    </w:p>
    <w:p w:rsidR="0007534B" w:rsidRPr="000A48B6" w:rsidRDefault="0007534B" w:rsidP="0007534B">
      <w:pPr>
        <w:rPr>
          <w:rFonts w:eastAsia="Times New Roman" w:cs="Times New Roman"/>
          <w:lang w:val="it-IT" w:eastAsia="it-IT"/>
        </w:rPr>
      </w:pPr>
    </w:p>
    <w:p w:rsidR="0007534B" w:rsidRPr="000A48B6" w:rsidRDefault="0007534B" w:rsidP="0007534B">
      <w:pPr>
        <w:spacing w:after="120"/>
        <w:rPr>
          <w:rFonts w:eastAsia="Times New Roman" w:cs="Arial"/>
          <w:b/>
          <w:szCs w:val="20"/>
          <w:u w:val="single"/>
          <w:lang w:val="it-IT" w:eastAsia="it-IT"/>
        </w:rPr>
      </w:pPr>
      <w:r w:rsidRPr="000A48B6">
        <w:rPr>
          <w:rFonts w:eastAsia="Times New Roman" w:cs="Arial"/>
          <w:b/>
          <w:szCs w:val="20"/>
          <w:u w:val="single"/>
          <w:lang w:val="it-IT" w:eastAsia="it-IT"/>
        </w:rPr>
        <w:t>Articolo 2</w:t>
      </w:r>
    </w:p>
    <w:p w:rsidR="0007534B" w:rsidRPr="000A48B6" w:rsidRDefault="0007534B" w:rsidP="0007534B">
      <w:pPr>
        <w:rPr>
          <w:rFonts w:eastAsia="Times New Roman" w:cs="Times New Roman"/>
          <w:szCs w:val="20"/>
          <w:lang w:val="it-IT" w:eastAsia="it-IT"/>
        </w:rPr>
      </w:pPr>
      <w:r w:rsidRPr="000A48B6">
        <w:rPr>
          <w:rFonts w:eastAsia="Times New Roman" w:cs="Times New Roman"/>
          <w:szCs w:val="20"/>
          <w:lang w:val="it-IT" w:eastAsia="it-IT"/>
        </w:rPr>
        <w:t xml:space="preserve">Il prelievo sul consumo di energia elettrica erogata al consumatore finale di cui all’art. 8b cpv. 2 </w:t>
      </w:r>
      <w:proofErr w:type="spellStart"/>
      <w:r w:rsidRPr="000A48B6">
        <w:rPr>
          <w:rFonts w:eastAsia="Times New Roman" w:cs="Times New Roman"/>
          <w:szCs w:val="20"/>
          <w:lang w:val="it-IT" w:eastAsia="it-IT"/>
        </w:rPr>
        <w:t>lett</w:t>
      </w:r>
      <w:proofErr w:type="spellEnd"/>
      <w:r w:rsidRPr="000A48B6">
        <w:rPr>
          <w:rFonts w:eastAsia="Times New Roman" w:cs="Times New Roman"/>
          <w:szCs w:val="20"/>
          <w:lang w:val="it-IT" w:eastAsia="it-IT"/>
        </w:rPr>
        <w:t xml:space="preserve">. b) </w:t>
      </w:r>
      <w:proofErr w:type="spellStart"/>
      <w:r w:rsidRPr="000A48B6">
        <w:rPr>
          <w:rFonts w:eastAsia="Times New Roman" w:cs="Times New Roman"/>
          <w:szCs w:val="20"/>
          <w:lang w:val="it-IT" w:eastAsia="it-IT"/>
        </w:rPr>
        <w:t>LEn</w:t>
      </w:r>
      <w:proofErr w:type="spellEnd"/>
      <w:r w:rsidRPr="000A48B6">
        <w:rPr>
          <w:rFonts w:eastAsia="Times New Roman" w:cs="Times New Roman"/>
          <w:szCs w:val="20"/>
          <w:lang w:val="it-IT" w:eastAsia="it-IT"/>
        </w:rPr>
        <w:t xml:space="preserve"> è fissato </w:t>
      </w:r>
      <w:r w:rsidRPr="00294309">
        <w:rPr>
          <w:rFonts w:eastAsia="Times New Roman" w:cs="Times New Roman"/>
          <w:szCs w:val="20"/>
          <w:lang w:val="it-IT" w:eastAsia="it-IT"/>
        </w:rPr>
        <w:t>a 0,</w:t>
      </w:r>
      <w:r>
        <w:rPr>
          <w:rFonts w:eastAsia="Times New Roman" w:cs="Times New Roman"/>
          <w:szCs w:val="20"/>
          <w:lang w:val="it-IT" w:eastAsia="it-IT"/>
        </w:rPr>
        <w:t>2</w:t>
      </w:r>
      <w:r w:rsidRPr="00294309">
        <w:rPr>
          <w:rFonts w:eastAsia="Times New Roman" w:cs="Times New Roman"/>
          <w:szCs w:val="20"/>
          <w:lang w:val="it-IT" w:eastAsia="it-IT"/>
        </w:rPr>
        <w:t xml:space="preserve"> </w:t>
      </w:r>
      <w:proofErr w:type="spellStart"/>
      <w:r w:rsidRPr="00294309">
        <w:rPr>
          <w:rFonts w:eastAsia="Times New Roman" w:cs="Times New Roman"/>
          <w:szCs w:val="20"/>
          <w:lang w:val="it-IT" w:eastAsia="it-IT"/>
        </w:rPr>
        <w:t>cts</w:t>
      </w:r>
      <w:proofErr w:type="spellEnd"/>
      <w:r w:rsidRPr="000A48B6">
        <w:rPr>
          <w:rFonts w:eastAsia="Times New Roman" w:cs="Times New Roman"/>
          <w:szCs w:val="20"/>
          <w:lang w:val="it-IT" w:eastAsia="it-IT"/>
        </w:rPr>
        <w:t>/kWh per il periodo 1</w:t>
      </w:r>
      <w:r w:rsidR="00982DFD">
        <w:rPr>
          <w:rFonts w:eastAsia="Times New Roman" w:cs="Times New Roman"/>
          <w:szCs w:val="20"/>
          <w:lang w:val="it-IT" w:eastAsia="it-IT"/>
        </w:rPr>
        <w:t>°</w:t>
      </w:r>
      <w:r w:rsidRPr="000A48B6">
        <w:rPr>
          <w:rFonts w:eastAsia="Times New Roman" w:cs="Times New Roman"/>
          <w:szCs w:val="20"/>
          <w:lang w:val="it-IT" w:eastAsia="it-IT"/>
        </w:rPr>
        <w:t xml:space="preserve"> gennaio 2017 - 31 dicembre 2020.</w:t>
      </w:r>
    </w:p>
    <w:p w:rsidR="0007534B" w:rsidRPr="000A48B6" w:rsidRDefault="0007534B" w:rsidP="0007534B">
      <w:pPr>
        <w:rPr>
          <w:rFonts w:eastAsia="Times New Roman" w:cs="Times New Roman"/>
          <w:lang w:val="it-IT" w:eastAsia="it-IT"/>
        </w:rPr>
      </w:pPr>
    </w:p>
    <w:p w:rsidR="0007534B" w:rsidRPr="000A48B6" w:rsidRDefault="0007534B" w:rsidP="0007534B">
      <w:pPr>
        <w:rPr>
          <w:rFonts w:eastAsia="Times New Roman" w:cs="Times New Roman"/>
          <w:lang w:val="it-IT" w:eastAsia="it-IT"/>
        </w:rPr>
      </w:pPr>
    </w:p>
    <w:p w:rsidR="0007534B" w:rsidRPr="000A48B6" w:rsidRDefault="0007534B" w:rsidP="0007534B">
      <w:pPr>
        <w:spacing w:after="120"/>
        <w:rPr>
          <w:rFonts w:eastAsia="Times New Roman" w:cs="Arial"/>
          <w:b/>
          <w:szCs w:val="20"/>
          <w:u w:val="single"/>
          <w:lang w:val="it-IT" w:eastAsia="it-IT"/>
        </w:rPr>
      </w:pPr>
      <w:r w:rsidRPr="000A48B6">
        <w:rPr>
          <w:rFonts w:eastAsia="Times New Roman" w:cs="Arial"/>
          <w:b/>
          <w:szCs w:val="20"/>
          <w:u w:val="single"/>
          <w:lang w:val="it-IT" w:eastAsia="it-IT"/>
        </w:rPr>
        <w:t>Articolo 3</w:t>
      </w:r>
    </w:p>
    <w:p w:rsidR="0007534B" w:rsidRPr="000A48B6" w:rsidRDefault="0007534B" w:rsidP="0007534B">
      <w:pPr>
        <w:rPr>
          <w:rFonts w:eastAsia="Times New Roman" w:cs="Times New Roman"/>
          <w:szCs w:val="20"/>
          <w:lang w:val="it-IT" w:eastAsia="it-IT"/>
        </w:rPr>
      </w:pPr>
      <w:r w:rsidRPr="000A48B6">
        <w:rPr>
          <w:rFonts w:eastAsia="Times New Roman" w:cs="Times New Roman"/>
          <w:position w:val="6"/>
          <w:sz w:val="16"/>
          <w:szCs w:val="20"/>
          <w:lang w:val="it-IT" w:eastAsia="it-IT"/>
        </w:rPr>
        <w:t>1</w:t>
      </w:r>
      <w:r w:rsidRPr="000A48B6">
        <w:rPr>
          <w:rFonts w:eastAsia="Times New Roman" w:cs="Times New Roman"/>
          <w:szCs w:val="20"/>
          <w:lang w:val="it-IT" w:eastAsia="it-IT"/>
        </w:rPr>
        <w:t xml:space="preserve">Il supplemento di prelievo di cui all’art. 8b cpv. 3 </w:t>
      </w:r>
      <w:proofErr w:type="spellStart"/>
      <w:r w:rsidRPr="000A48B6">
        <w:rPr>
          <w:rFonts w:eastAsia="Times New Roman" w:cs="Times New Roman"/>
          <w:szCs w:val="20"/>
          <w:lang w:val="it-IT" w:eastAsia="it-IT"/>
        </w:rPr>
        <w:t>LEn</w:t>
      </w:r>
      <w:proofErr w:type="spellEnd"/>
      <w:r w:rsidRPr="000A48B6">
        <w:rPr>
          <w:rFonts w:eastAsia="Times New Roman" w:cs="Times New Roman"/>
          <w:szCs w:val="20"/>
          <w:lang w:val="it-IT" w:eastAsia="it-IT"/>
        </w:rPr>
        <w:t xml:space="preserve"> è fissato a 1 </w:t>
      </w:r>
      <w:proofErr w:type="spellStart"/>
      <w:r w:rsidRPr="000A48B6">
        <w:rPr>
          <w:rFonts w:eastAsia="Times New Roman" w:cs="Times New Roman"/>
          <w:szCs w:val="20"/>
          <w:lang w:val="it-IT" w:eastAsia="it-IT"/>
        </w:rPr>
        <w:t>cts</w:t>
      </w:r>
      <w:proofErr w:type="spellEnd"/>
      <w:r w:rsidRPr="000A48B6">
        <w:rPr>
          <w:rFonts w:eastAsia="Times New Roman" w:cs="Times New Roman"/>
          <w:szCs w:val="20"/>
          <w:lang w:val="it-IT" w:eastAsia="it-IT"/>
        </w:rPr>
        <w:t>/kWh.</w:t>
      </w:r>
    </w:p>
    <w:p w:rsidR="0007534B" w:rsidRPr="000A48B6" w:rsidRDefault="0007534B" w:rsidP="0007534B">
      <w:pPr>
        <w:rPr>
          <w:rFonts w:eastAsia="Times New Roman" w:cs="Times New Roman"/>
          <w:lang w:val="it-IT" w:eastAsia="it-IT"/>
        </w:rPr>
      </w:pPr>
    </w:p>
    <w:p w:rsidR="0007534B" w:rsidRPr="000A48B6" w:rsidRDefault="0007534B" w:rsidP="0007534B">
      <w:pPr>
        <w:rPr>
          <w:rFonts w:eastAsia="Times New Roman" w:cs="Times New Roman"/>
          <w:szCs w:val="20"/>
          <w:lang w:val="it-IT" w:eastAsia="it-IT"/>
        </w:rPr>
      </w:pPr>
      <w:r w:rsidRPr="000A48B6">
        <w:rPr>
          <w:rFonts w:eastAsia="Times New Roman" w:cs="Times New Roman"/>
          <w:position w:val="6"/>
          <w:sz w:val="16"/>
          <w:szCs w:val="20"/>
          <w:lang w:val="it-IT" w:eastAsia="it-IT"/>
        </w:rPr>
        <w:t>2</w:t>
      </w:r>
      <w:r w:rsidRPr="000A48B6">
        <w:rPr>
          <w:rFonts w:eastAsia="Times New Roman" w:cs="Times New Roman"/>
          <w:szCs w:val="20"/>
          <w:lang w:val="it-IT" w:eastAsia="it-IT"/>
        </w:rPr>
        <w:t>Tale supplemento di prelievo è in vigore per il periodo 1</w:t>
      </w:r>
      <w:r w:rsidR="00982DFD">
        <w:rPr>
          <w:rFonts w:eastAsia="Times New Roman" w:cs="Times New Roman"/>
          <w:szCs w:val="20"/>
          <w:lang w:val="it-IT" w:eastAsia="it-IT"/>
        </w:rPr>
        <w:t>°</w:t>
      </w:r>
      <w:r w:rsidRPr="000A48B6">
        <w:rPr>
          <w:rFonts w:eastAsia="Times New Roman" w:cs="Times New Roman"/>
          <w:szCs w:val="20"/>
          <w:lang w:val="it-IT" w:eastAsia="it-IT"/>
        </w:rPr>
        <w:t xml:space="preserve"> gennaio 2017 - 31 dicembre 2020.</w:t>
      </w:r>
    </w:p>
    <w:p w:rsidR="0007534B" w:rsidRPr="000A48B6" w:rsidRDefault="0007534B" w:rsidP="0007534B">
      <w:pPr>
        <w:rPr>
          <w:rFonts w:eastAsia="Times New Roman" w:cs="Times New Roman"/>
          <w:lang w:val="it-IT" w:eastAsia="it-IT"/>
        </w:rPr>
      </w:pPr>
    </w:p>
    <w:p w:rsidR="0007534B" w:rsidRPr="000A48B6" w:rsidRDefault="0007534B" w:rsidP="0007534B">
      <w:pPr>
        <w:rPr>
          <w:rFonts w:eastAsia="Times New Roman" w:cs="Times New Roman"/>
          <w:lang w:val="it-IT" w:eastAsia="it-IT"/>
        </w:rPr>
      </w:pPr>
    </w:p>
    <w:p w:rsidR="0007534B" w:rsidRPr="000A48B6" w:rsidRDefault="0007534B" w:rsidP="0007534B">
      <w:pPr>
        <w:spacing w:after="120"/>
        <w:rPr>
          <w:rFonts w:eastAsia="Times New Roman" w:cs="Arial"/>
          <w:b/>
          <w:szCs w:val="20"/>
          <w:u w:val="single"/>
          <w:lang w:val="it-IT" w:eastAsia="it-IT"/>
        </w:rPr>
      </w:pPr>
      <w:r w:rsidRPr="000A48B6">
        <w:rPr>
          <w:rFonts w:eastAsia="Times New Roman" w:cs="Arial"/>
          <w:b/>
          <w:szCs w:val="20"/>
          <w:u w:val="single"/>
          <w:lang w:val="it-IT" w:eastAsia="it-IT"/>
        </w:rPr>
        <w:t>Articolo 4</w:t>
      </w:r>
    </w:p>
    <w:p w:rsidR="0007534B" w:rsidRPr="000A48B6" w:rsidRDefault="0007534B" w:rsidP="0007534B">
      <w:pPr>
        <w:rPr>
          <w:rFonts w:eastAsia="Times New Roman" w:cs="Times New Roman"/>
          <w:szCs w:val="20"/>
          <w:lang w:val="it-IT" w:eastAsia="it-IT"/>
        </w:rPr>
      </w:pPr>
      <w:r w:rsidRPr="000A48B6">
        <w:rPr>
          <w:rFonts w:eastAsia="Times New Roman" w:cs="Times New Roman"/>
          <w:szCs w:val="20"/>
          <w:lang w:val="it-IT" w:eastAsia="it-IT"/>
        </w:rPr>
        <w:t>Gli introiti risultanti dai prelievi di cui agli articoli da 1 a 3 sono versati nel fondo cantonale destinato a favorire la realizzazione di nuovi impianti di energia rinnovabile siti in Ticino ai sensi della legge federale sull’energia (Lene) del 26 giugno 1998.</w:t>
      </w:r>
    </w:p>
    <w:p w:rsidR="0007534B" w:rsidRPr="000A48B6" w:rsidRDefault="0007534B" w:rsidP="0007534B">
      <w:pPr>
        <w:rPr>
          <w:rFonts w:eastAsia="Times New Roman" w:cs="Times New Roman"/>
          <w:lang w:val="it-IT" w:eastAsia="it-IT"/>
        </w:rPr>
      </w:pPr>
    </w:p>
    <w:p w:rsidR="0007534B" w:rsidRPr="000A48B6" w:rsidRDefault="0007534B" w:rsidP="0007534B">
      <w:pPr>
        <w:rPr>
          <w:rFonts w:eastAsia="Times New Roman" w:cs="Times New Roman"/>
          <w:lang w:val="it-IT" w:eastAsia="it-IT"/>
        </w:rPr>
      </w:pPr>
    </w:p>
    <w:p w:rsidR="0007534B" w:rsidRDefault="0007534B" w:rsidP="0007534B">
      <w:pPr>
        <w:spacing w:after="120"/>
        <w:rPr>
          <w:rFonts w:eastAsia="Times New Roman" w:cs="Arial"/>
          <w:b/>
          <w:szCs w:val="20"/>
          <w:u w:val="single"/>
          <w:lang w:val="it-IT" w:eastAsia="it-IT"/>
        </w:rPr>
      </w:pPr>
      <w:r>
        <w:rPr>
          <w:rFonts w:eastAsia="Times New Roman" w:cs="Arial"/>
          <w:b/>
          <w:szCs w:val="20"/>
          <w:u w:val="single"/>
          <w:lang w:val="it-IT" w:eastAsia="it-IT"/>
        </w:rPr>
        <w:br w:type="page"/>
      </w:r>
    </w:p>
    <w:p w:rsidR="0007534B" w:rsidRPr="000A48B6" w:rsidRDefault="0007534B" w:rsidP="0007534B">
      <w:pPr>
        <w:spacing w:after="120"/>
        <w:rPr>
          <w:rFonts w:eastAsia="Times New Roman" w:cs="Arial"/>
          <w:b/>
          <w:szCs w:val="20"/>
          <w:u w:val="single"/>
          <w:lang w:val="it-IT" w:eastAsia="it-IT"/>
        </w:rPr>
      </w:pPr>
      <w:r w:rsidRPr="000A48B6">
        <w:rPr>
          <w:rFonts w:eastAsia="Times New Roman" w:cs="Arial"/>
          <w:b/>
          <w:szCs w:val="20"/>
          <w:u w:val="single"/>
          <w:lang w:val="it-IT" w:eastAsia="it-IT"/>
        </w:rPr>
        <w:lastRenderedPageBreak/>
        <w:t>Articolo 5</w:t>
      </w:r>
    </w:p>
    <w:p w:rsidR="0007534B" w:rsidRDefault="0007534B" w:rsidP="0007534B">
      <w:pPr>
        <w:rPr>
          <w:rFonts w:eastAsia="Times New Roman" w:cs="Arial"/>
          <w:szCs w:val="20"/>
          <w:lang w:val="it-IT" w:eastAsia="it-IT"/>
        </w:rPr>
      </w:pPr>
      <w:r w:rsidRPr="000A48B6">
        <w:rPr>
          <w:rFonts w:eastAsia="Times New Roman" w:cs="Arial"/>
          <w:szCs w:val="20"/>
          <w:lang w:val="it-IT" w:eastAsia="it-IT"/>
        </w:rPr>
        <w:t>Il Consiglio di Stato è tenuto a presentare annualmente un rapporto comprendente il rendiconto delle misure di promozione intraprese e l’analisi sui risultati ottenuti e la loro efficacia.</w:t>
      </w:r>
    </w:p>
    <w:p w:rsidR="0007534B" w:rsidRPr="000A48B6" w:rsidRDefault="0007534B" w:rsidP="0007534B">
      <w:pPr>
        <w:rPr>
          <w:rFonts w:eastAsia="Times New Roman" w:cs="Arial"/>
          <w:lang w:val="it-IT" w:eastAsia="it-IT"/>
        </w:rPr>
      </w:pPr>
    </w:p>
    <w:p w:rsidR="0007534B" w:rsidRPr="000A48B6" w:rsidRDefault="0007534B" w:rsidP="0007534B">
      <w:pPr>
        <w:rPr>
          <w:rFonts w:eastAsia="Times New Roman" w:cs="Arial"/>
          <w:u w:val="single"/>
          <w:lang w:val="it-IT" w:eastAsia="it-IT"/>
        </w:rPr>
      </w:pPr>
    </w:p>
    <w:p w:rsidR="0007534B" w:rsidRPr="000A48B6" w:rsidRDefault="0007534B" w:rsidP="0007534B">
      <w:pPr>
        <w:spacing w:after="120"/>
        <w:rPr>
          <w:rFonts w:eastAsia="Times New Roman" w:cs="Arial"/>
          <w:b/>
          <w:szCs w:val="20"/>
          <w:u w:val="single"/>
          <w:lang w:val="it-IT" w:eastAsia="it-IT"/>
        </w:rPr>
      </w:pPr>
      <w:r w:rsidRPr="000A48B6">
        <w:rPr>
          <w:rFonts w:eastAsia="Times New Roman" w:cs="Arial"/>
          <w:b/>
          <w:szCs w:val="20"/>
          <w:u w:val="single"/>
          <w:lang w:val="it-IT" w:eastAsia="it-IT"/>
        </w:rPr>
        <w:t>Articolo 6</w:t>
      </w:r>
    </w:p>
    <w:p w:rsidR="0007534B" w:rsidRPr="000A48B6" w:rsidRDefault="0007534B" w:rsidP="0007534B">
      <w:pPr>
        <w:rPr>
          <w:rFonts w:eastAsia="Times New Roman" w:cs="Times New Roman"/>
          <w:szCs w:val="20"/>
          <w:lang w:val="it-IT" w:eastAsia="it-IT"/>
        </w:rPr>
      </w:pPr>
      <w:r w:rsidRPr="000A48B6">
        <w:rPr>
          <w:rFonts w:eastAsia="Times New Roman" w:cs="Times New Roman"/>
          <w:szCs w:val="20"/>
          <w:lang w:val="it-IT" w:eastAsia="it-IT"/>
        </w:rPr>
        <w:t>Trascorsi i termini per l’esercizio del diritto di referendum, il presente decreto è pubblicato nel Bollettino ufficiale delle leggi.</w:t>
      </w:r>
    </w:p>
    <w:p w:rsidR="0007534B" w:rsidRPr="000A48B6" w:rsidRDefault="0007534B" w:rsidP="0007534B">
      <w:pPr>
        <w:rPr>
          <w:rFonts w:eastAsia="Times New Roman" w:cs="Times New Roman"/>
          <w:sz w:val="16"/>
          <w:szCs w:val="16"/>
          <w:lang w:val="it-IT" w:eastAsia="it-IT"/>
        </w:rPr>
      </w:pPr>
    </w:p>
    <w:p w:rsidR="0007534B" w:rsidRPr="000A48B6" w:rsidRDefault="0007534B" w:rsidP="0007534B">
      <w:pPr>
        <w:rPr>
          <w:rFonts w:eastAsia="Times New Roman" w:cs="Times New Roman"/>
          <w:szCs w:val="20"/>
          <w:lang w:val="it-IT" w:eastAsia="it-IT"/>
        </w:rPr>
      </w:pPr>
      <w:r w:rsidRPr="000A48B6">
        <w:rPr>
          <w:rFonts w:eastAsia="Times New Roman" w:cs="Times New Roman"/>
          <w:szCs w:val="20"/>
          <w:lang w:val="it-IT" w:eastAsia="it-IT"/>
        </w:rPr>
        <w:t>Il Consiglio di Stato ne fissa l’entrata in vigore.</w:t>
      </w:r>
    </w:p>
    <w:p w:rsidR="006D7A3B" w:rsidRPr="0007534B" w:rsidRDefault="006D7A3B">
      <w:pPr>
        <w:rPr>
          <w:rFonts w:cs="Arial"/>
          <w:szCs w:val="24"/>
          <w:lang w:val="it-IT"/>
        </w:rPr>
      </w:pPr>
    </w:p>
    <w:sectPr w:rsidR="006D7A3B" w:rsidRPr="0007534B" w:rsidSect="008B4137">
      <w:footerReference w:type="default" r:id="rId13"/>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90" w:rsidRDefault="00644D90" w:rsidP="008E77C6">
      <w:r>
        <w:separator/>
      </w:r>
    </w:p>
  </w:endnote>
  <w:endnote w:type="continuationSeparator" w:id="0">
    <w:p w:rsidR="00644D90" w:rsidRDefault="00644D90"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4B" w:rsidRDefault="0007534B" w:rsidP="00B35E9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7534B" w:rsidRDefault="0007534B" w:rsidP="001F55F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11165"/>
      <w:docPartObj>
        <w:docPartGallery w:val="Page Numbers (Bottom of Page)"/>
        <w:docPartUnique/>
      </w:docPartObj>
    </w:sdtPr>
    <w:sdtEndPr>
      <w:rPr>
        <w:sz w:val="20"/>
        <w:szCs w:val="20"/>
      </w:rPr>
    </w:sdtEndPr>
    <w:sdtContent>
      <w:p w:rsidR="00DC2BF1" w:rsidRPr="00DC2BF1" w:rsidRDefault="00DC2BF1">
        <w:pPr>
          <w:pStyle w:val="Pidipagina"/>
          <w:jc w:val="center"/>
          <w:rPr>
            <w:sz w:val="20"/>
            <w:szCs w:val="20"/>
          </w:rPr>
        </w:pPr>
        <w:r w:rsidRPr="00DC2BF1">
          <w:rPr>
            <w:sz w:val="20"/>
            <w:szCs w:val="20"/>
          </w:rPr>
          <w:fldChar w:fldCharType="begin"/>
        </w:r>
        <w:r w:rsidRPr="00DC2BF1">
          <w:rPr>
            <w:sz w:val="20"/>
            <w:szCs w:val="20"/>
          </w:rPr>
          <w:instrText>PAGE   \* MERGEFORMAT</w:instrText>
        </w:r>
        <w:r w:rsidRPr="00DC2BF1">
          <w:rPr>
            <w:sz w:val="20"/>
            <w:szCs w:val="20"/>
          </w:rPr>
          <w:fldChar w:fldCharType="separate"/>
        </w:r>
        <w:r w:rsidR="00E110C9" w:rsidRPr="00E110C9">
          <w:rPr>
            <w:noProof/>
            <w:sz w:val="20"/>
            <w:szCs w:val="20"/>
            <w:lang w:val="it-IT"/>
          </w:rPr>
          <w:t>1</w:t>
        </w:r>
        <w:r w:rsidRPr="00DC2BF1">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110C9" w:rsidRPr="00E110C9">
          <w:rPr>
            <w:noProof/>
            <w:sz w:val="20"/>
            <w:szCs w:val="20"/>
            <w:lang w:val="it-IT"/>
          </w:rPr>
          <w:t>11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90" w:rsidRDefault="00644D90" w:rsidP="008E77C6">
      <w:r>
        <w:separator/>
      </w:r>
    </w:p>
  </w:footnote>
  <w:footnote w:type="continuationSeparator" w:id="0">
    <w:p w:rsidR="00644D90" w:rsidRDefault="00644D90"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416E95C0"/>
    <w:lvl w:ilvl="0" w:tplc="91806C5C">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A373F2B"/>
    <w:multiLevelType w:val="hybridMultilevel"/>
    <w:tmpl w:val="19C01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7D0EA6"/>
    <w:multiLevelType w:val="hybridMultilevel"/>
    <w:tmpl w:val="5248E6F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41E06018"/>
    <w:multiLevelType w:val="hybridMultilevel"/>
    <w:tmpl w:val="2C40EE80"/>
    <w:lvl w:ilvl="0" w:tplc="08667692">
      <w:start w:val="1"/>
      <w:numFmt w:val="decimal"/>
      <w:lvlText w:val="%1."/>
      <w:lvlJc w:val="left"/>
      <w:pPr>
        <w:ind w:left="-207" w:hanging="360"/>
      </w:pPr>
      <w:rPr>
        <w:rFonts w:hint="default"/>
      </w:rPr>
    </w:lvl>
    <w:lvl w:ilvl="1" w:tplc="08100019" w:tentative="1">
      <w:start w:val="1"/>
      <w:numFmt w:val="lowerLetter"/>
      <w:lvlText w:val="%2."/>
      <w:lvlJc w:val="left"/>
      <w:pPr>
        <w:ind w:left="513" w:hanging="360"/>
      </w:pPr>
    </w:lvl>
    <w:lvl w:ilvl="2" w:tplc="0810001B" w:tentative="1">
      <w:start w:val="1"/>
      <w:numFmt w:val="lowerRoman"/>
      <w:lvlText w:val="%3."/>
      <w:lvlJc w:val="right"/>
      <w:pPr>
        <w:ind w:left="1233" w:hanging="180"/>
      </w:pPr>
    </w:lvl>
    <w:lvl w:ilvl="3" w:tplc="0810000F" w:tentative="1">
      <w:start w:val="1"/>
      <w:numFmt w:val="decimal"/>
      <w:lvlText w:val="%4."/>
      <w:lvlJc w:val="left"/>
      <w:pPr>
        <w:ind w:left="1953" w:hanging="360"/>
      </w:pPr>
    </w:lvl>
    <w:lvl w:ilvl="4" w:tplc="08100019" w:tentative="1">
      <w:start w:val="1"/>
      <w:numFmt w:val="lowerLetter"/>
      <w:lvlText w:val="%5."/>
      <w:lvlJc w:val="left"/>
      <w:pPr>
        <w:ind w:left="2673" w:hanging="360"/>
      </w:pPr>
    </w:lvl>
    <w:lvl w:ilvl="5" w:tplc="0810001B" w:tentative="1">
      <w:start w:val="1"/>
      <w:numFmt w:val="lowerRoman"/>
      <w:lvlText w:val="%6."/>
      <w:lvlJc w:val="right"/>
      <w:pPr>
        <w:ind w:left="3393" w:hanging="180"/>
      </w:pPr>
    </w:lvl>
    <w:lvl w:ilvl="6" w:tplc="0810000F" w:tentative="1">
      <w:start w:val="1"/>
      <w:numFmt w:val="decimal"/>
      <w:lvlText w:val="%7."/>
      <w:lvlJc w:val="left"/>
      <w:pPr>
        <w:ind w:left="4113" w:hanging="360"/>
      </w:pPr>
    </w:lvl>
    <w:lvl w:ilvl="7" w:tplc="08100019" w:tentative="1">
      <w:start w:val="1"/>
      <w:numFmt w:val="lowerLetter"/>
      <w:lvlText w:val="%8."/>
      <w:lvlJc w:val="left"/>
      <w:pPr>
        <w:ind w:left="4833" w:hanging="360"/>
      </w:pPr>
    </w:lvl>
    <w:lvl w:ilvl="8" w:tplc="0810001B" w:tentative="1">
      <w:start w:val="1"/>
      <w:numFmt w:val="lowerRoman"/>
      <w:lvlText w:val="%9."/>
      <w:lvlJc w:val="right"/>
      <w:pPr>
        <w:ind w:left="5553" w:hanging="180"/>
      </w:pPr>
    </w:lvl>
  </w:abstractNum>
  <w:abstractNum w:abstractNumId="4">
    <w:nsid w:val="52CB07B7"/>
    <w:multiLevelType w:val="hybridMultilevel"/>
    <w:tmpl w:val="D90E8DB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0"/>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534B"/>
    <w:rsid w:val="00076E70"/>
    <w:rsid w:val="002E5E40"/>
    <w:rsid w:val="003A2777"/>
    <w:rsid w:val="0052425A"/>
    <w:rsid w:val="00586A8D"/>
    <w:rsid w:val="00644D90"/>
    <w:rsid w:val="00690851"/>
    <w:rsid w:val="006D7A3B"/>
    <w:rsid w:val="00747859"/>
    <w:rsid w:val="007B5462"/>
    <w:rsid w:val="008034BD"/>
    <w:rsid w:val="00876352"/>
    <w:rsid w:val="008B4137"/>
    <w:rsid w:val="008C767A"/>
    <w:rsid w:val="008E77C6"/>
    <w:rsid w:val="009770BB"/>
    <w:rsid w:val="00982DFD"/>
    <w:rsid w:val="009E008D"/>
    <w:rsid w:val="00A5465F"/>
    <w:rsid w:val="00A77678"/>
    <w:rsid w:val="00B06A20"/>
    <w:rsid w:val="00BC4C95"/>
    <w:rsid w:val="00BD5944"/>
    <w:rsid w:val="00CF6858"/>
    <w:rsid w:val="00D16AE3"/>
    <w:rsid w:val="00D377B5"/>
    <w:rsid w:val="00D93B31"/>
    <w:rsid w:val="00DC2BF1"/>
    <w:rsid w:val="00E110C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06A2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3A2777"/>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06A20"/>
    <w:rPr>
      <w:rFonts w:ascii="Arial" w:hAnsi="Arial"/>
      <w:b/>
      <w:caps/>
      <w:sz w:val="24"/>
      <w:szCs w:val="24"/>
      <w:lang w:val="it-IT" w:eastAsia="it-IT"/>
    </w:rPr>
  </w:style>
  <w:style w:type="character" w:customStyle="1" w:styleId="Titolo2Carattere">
    <w:name w:val="Titolo 2 Carattere"/>
    <w:basedOn w:val="Carpredefinitoparagrafo"/>
    <w:link w:val="Titolo2"/>
    <w:rsid w:val="003A2777"/>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basedOn w:val="Carpredefinitoparagrafo"/>
    <w:unhideWhenUsed/>
    <w:rsid w:val="0007534B"/>
  </w:style>
  <w:style w:type="character" w:styleId="Enfasicorsivo">
    <w:name w:val="Emphasis"/>
    <w:basedOn w:val="Carpredefinitoparagrafo"/>
    <w:uiPriority w:val="20"/>
    <w:qFormat/>
    <w:rsid w:val="0007534B"/>
    <w:rPr>
      <w:b/>
      <w:bCs/>
      <w:i w:val="0"/>
      <w:iCs w:val="0"/>
    </w:rPr>
  </w:style>
  <w:style w:type="character" w:customStyle="1" w:styleId="st1">
    <w:name w:val="st1"/>
    <w:basedOn w:val="Carpredefinitoparagrafo"/>
    <w:rsid w:val="0007534B"/>
  </w:style>
  <w:style w:type="paragraph" w:styleId="Testofumetto">
    <w:name w:val="Balloon Text"/>
    <w:basedOn w:val="Normale"/>
    <w:link w:val="TestofumettoCarattere"/>
    <w:uiPriority w:val="99"/>
    <w:semiHidden/>
    <w:unhideWhenUsed/>
    <w:rsid w:val="003A27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B06A2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3A2777"/>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B06A20"/>
    <w:rPr>
      <w:rFonts w:ascii="Arial" w:hAnsi="Arial"/>
      <w:b/>
      <w:caps/>
      <w:sz w:val="24"/>
      <w:szCs w:val="24"/>
      <w:lang w:val="it-IT" w:eastAsia="it-IT"/>
    </w:rPr>
  </w:style>
  <w:style w:type="character" w:customStyle="1" w:styleId="Titolo2Carattere">
    <w:name w:val="Titolo 2 Carattere"/>
    <w:basedOn w:val="Carpredefinitoparagrafo"/>
    <w:link w:val="Titolo2"/>
    <w:rsid w:val="003A2777"/>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Numeropagina">
    <w:name w:val="page number"/>
    <w:basedOn w:val="Carpredefinitoparagrafo"/>
    <w:unhideWhenUsed/>
    <w:rsid w:val="0007534B"/>
  </w:style>
  <w:style w:type="character" w:styleId="Enfasicorsivo">
    <w:name w:val="Emphasis"/>
    <w:basedOn w:val="Carpredefinitoparagrafo"/>
    <w:uiPriority w:val="20"/>
    <w:qFormat/>
    <w:rsid w:val="0007534B"/>
    <w:rPr>
      <w:b/>
      <w:bCs/>
      <w:i w:val="0"/>
      <w:iCs w:val="0"/>
    </w:rPr>
  </w:style>
  <w:style w:type="character" w:customStyle="1" w:styleId="st1">
    <w:name w:val="st1"/>
    <w:basedOn w:val="Carpredefinitoparagrafo"/>
    <w:rsid w:val="0007534B"/>
  </w:style>
  <w:style w:type="paragraph" w:styleId="Testofumetto">
    <w:name w:val="Balloon Text"/>
    <w:basedOn w:val="Normale"/>
    <w:link w:val="TestofumettoCarattere"/>
    <w:uiPriority w:val="99"/>
    <w:semiHidden/>
    <w:unhideWhenUsed/>
    <w:rsid w:val="003A27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2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863A-02C9-4214-BC3F-71D33D3A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3677</Words>
  <Characters>20963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8</cp:revision>
  <cp:lastPrinted>2016-11-30T10:30:00Z</cp:lastPrinted>
  <dcterms:created xsi:type="dcterms:W3CDTF">2016-11-29T16:29:00Z</dcterms:created>
  <dcterms:modified xsi:type="dcterms:W3CDTF">2016-11-30T10:31:00Z</dcterms:modified>
</cp:coreProperties>
</file>